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3831" w14:textId="06A4F686" w:rsidR="00AD4BE7" w:rsidRDefault="00A74417" w:rsidP="00AD4BE7">
      <w:pPr>
        <w:jc w:val="center"/>
      </w:pPr>
      <w:r>
        <w:rPr>
          <w:noProof/>
        </w:rPr>
        <w:drawing>
          <wp:inline distT="0" distB="0" distL="0" distR="0" wp14:anchorId="5329EA19" wp14:editId="0A06B0CE">
            <wp:extent cx="2154803" cy="1077124"/>
            <wp:effectExtent l="0" t="0" r="4445"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026" cy="1082734"/>
                    </a:xfrm>
                    <a:prstGeom prst="rect">
                      <a:avLst/>
                    </a:prstGeom>
                    <a:noFill/>
                  </pic:spPr>
                </pic:pic>
              </a:graphicData>
            </a:graphic>
          </wp:inline>
        </w:drawing>
      </w:r>
    </w:p>
    <w:p w14:paraId="019226E9" w14:textId="5EEB5CE9" w:rsidR="00AD4BE7" w:rsidRDefault="00AD4BE7" w:rsidP="00AD4BE7">
      <w:pPr>
        <w:jc w:val="center"/>
      </w:pPr>
    </w:p>
    <w:p w14:paraId="06582D31" w14:textId="7FCA67DF" w:rsidR="00AD4BE7" w:rsidRDefault="00AD4BE7" w:rsidP="00AD4BE7"/>
    <w:p w14:paraId="10975B32" w14:textId="77777777" w:rsidR="00AD4BE7" w:rsidRDefault="00AD4BE7" w:rsidP="00AD4BE7">
      <w:pPr>
        <w:pStyle w:val="Heading2"/>
        <w:jc w:val="center"/>
        <w:rPr>
          <w:b/>
          <w:sz w:val="32"/>
        </w:rPr>
      </w:pPr>
      <w:r>
        <w:rPr>
          <w:b/>
          <w:sz w:val="32"/>
        </w:rPr>
        <w:t xml:space="preserve">LCO Criminal AI Lifecycle Project </w:t>
      </w:r>
    </w:p>
    <w:p w14:paraId="02BAE411" w14:textId="77777777" w:rsidR="00AD4BE7" w:rsidRDefault="00AD4BE7" w:rsidP="00AD4BE7">
      <w:pPr>
        <w:pStyle w:val="Heading2"/>
        <w:jc w:val="center"/>
        <w:rPr>
          <w:b/>
          <w:sz w:val="32"/>
        </w:rPr>
      </w:pPr>
      <w:r w:rsidRPr="001C3A02">
        <w:rPr>
          <w:b/>
          <w:sz w:val="32"/>
        </w:rPr>
        <w:t>Advisory Committee</w:t>
      </w:r>
      <w:r w:rsidRPr="00AD4BE7">
        <w:rPr>
          <w:b/>
          <w:sz w:val="32"/>
        </w:rPr>
        <w:t xml:space="preserve"> </w:t>
      </w:r>
    </w:p>
    <w:p w14:paraId="40BF1803" w14:textId="2FEF19BB" w:rsidR="00AD4BE7" w:rsidRDefault="00AD4BE7" w:rsidP="00AD4BE7">
      <w:pPr>
        <w:pStyle w:val="Heading2"/>
        <w:jc w:val="center"/>
        <w:rPr>
          <w:b/>
          <w:sz w:val="32"/>
        </w:rPr>
      </w:pPr>
      <w:r w:rsidRPr="001C3A02">
        <w:rPr>
          <w:b/>
          <w:sz w:val="32"/>
        </w:rPr>
        <w:t xml:space="preserve">Terms of </w:t>
      </w:r>
      <w:r>
        <w:rPr>
          <w:b/>
          <w:sz w:val="32"/>
        </w:rPr>
        <w:t>R</w:t>
      </w:r>
      <w:r w:rsidRPr="001C3A02">
        <w:rPr>
          <w:b/>
          <w:sz w:val="32"/>
        </w:rPr>
        <w:t>eference</w:t>
      </w:r>
    </w:p>
    <w:p w14:paraId="78F28E85" w14:textId="7E08F32B" w:rsidR="00AD4BE7" w:rsidRPr="001C3A02" w:rsidRDefault="00AD4BE7" w:rsidP="00AD4BE7">
      <w:pPr>
        <w:pStyle w:val="Heading2"/>
        <w:jc w:val="center"/>
        <w:rPr>
          <w:b/>
          <w:sz w:val="32"/>
        </w:rPr>
      </w:pPr>
    </w:p>
    <w:p w14:paraId="0C527277" w14:textId="2C2A9213" w:rsidR="00AD4BE7" w:rsidRPr="00696ECA" w:rsidRDefault="002B089F" w:rsidP="002B089F">
      <w:r>
        <w:t>March 2022</w:t>
      </w:r>
    </w:p>
    <w:p w14:paraId="51FDF34E" w14:textId="7832AECD" w:rsidR="00AD4BE7" w:rsidRDefault="00AD4BE7" w:rsidP="00AD4BE7">
      <w:pPr>
        <w:rPr>
          <w:rFonts w:cstheme="minorHAnsi"/>
        </w:rPr>
      </w:pPr>
    </w:p>
    <w:p w14:paraId="4B68EEC0" w14:textId="77777777" w:rsidR="002B089F" w:rsidRDefault="002B089F" w:rsidP="00AD4BE7">
      <w:pPr>
        <w:rPr>
          <w:rFonts w:cstheme="minorHAnsi"/>
        </w:rPr>
      </w:pPr>
    </w:p>
    <w:p w14:paraId="166BDA65" w14:textId="77777777" w:rsidR="00AD4BE7" w:rsidRPr="00995C00" w:rsidRDefault="00AD4BE7" w:rsidP="00AD4BE7">
      <w:pPr>
        <w:pStyle w:val="Heading1"/>
        <w:numPr>
          <w:ilvl w:val="0"/>
          <w:numId w:val="1"/>
        </w:numPr>
        <w:tabs>
          <w:tab w:val="num" w:pos="720"/>
        </w:tabs>
        <w:spacing w:before="0" w:after="0"/>
      </w:pPr>
      <w:r>
        <w:t>Project</w:t>
      </w:r>
    </w:p>
    <w:p w14:paraId="42A60D1D" w14:textId="77777777" w:rsidR="00AD4BE7" w:rsidRDefault="00AD4BE7" w:rsidP="00AD4BE7">
      <w:pPr>
        <w:pStyle w:val="Heading2"/>
      </w:pPr>
    </w:p>
    <w:p w14:paraId="7751E2C1" w14:textId="77777777" w:rsidR="00AD4BE7" w:rsidRDefault="00AD4BE7" w:rsidP="00AD4BE7">
      <w:pPr>
        <w:pStyle w:val="Heading2"/>
      </w:pPr>
      <w:r>
        <w:t xml:space="preserve">Project Description and Objectives </w:t>
      </w:r>
    </w:p>
    <w:p w14:paraId="1B75026C" w14:textId="77777777" w:rsidR="00AD4BE7" w:rsidRDefault="00AD4BE7" w:rsidP="00AD4BE7"/>
    <w:p w14:paraId="72EAA9E5" w14:textId="6392138D" w:rsidR="00AD4BE7" w:rsidRDefault="00AD4BE7" w:rsidP="00AD4BE7">
      <w:r>
        <w:t>The LCO’s Criminal AI Lifecycle project is an independent, collaborative, forward-looking, and practical analysis of legal issues and choices arising when AI, algorithms and related technolog</w:t>
      </w:r>
      <w:r w:rsidR="00C65C87">
        <w:t xml:space="preserve">ies are </w:t>
      </w:r>
      <w:r>
        <w:t xml:space="preserve">used in Canada’s criminal justice system. </w:t>
      </w:r>
    </w:p>
    <w:p w14:paraId="2F84AD07" w14:textId="77777777" w:rsidR="00AD4BE7" w:rsidRPr="00AA70BE" w:rsidRDefault="00AD4BE7" w:rsidP="00AD4BE7"/>
    <w:p w14:paraId="0FEEC2AF" w14:textId="77777777" w:rsidR="00AD4BE7" w:rsidRDefault="00AD4BE7" w:rsidP="00AD4BE7">
      <w:pPr>
        <w:rPr>
          <w:rFonts w:ascii="Calibri" w:hAnsi="Calibri" w:cs="Calibri"/>
          <w:color w:val="000000"/>
        </w:rPr>
      </w:pPr>
      <w:r>
        <w:rPr>
          <w:rFonts w:ascii="Calibri" w:hAnsi="Calibri" w:cs="Calibri"/>
          <w:color w:val="000000"/>
        </w:rPr>
        <w:t xml:space="preserve">The LCO’s project will </w:t>
      </w:r>
      <w:r w:rsidRPr="00AA70BE">
        <w:rPr>
          <w:rFonts w:ascii="Calibri" w:hAnsi="Calibri" w:cs="Calibri"/>
          <w:color w:val="000000"/>
        </w:rPr>
        <w:t xml:space="preserve">provide an integrated perspective on the potential use of AI and algorithms across each stage in a criminal proceeding, </w:t>
      </w:r>
      <w:r>
        <w:rPr>
          <w:rFonts w:ascii="Calibri" w:hAnsi="Calibri" w:cs="Calibri"/>
          <w:color w:val="000000"/>
        </w:rPr>
        <w:t>including</w:t>
      </w:r>
      <w:r w:rsidRPr="00AA70BE">
        <w:rPr>
          <w:rFonts w:ascii="Calibri" w:hAnsi="Calibri" w:cs="Calibri"/>
          <w:color w:val="000000"/>
        </w:rPr>
        <w:t>:</w:t>
      </w:r>
    </w:p>
    <w:p w14:paraId="55AF5E95" w14:textId="77777777" w:rsidR="00AD4BE7" w:rsidRPr="00AA70BE" w:rsidRDefault="00AD4BE7" w:rsidP="00AD4BE7">
      <w:pPr>
        <w:rPr>
          <w:rFonts w:ascii="Calibri" w:hAnsi="Calibri" w:cs="Calibri"/>
          <w:color w:val="000000"/>
        </w:rPr>
      </w:pPr>
    </w:p>
    <w:p w14:paraId="43CC5E02" w14:textId="5DBEDB4F" w:rsidR="00AD4BE7" w:rsidRPr="00AA70BE" w:rsidRDefault="00AD4BE7" w:rsidP="00AD4BE7">
      <w:pPr>
        <w:numPr>
          <w:ilvl w:val="0"/>
          <w:numId w:val="2"/>
        </w:numPr>
        <w:rPr>
          <w:rFonts w:ascii="Calibri" w:hAnsi="Calibri" w:cs="Calibri"/>
          <w:color w:val="000000"/>
        </w:rPr>
      </w:pPr>
      <w:r w:rsidRPr="00AA70BE">
        <w:rPr>
          <w:rFonts w:ascii="Calibri" w:hAnsi="Calibri" w:cs="Calibri"/>
          <w:color w:val="000000"/>
        </w:rPr>
        <w:t>Police investigations</w:t>
      </w:r>
      <w:r w:rsidR="00625160">
        <w:rPr>
          <w:rFonts w:ascii="Calibri" w:hAnsi="Calibri" w:cs="Calibri"/>
          <w:color w:val="000000"/>
        </w:rPr>
        <w:t xml:space="preserve"> and community diversion</w:t>
      </w:r>
    </w:p>
    <w:p w14:paraId="123F5170" w14:textId="77777777" w:rsidR="00AD4BE7" w:rsidRPr="00AA70BE" w:rsidRDefault="00AD4BE7" w:rsidP="00AD4BE7">
      <w:pPr>
        <w:numPr>
          <w:ilvl w:val="0"/>
          <w:numId w:val="2"/>
        </w:numPr>
        <w:rPr>
          <w:rFonts w:ascii="Calibri" w:hAnsi="Calibri" w:cs="Calibri"/>
          <w:color w:val="000000"/>
        </w:rPr>
      </w:pPr>
      <w:r w:rsidRPr="00AA70BE">
        <w:rPr>
          <w:rFonts w:ascii="Calibri" w:hAnsi="Calibri" w:cs="Calibri"/>
          <w:color w:val="000000"/>
        </w:rPr>
        <w:t>Crown charges</w:t>
      </w:r>
    </w:p>
    <w:p w14:paraId="2223FFF2" w14:textId="77777777" w:rsidR="00AD4BE7" w:rsidRPr="00AA70BE" w:rsidRDefault="00AD4BE7" w:rsidP="00AD4BE7">
      <w:pPr>
        <w:numPr>
          <w:ilvl w:val="0"/>
          <w:numId w:val="2"/>
        </w:numPr>
        <w:rPr>
          <w:rFonts w:ascii="Calibri" w:hAnsi="Calibri" w:cs="Calibri"/>
          <w:color w:val="000000"/>
        </w:rPr>
      </w:pPr>
      <w:r w:rsidRPr="00AA70BE">
        <w:rPr>
          <w:rFonts w:ascii="Calibri" w:hAnsi="Calibri" w:cs="Calibri"/>
          <w:color w:val="000000"/>
        </w:rPr>
        <w:t>Risk assessment and bail</w:t>
      </w:r>
    </w:p>
    <w:p w14:paraId="5A1E9A9D" w14:textId="27AECEDA" w:rsidR="00AD4BE7" w:rsidRPr="00AA70BE" w:rsidRDefault="00625160" w:rsidP="00AD4BE7">
      <w:pPr>
        <w:numPr>
          <w:ilvl w:val="0"/>
          <w:numId w:val="2"/>
        </w:numPr>
        <w:rPr>
          <w:rFonts w:ascii="Calibri" w:hAnsi="Calibri" w:cs="Calibri"/>
          <w:color w:val="000000"/>
        </w:rPr>
      </w:pPr>
      <w:r>
        <w:rPr>
          <w:rFonts w:ascii="Calibri" w:hAnsi="Calibri" w:cs="Calibri"/>
          <w:color w:val="000000"/>
        </w:rPr>
        <w:t xml:space="preserve">Pre-Trial, </w:t>
      </w:r>
      <w:r w:rsidR="00AD4BE7" w:rsidRPr="00AA70BE">
        <w:rPr>
          <w:rFonts w:ascii="Calibri" w:hAnsi="Calibri" w:cs="Calibri"/>
          <w:color w:val="000000"/>
        </w:rPr>
        <w:t>Trial</w:t>
      </w:r>
      <w:r>
        <w:rPr>
          <w:rFonts w:ascii="Calibri" w:hAnsi="Calibri" w:cs="Calibri"/>
          <w:color w:val="000000"/>
        </w:rPr>
        <w:t>, and Sentencing</w:t>
      </w:r>
    </w:p>
    <w:p w14:paraId="631E5F9C" w14:textId="77777777" w:rsidR="00AD4BE7" w:rsidRPr="00AA70BE" w:rsidRDefault="00AD4BE7" w:rsidP="00AD4BE7">
      <w:pPr>
        <w:numPr>
          <w:ilvl w:val="0"/>
          <w:numId w:val="2"/>
        </w:numPr>
        <w:rPr>
          <w:rFonts w:ascii="Calibri" w:hAnsi="Calibri" w:cs="Calibri"/>
          <w:color w:val="000000"/>
        </w:rPr>
      </w:pPr>
      <w:r w:rsidRPr="00AA70BE">
        <w:rPr>
          <w:rFonts w:ascii="Calibri" w:hAnsi="Calibri" w:cs="Calibri"/>
          <w:color w:val="000000"/>
        </w:rPr>
        <w:t>Appeal</w:t>
      </w:r>
    </w:p>
    <w:p w14:paraId="1F46D710" w14:textId="77777777" w:rsidR="00AD4BE7" w:rsidRPr="00AA70BE" w:rsidRDefault="00AD4BE7" w:rsidP="00AD4BE7">
      <w:pPr>
        <w:numPr>
          <w:ilvl w:val="0"/>
          <w:numId w:val="2"/>
        </w:numPr>
        <w:rPr>
          <w:rFonts w:ascii="Calibri" w:hAnsi="Calibri" w:cs="Calibri"/>
          <w:color w:val="000000"/>
        </w:rPr>
      </w:pPr>
      <w:r w:rsidRPr="00AA70BE">
        <w:rPr>
          <w:rFonts w:ascii="Calibri" w:hAnsi="Calibri" w:cs="Calibri"/>
          <w:color w:val="000000"/>
        </w:rPr>
        <w:t>Systemic Oversight Mechanisms</w:t>
      </w:r>
    </w:p>
    <w:p w14:paraId="7BB55029" w14:textId="77777777" w:rsidR="00AD4BE7" w:rsidRDefault="00AD4BE7" w:rsidP="00AD4BE7">
      <w:pPr>
        <w:rPr>
          <w:rFonts w:ascii="Calibri" w:hAnsi="Calibri" w:cs="Calibri"/>
          <w:color w:val="000000"/>
        </w:rPr>
      </w:pPr>
    </w:p>
    <w:p w14:paraId="75D11C71" w14:textId="77777777" w:rsidR="00AD4BE7" w:rsidRDefault="00AD4BE7" w:rsidP="00AD4BE7">
      <w:pPr>
        <w:pStyle w:val="Heading5"/>
        <w:spacing w:before="0"/>
        <w:rPr>
          <w:rFonts w:ascii="Calibri" w:eastAsia="Times New Roman" w:hAnsi="Calibri" w:cs="Calibri"/>
          <w:color w:val="000000"/>
        </w:rPr>
      </w:pPr>
      <w:r>
        <w:rPr>
          <w:rFonts w:ascii="Calibri" w:eastAsia="Times New Roman" w:hAnsi="Calibri" w:cs="Calibri"/>
          <w:color w:val="000000"/>
        </w:rPr>
        <w:t>The LCO’s objective is to</w:t>
      </w:r>
      <w:r w:rsidRPr="00AA70BE">
        <w:rPr>
          <w:rFonts w:ascii="Calibri" w:eastAsia="Times New Roman" w:hAnsi="Calibri" w:cs="Calibri"/>
          <w:color w:val="000000"/>
        </w:rPr>
        <w:t xml:space="preserve"> identify important choices about legal, policy and practical reforms that Canadian policymakers and justice stakeholders should consider before these technologies are widely adopted in this country.</w:t>
      </w:r>
    </w:p>
    <w:p w14:paraId="723D1C73" w14:textId="77777777" w:rsidR="00AD4BE7" w:rsidRDefault="00AD4BE7" w:rsidP="00AD4BE7">
      <w:pPr>
        <w:pStyle w:val="Heading2"/>
        <w:spacing w:before="0"/>
      </w:pPr>
    </w:p>
    <w:p w14:paraId="2D795C4B" w14:textId="77777777" w:rsidR="00AD4BE7" w:rsidRPr="00DD049B" w:rsidRDefault="00AD4BE7" w:rsidP="00AD4BE7">
      <w:pPr>
        <w:pStyle w:val="Heading2"/>
        <w:spacing w:before="0"/>
      </w:pPr>
      <w:r w:rsidRPr="00DD049B">
        <w:t xml:space="preserve">Project Components </w:t>
      </w:r>
    </w:p>
    <w:p w14:paraId="23D66E1B" w14:textId="77777777" w:rsidR="00AD4BE7" w:rsidRPr="00FF5B96" w:rsidRDefault="00AD4BE7" w:rsidP="00AD4BE7"/>
    <w:p w14:paraId="744AD8DF" w14:textId="7604F23E" w:rsidR="00AD4BE7" w:rsidRDefault="00AD4BE7" w:rsidP="00AD4BE7">
      <w:r>
        <w:t>The project will include research, consultations, and extensive engagement with the many stakeholders and public interested in this issue in Ontario.</w:t>
      </w:r>
    </w:p>
    <w:p w14:paraId="36CE358D" w14:textId="77777777" w:rsidR="00C65C87" w:rsidRDefault="00C65C87" w:rsidP="00AD4BE7"/>
    <w:p w14:paraId="766EE5C2" w14:textId="25AB969E" w:rsidR="00AD4BE7" w:rsidRDefault="00AD4BE7" w:rsidP="00AD4BE7">
      <w:r w:rsidRPr="00121DF5">
        <w:lastRenderedPageBreak/>
        <w:t xml:space="preserve">The project anticipates </w:t>
      </w:r>
      <w:r w:rsidR="00C65C87">
        <w:t xml:space="preserve">commissioning </w:t>
      </w:r>
      <w:r>
        <w:t>one or more background papers</w:t>
      </w:r>
      <w:r w:rsidR="00BA5DBA">
        <w:t xml:space="preserve">; </w:t>
      </w:r>
      <w:r w:rsidR="00C65C87">
        <w:t xml:space="preserve">organizing public forums, </w:t>
      </w:r>
      <w:proofErr w:type="gramStart"/>
      <w:r w:rsidR="00C65C87">
        <w:t>events</w:t>
      </w:r>
      <w:proofErr w:type="gramEnd"/>
      <w:r w:rsidR="00C65C87">
        <w:t xml:space="preserve"> </w:t>
      </w:r>
      <w:r w:rsidR="00BA5DBA">
        <w:t xml:space="preserve">or </w:t>
      </w:r>
      <w:r w:rsidR="00C65C87">
        <w:t>workshops</w:t>
      </w:r>
      <w:r w:rsidR="00BA5DBA">
        <w:t>;</w:t>
      </w:r>
      <w:r w:rsidR="00C65C87">
        <w:t xml:space="preserve"> and informal consultations with a </w:t>
      </w:r>
      <w:r w:rsidR="00BA5DBA">
        <w:t xml:space="preserve">broad </w:t>
      </w:r>
      <w:r w:rsidR="00C65C87">
        <w:t xml:space="preserve">range of stakeholders </w:t>
      </w:r>
      <w:r w:rsidRPr="00121DF5">
        <w:t xml:space="preserve">to seek comments </w:t>
      </w:r>
      <w:r w:rsidR="00BA5DBA">
        <w:t xml:space="preserve">and advice </w:t>
      </w:r>
      <w:r w:rsidRPr="00121DF5">
        <w:t xml:space="preserve">on </w:t>
      </w:r>
      <w:r>
        <w:t xml:space="preserve">relevant </w:t>
      </w:r>
      <w:r w:rsidRPr="00121DF5">
        <w:t xml:space="preserve">issues. </w:t>
      </w:r>
    </w:p>
    <w:p w14:paraId="507B9173" w14:textId="77777777" w:rsidR="00C65C87" w:rsidRDefault="00C65C87" w:rsidP="00AD4BE7"/>
    <w:p w14:paraId="17714255" w14:textId="2F87D93F" w:rsidR="00AD4BE7" w:rsidRDefault="00AD4BE7" w:rsidP="00AD4BE7">
      <w:r>
        <w:t xml:space="preserve">The project will produce one or more LCO reports, background materials and resources, and publicly accessible educational materials.  </w:t>
      </w:r>
    </w:p>
    <w:p w14:paraId="09A61204" w14:textId="77777777" w:rsidR="00C65C87" w:rsidRDefault="00C65C87" w:rsidP="00AD4BE7"/>
    <w:p w14:paraId="6F0A7E48" w14:textId="42BDEE29" w:rsidR="00AD4BE7" w:rsidRDefault="00AD4BE7" w:rsidP="00AD4BE7">
      <w:r>
        <w:t>The LCO will develop a dedicated webpage to support the project.</w:t>
      </w:r>
    </w:p>
    <w:p w14:paraId="0B666EAB" w14:textId="77777777" w:rsidR="00BA5DBA" w:rsidRPr="0036388C" w:rsidRDefault="00BA5DBA" w:rsidP="00AD4BE7"/>
    <w:p w14:paraId="009B9455" w14:textId="77777777" w:rsidR="00AD4BE7" w:rsidRDefault="00AD4BE7" w:rsidP="00AD4BE7">
      <w:pPr>
        <w:pStyle w:val="Heading2"/>
      </w:pPr>
      <w:r>
        <w:t>Project Responsibility and Approvals</w:t>
      </w:r>
    </w:p>
    <w:p w14:paraId="6B96443D" w14:textId="77777777" w:rsidR="00AD4BE7" w:rsidRDefault="00AD4BE7" w:rsidP="00AD4BE7">
      <w:pPr>
        <w:pStyle w:val="Heading2"/>
        <w:spacing w:before="0"/>
      </w:pPr>
    </w:p>
    <w:p w14:paraId="7EC4BD50" w14:textId="73B04C71" w:rsidR="00AD4BE7" w:rsidRDefault="00AD4BE7" w:rsidP="00AD4BE7">
      <w:r>
        <w:t xml:space="preserve">All reports or recommendations arising from this project will be approved by, and the responsibility of, the LCO.  </w:t>
      </w:r>
    </w:p>
    <w:p w14:paraId="4D717F57" w14:textId="77777777" w:rsidR="00BA5DBA" w:rsidRDefault="00BA5DBA" w:rsidP="00AD4BE7"/>
    <w:p w14:paraId="5C9F93AE" w14:textId="1F533CC6" w:rsidR="00AD4BE7" w:rsidRDefault="00AD4BE7" w:rsidP="00AD4BE7">
      <w:r>
        <w:t xml:space="preserve">The opinions or points of view expressed in the LCO’s research, findings, and recommendations </w:t>
      </w:r>
      <w:r w:rsidR="00BA5DBA">
        <w:t>will</w:t>
      </w:r>
      <w:r>
        <w:t xml:space="preserve"> not necessarily represent the views of the project Advisory Committee, the LCO’s funders, the Law Foundation of Ontario, Law Society of Ontario, Osgoode Hall Law School, or </w:t>
      </w:r>
      <w:r w:rsidR="00BA5DBA">
        <w:t xml:space="preserve">the LCO’s </w:t>
      </w:r>
      <w:r>
        <w:t xml:space="preserve">supporters.   </w:t>
      </w:r>
    </w:p>
    <w:p w14:paraId="248D1B4C" w14:textId="77777777" w:rsidR="00BA5DBA" w:rsidRPr="00696ECA" w:rsidRDefault="00BA5DBA" w:rsidP="00AD4BE7"/>
    <w:p w14:paraId="70F17085" w14:textId="77777777" w:rsidR="00AD4BE7" w:rsidRDefault="00AD4BE7" w:rsidP="00AD4BE7">
      <w:pPr>
        <w:pStyle w:val="Heading1"/>
        <w:numPr>
          <w:ilvl w:val="0"/>
          <w:numId w:val="1"/>
        </w:numPr>
        <w:tabs>
          <w:tab w:val="num" w:pos="720"/>
        </w:tabs>
        <w:spacing w:before="0" w:after="0"/>
      </w:pPr>
      <w:r>
        <w:t>Project Lead and LCO Support</w:t>
      </w:r>
    </w:p>
    <w:p w14:paraId="7976973F" w14:textId="77777777" w:rsidR="00AD4BE7" w:rsidRDefault="00AD4BE7" w:rsidP="00AD4BE7"/>
    <w:p w14:paraId="056AD3D0" w14:textId="77777777" w:rsidR="00BA5DBA" w:rsidRDefault="00AD4BE7" w:rsidP="00BA5DBA">
      <w:r>
        <w:t xml:space="preserve">Ryan Fritsch, LCO Policy Counsel, is the project lead.  </w:t>
      </w:r>
    </w:p>
    <w:p w14:paraId="0951AFB5" w14:textId="77777777" w:rsidR="00BA5DBA" w:rsidRDefault="00BA5DBA" w:rsidP="00BA5DBA"/>
    <w:p w14:paraId="03A5B5E7" w14:textId="6E4C89DC" w:rsidR="00BA5DBA" w:rsidRDefault="00BA5DBA" w:rsidP="00BA5DBA">
      <w:r>
        <w:t xml:space="preserve">The LCO will act as secretariat and administrator for the Advisory Committee.  </w:t>
      </w:r>
    </w:p>
    <w:p w14:paraId="11827F20" w14:textId="77777777" w:rsidR="00BA5DBA" w:rsidRDefault="00BA5DBA" w:rsidP="00AD4BE7"/>
    <w:p w14:paraId="559552AF" w14:textId="78ADBEC1" w:rsidR="00AD4BE7" w:rsidRDefault="00AD4BE7" w:rsidP="00AD4BE7">
      <w:r>
        <w:t xml:space="preserve">The LCO will provide additional support as may be necessary over the course of the project, including student research, </w:t>
      </w:r>
      <w:r w:rsidR="00BA5DBA">
        <w:t>financial or a</w:t>
      </w:r>
      <w:r>
        <w:t xml:space="preserve">dministrative support, </w:t>
      </w:r>
      <w:r w:rsidR="00BA5DBA">
        <w:t xml:space="preserve">and </w:t>
      </w:r>
      <w:r>
        <w:t xml:space="preserve">support from </w:t>
      </w:r>
      <w:r w:rsidR="00BA5DBA">
        <w:t>other</w:t>
      </w:r>
      <w:r>
        <w:t xml:space="preserve"> LCO counsel.  </w:t>
      </w:r>
    </w:p>
    <w:p w14:paraId="5C91D4B8" w14:textId="77777777" w:rsidR="00AD4BE7" w:rsidRDefault="00AD4BE7" w:rsidP="00AD4BE7"/>
    <w:p w14:paraId="0100ABCA" w14:textId="77777777" w:rsidR="00AD4BE7" w:rsidRPr="00AC48E2" w:rsidRDefault="00AD4BE7" w:rsidP="00AD4BE7"/>
    <w:p w14:paraId="11CB0727" w14:textId="77777777" w:rsidR="00AD4BE7" w:rsidRDefault="00AD4BE7" w:rsidP="00AD4BE7">
      <w:pPr>
        <w:pStyle w:val="Heading1"/>
        <w:numPr>
          <w:ilvl w:val="0"/>
          <w:numId w:val="1"/>
        </w:numPr>
        <w:tabs>
          <w:tab w:val="num" w:pos="720"/>
        </w:tabs>
        <w:spacing w:before="0" w:after="0"/>
      </w:pPr>
      <w:r w:rsidRPr="001C3A02">
        <w:t xml:space="preserve">Role of the </w:t>
      </w:r>
      <w:r>
        <w:t xml:space="preserve">Advisory Committee </w:t>
      </w:r>
    </w:p>
    <w:p w14:paraId="34DE2170" w14:textId="77777777" w:rsidR="00AD4BE7" w:rsidRDefault="00AD4BE7" w:rsidP="00AD4BE7"/>
    <w:p w14:paraId="48B5827E" w14:textId="26C7E3E9" w:rsidR="00AD4BE7" w:rsidRPr="003C554E" w:rsidRDefault="00AD4BE7" w:rsidP="00AD4BE7">
      <w:pPr>
        <w:rPr>
          <w:szCs w:val="22"/>
          <w:lang w:eastAsia="en-CA"/>
        </w:rPr>
      </w:pPr>
      <w:r>
        <w:t xml:space="preserve">The Advisory Committee has an important role.  </w:t>
      </w:r>
      <w:r w:rsidRPr="00B43782">
        <w:rPr>
          <w:lang w:eastAsia="en-CA"/>
        </w:rPr>
        <w:t xml:space="preserve">The project will rely on the </w:t>
      </w:r>
      <w:r w:rsidR="0065654E">
        <w:rPr>
          <w:lang w:eastAsia="en-CA"/>
        </w:rPr>
        <w:t>Advisory C</w:t>
      </w:r>
      <w:r>
        <w:rPr>
          <w:lang w:eastAsia="en-CA"/>
        </w:rPr>
        <w:t>ommittee</w:t>
      </w:r>
      <w:r w:rsidRPr="00B43782">
        <w:rPr>
          <w:lang w:eastAsia="en-CA"/>
        </w:rPr>
        <w:t xml:space="preserve"> to </w:t>
      </w:r>
      <w:r w:rsidRPr="003C554E">
        <w:rPr>
          <w:szCs w:val="22"/>
          <w:lang w:eastAsia="en-CA"/>
        </w:rPr>
        <w:t xml:space="preserve">provide thoughtful and expert analysis and recommendations on important AI and criminal justice issues from a “public interest” perspective.  </w:t>
      </w:r>
    </w:p>
    <w:p w14:paraId="765BF1D3" w14:textId="77777777" w:rsidR="00AD4BE7" w:rsidRPr="003C554E" w:rsidRDefault="00AD4BE7" w:rsidP="00AD4BE7">
      <w:pPr>
        <w:rPr>
          <w:szCs w:val="22"/>
          <w:lang w:eastAsia="en-CA"/>
        </w:rPr>
      </w:pPr>
    </w:p>
    <w:p w14:paraId="40593047" w14:textId="5D7F284D" w:rsidR="00AD4BE7" w:rsidRPr="003C554E" w:rsidRDefault="00AD4BE7" w:rsidP="00AD4BE7">
      <w:pPr>
        <w:rPr>
          <w:szCs w:val="22"/>
          <w:lang w:eastAsia="en-CA"/>
        </w:rPr>
      </w:pPr>
      <w:r w:rsidRPr="003C554E">
        <w:rPr>
          <w:szCs w:val="22"/>
          <w:lang w:eastAsia="en-CA"/>
        </w:rPr>
        <w:t>More specifically, t</w:t>
      </w:r>
      <w:r w:rsidRPr="003C554E">
        <w:rPr>
          <w:rFonts w:ascii="Calibri" w:hAnsi="Calibri" w:cs="Calibri"/>
          <w:spacing w:val="1"/>
          <w:szCs w:val="22"/>
        </w:rPr>
        <w:t>h</w:t>
      </w:r>
      <w:r w:rsidRPr="003C554E">
        <w:rPr>
          <w:rFonts w:ascii="Calibri" w:hAnsi="Calibri" w:cs="Calibri"/>
          <w:szCs w:val="22"/>
        </w:rPr>
        <w:t>e</w:t>
      </w:r>
      <w:r w:rsidRPr="003C554E">
        <w:rPr>
          <w:rFonts w:ascii="Calibri" w:hAnsi="Calibri" w:cs="Calibri"/>
          <w:spacing w:val="-4"/>
          <w:szCs w:val="22"/>
        </w:rPr>
        <w:t xml:space="preserve"> A</w:t>
      </w:r>
      <w:r w:rsidRPr="003C554E">
        <w:rPr>
          <w:rFonts w:ascii="Calibri" w:hAnsi="Calibri" w:cs="Calibri"/>
          <w:spacing w:val="1"/>
          <w:szCs w:val="22"/>
        </w:rPr>
        <w:t>d</w:t>
      </w:r>
      <w:r w:rsidRPr="003C554E">
        <w:rPr>
          <w:rFonts w:ascii="Calibri" w:hAnsi="Calibri" w:cs="Calibri"/>
          <w:spacing w:val="-1"/>
          <w:szCs w:val="22"/>
        </w:rPr>
        <w:t>v</w:t>
      </w:r>
      <w:r w:rsidRPr="003C554E">
        <w:rPr>
          <w:rFonts w:ascii="Calibri" w:hAnsi="Calibri" w:cs="Calibri"/>
          <w:szCs w:val="22"/>
        </w:rPr>
        <w:t>i</w:t>
      </w:r>
      <w:r w:rsidRPr="003C554E">
        <w:rPr>
          <w:rFonts w:ascii="Calibri" w:hAnsi="Calibri" w:cs="Calibri"/>
          <w:spacing w:val="-1"/>
          <w:szCs w:val="22"/>
        </w:rPr>
        <w:t>s</w:t>
      </w:r>
      <w:r w:rsidRPr="003C554E">
        <w:rPr>
          <w:rFonts w:ascii="Calibri" w:hAnsi="Calibri" w:cs="Calibri"/>
          <w:szCs w:val="22"/>
        </w:rPr>
        <w:t>ory</w:t>
      </w:r>
      <w:r w:rsidRPr="003C554E">
        <w:rPr>
          <w:rFonts w:ascii="Calibri" w:hAnsi="Calibri" w:cs="Calibri"/>
          <w:spacing w:val="-4"/>
          <w:szCs w:val="22"/>
        </w:rPr>
        <w:t xml:space="preserve"> Committee’s role is to advise the LCO on:</w:t>
      </w:r>
    </w:p>
    <w:p w14:paraId="389DDAC0" w14:textId="77777777" w:rsidR="00AD4BE7" w:rsidRPr="003C554E" w:rsidRDefault="00AD4BE7" w:rsidP="00AD4BE7">
      <w:pPr>
        <w:kinsoku w:val="0"/>
        <w:overflowPunct w:val="0"/>
        <w:autoSpaceDE w:val="0"/>
        <w:autoSpaceDN w:val="0"/>
        <w:adjustRightInd w:val="0"/>
        <w:ind w:right="252"/>
        <w:rPr>
          <w:rFonts w:ascii="Calibri" w:hAnsi="Calibri" w:cs="Calibri"/>
          <w:spacing w:val="-4"/>
          <w:szCs w:val="22"/>
        </w:rPr>
      </w:pPr>
    </w:p>
    <w:p w14:paraId="1ADDD21E" w14:textId="77777777" w:rsidR="00AD4BE7" w:rsidRPr="003C554E" w:rsidRDefault="00AD4BE7" w:rsidP="00AD4BE7">
      <w:pPr>
        <w:pStyle w:val="ListParagraph"/>
        <w:numPr>
          <w:ilvl w:val="0"/>
          <w:numId w:val="3"/>
        </w:numPr>
        <w:kinsoku w:val="0"/>
        <w:overflowPunct w:val="0"/>
        <w:autoSpaceDE w:val="0"/>
        <w:autoSpaceDN w:val="0"/>
        <w:adjustRightInd w:val="0"/>
        <w:spacing w:after="0" w:line="240" w:lineRule="auto"/>
        <w:ind w:right="252"/>
        <w:rPr>
          <w:rFonts w:ascii="Calibri" w:hAnsi="Calibri" w:cs="Calibri"/>
          <w:b/>
          <w:i/>
        </w:rPr>
      </w:pPr>
      <w:r w:rsidRPr="003C554E">
        <w:rPr>
          <w:rFonts w:ascii="Calibri" w:hAnsi="Calibri" w:cs="Calibri"/>
          <w:spacing w:val="-2"/>
        </w:rPr>
        <w:t>Identifying the issues to be considered in the project.</w:t>
      </w:r>
    </w:p>
    <w:p w14:paraId="4AD27E9F" w14:textId="77777777" w:rsidR="00AD4BE7" w:rsidRPr="003C554E" w:rsidRDefault="00AD4BE7" w:rsidP="00AD4BE7">
      <w:pPr>
        <w:pStyle w:val="ListParagraph"/>
        <w:numPr>
          <w:ilvl w:val="0"/>
          <w:numId w:val="3"/>
        </w:numPr>
        <w:kinsoku w:val="0"/>
        <w:overflowPunct w:val="0"/>
        <w:autoSpaceDE w:val="0"/>
        <w:autoSpaceDN w:val="0"/>
        <w:adjustRightInd w:val="0"/>
        <w:spacing w:after="0" w:line="240" w:lineRule="auto"/>
        <w:ind w:right="252"/>
        <w:rPr>
          <w:rFonts w:ascii="Calibri" w:hAnsi="Calibri" w:cs="Calibri"/>
          <w:b/>
          <w:i/>
        </w:rPr>
      </w:pPr>
      <w:r w:rsidRPr="003C554E">
        <w:rPr>
          <w:rFonts w:ascii="Calibri" w:hAnsi="Calibri" w:cs="Calibri"/>
          <w:spacing w:val="-2"/>
        </w:rPr>
        <w:t>Recommending appropriate engagement strategies.</w:t>
      </w:r>
    </w:p>
    <w:p w14:paraId="08507CAC" w14:textId="7239F6D3" w:rsidR="00AD4BE7" w:rsidRPr="003C554E" w:rsidRDefault="00AD4BE7" w:rsidP="00AD4BE7">
      <w:pPr>
        <w:pStyle w:val="ListParagraph"/>
        <w:numPr>
          <w:ilvl w:val="0"/>
          <w:numId w:val="3"/>
        </w:numPr>
        <w:kinsoku w:val="0"/>
        <w:overflowPunct w:val="0"/>
        <w:autoSpaceDE w:val="0"/>
        <w:autoSpaceDN w:val="0"/>
        <w:adjustRightInd w:val="0"/>
        <w:spacing w:after="0" w:line="240" w:lineRule="auto"/>
        <w:ind w:right="252"/>
        <w:rPr>
          <w:rFonts w:ascii="Calibri" w:hAnsi="Calibri" w:cs="Calibri"/>
          <w:b/>
          <w:i/>
        </w:rPr>
      </w:pPr>
      <w:r w:rsidRPr="003C554E">
        <w:rPr>
          <w:rFonts w:ascii="Calibri" w:hAnsi="Calibri" w:cs="Calibri"/>
          <w:spacing w:val="-2"/>
        </w:rPr>
        <w:t>Reviewing and commenting upon draft reports and recommendations.</w:t>
      </w:r>
    </w:p>
    <w:p w14:paraId="12CB7CF9" w14:textId="538CC004" w:rsidR="00AD4BE7" w:rsidRPr="003C554E" w:rsidRDefault="00AD4BE7" w:rsidP="00AD4BE7">
      <w:pPr>
        <w:pStyle w:val="ListParagraph"/>
        <w:numPr>
          <w:ilvl w:val="0"/>
          <w:numId w:val="3"/>
        </w:numPr>
        <w:kinsoku w:val="0"/>
        <w:overflowPunct w:val="0"/>
        <w:autoSpaceDE w:val="0"/>
        <w:autoSpaceDN w:val="0"/>
        <w:adjustRightInd w:val="0"/>
        <w:spacing w:after="0" w:line="240" w:lineRule="auto"/>
        <w:ind w:right="252"/>
        <w:rPr>
          <w:rFonts w:ascii="Calibri" w:hAnsi="Calibri" w:cs="Calibri"/>
          <w:b/>
          <w:i/>
        </w:rPr>
      </w:pPr>
      <w:r w:rsidRPr="003C554E">
        <w:rPr>
          <w:rFonts w:ascii="Calibri" w:hAnsi="Calibri" w:cs="Calibri"/>
          <w:spacing w:val="-2"/>
        </w:rPr>
        <w:t>Providing any further assistance that Advisory Committee members believe would be helpful.</w:t>
      </w:r>
    </w:p>
    <w:p w14:paraId="23860F8F" w14:textId="77777777" w:rsidR="00AD4BE7" w:rsidRPr="003C554E" w:rsidRDefault="00AD4BE7" w:rsidP="00AD4BE7">
      <w:pPr>
        <w:kinsoku w:val="0"/>
        <w:overflowPunct w:val="0"/>
        <w:autoSpaceDE w:val="0"/>
        <w:autoSpaceDN w:val="0"/>
        <w:adjustRightInd w:val="0"/>
        <w:ind w:right="252"/>
        <w:rPr>
          <w:rFonts w:ascii="Calibri" w:hAnsi="Calibri" w:cs="Calibri"/>
          <w:spacing w:val="-3"/>
          <w:szCs w:val="22"/>
        </w:rPr>
      </w:pPr>
    </w:p>
    <w:p w14:paraId="690FB624" w14:textId="77777777" w:rsidR="00AD4BE7" w:rsidRPr="0036388C" w:rsidRDefault="00AD4BE7" w:rsidP="00AD4BE7">
      <w:pPr>
        <w:rPr>
          <w:b/>
          <w:i/>
        </w:rPr>
      </w:pPr>
      <w:r w:rsidRPr="003C554E">
        <w:rPr>
          <w:spacing w:val="-3"/>
          <w:szCs w:val="22"/>
        </w:rPr>
        <w:t>C</w:t>
      </w:r>
      <w:r w:rsidRPr="003C554E">
        <w:rPr>
          <w:szCs w:val="22"/>
        </w:rPr>
        <w:t>ollec</w:t>
      </w:r>
      <w:r w:rsidRPr="003C554E">
        <w:rPr>
          <w:spacing w:val="1"/>
          <w:szCs w:val="22"/>
        </w:rPr>
        <w:t>t</w:t>
      </w:r>
      <w:r w:rsidRPr="003C554E">
        <w:rPr>
          <w:szCs w:val="22"/>
        </w:rPr>
        <w:t xml:space="preserve">ively, the Advisory Committee will </w:t>
      </w:r>
      <w:r w:rsidRPr="003C554E">
        <w:rPr>
          <w:spacing w:val="1"/>
          <w:szCs w:val="22"/>
        </w:rPr>
        <w:t>h</w:t>
      </w:r>
      <w:r w:rsidRPr="003C554E">
        <w:rPr>
          <w:szCs w:val="22"/>
        </w:rPr>
        <w:t>a</w:t>
      </w:r>
      <w:r w:rsidRPr="003C554E">
        <w:rPr>
          <w:spacing w:val="-3"/>
          <w:szCs w:val="22"/>
        </w:rPr>
        <w:t>v</w:t>
      </w:r>
      <w:r w:rsidRPr="003C554E">
        <w:rPr>
          <w:szCs w:val="22"/>
        </w:rPr>
        <w:t>e ex</w:t>
      </w:r>
      <w:r w:rsidRPr="003C554E">
        <w:rPr>
          <w:spacing w:val="1"/>
          <w:szCs w:val="22"/>
        </w:rPr>
        <w:t>p</w:t>
      </w:r>
      <w:r w:rsidRPr="003C554E">
        <w:rPr>
          <w:szCs w:val="22"/>
        </w:rPr>
        <w:t>e</w:t>
      </w:r>
      <w:r w:rsidRPr="003C554E">
        <w:rPr>
          <w:spacing w:val="-3"/>
          <w:szCs w:val="22"/>
        </w:rPr>
        <w:t>r</w:t>
      </w:r>
      <w:r w:rsidRPr="003C554E">
        <w:rPr>
          <w:spacing w:val="1"/>
          <w:szCs w:val="22"/>
        </w:rPr>
        <w:t>t</w:t>
      </w:r>
      <w:r w:rsidRPr="003C554E">
        <w:rPr>
          <w:szCs w:val="22"/>
        </w:rPr>
        <w:t>ise</w:t>
      </w:r>
      <w:r w:rsidRPr="003C554E">
        <w:rPr>
          <w:spacing w:val="-3"/>
          <w:szCs w:val="22"/>
        </w:rPr>
        <w:t xml:space="preserve"> </w:t>
      </w:r>
      <w:r w:rsidRPr="003C554E">
        <w:rPr>
          <w:szCs w:val="22"/>
        </w:rPr>
        <w:t>in</w:t>
      </w:r>
      <w:r w:rsidRPr="003C554E">
        <w:rPr>
          <w:spacing w:val="-4"/>
          <w:szCs w:val="22"/>
        </w:rPr>
        <w:t xml:space="preserve"> AI and related technologies, </w:t>
      </w:r>
      <w:r w:rsidRPr="003C554E">
        <w:rPr>
          <w:spacing w:val="1"/>
          <w:szCs w:val="22"/>
        </w:rPr>
        <w:t>t</w:t>
      </w:r>
      <w:r w:rsidRPr="003C554E">
        <w:rPr>
          <w:spacing w:val="-2"/>
          <w:szCs w:val="22"/>
        </w:rPr>
        <w:t>h</w:t>
      </w:r>
      <w:r w:rsidRPr="003C554E">
        <w:rPr>
          <w:szCs w:val="22"/>
        </w:rPr>
        <w:t>e criminal</w:t>
      </w:r>
      <w:r w:rsidRPr="0036388C">
        <w:t xml:space="preserve"> justice system, research and consultations, access to justice, and law reform.  </w:t>
      </w:r>
      <w:r w:rsidRPr="0036388C">
        <w:rPr>
          <w:spacing w:val="-2"/>
        </w:rPr>
        <w:t xml:space="preserve">Panel </w:t>
      </w:r>
      <w:r w:rsidRPr="0036388C">
        <w:t>m</w:t>
      </w:r>
      <w:r w:rsidRPr="0036388C">
        <w:rPr>
          <w:spacing w:val="-2"/>
        </w:rPr>
        <w:t>e</w:t>
      </w:r>
      <w:r w:rsidRPr="0036388C">
        <w:t>m</w:t>
      </w:r>
      <w:r w:rsidRPr="0036388C">
        <w:rPr>
          <w:spacing w:val="1"/>
        </w:rPr>
        <w:t>b</w:t>
      </w:r>
      <w:r w:rsidRPr="0036388C">
        <w:t>ers</w:t>
      </w:r>
      <w:r w:rsidRPr="0036388C">
        <w:rPr>
          <w:w w:val="99"/>
        </w:rPr>
        <w:t xml:space="preserve"> will be </w:t>
      </w:r>
      <w:r>
        <w:rPr>
          <w:spacing w:val="1"/>
        </w:rPr>
        <w:t xml:space="preserve">well-respected </w:t>
      </w:r>
      <w:r w:rsidRPr="0036388C">
        <w:rPr>
          <w:spacing w:val="-2"/>
        </w:rPr>
        <w:t>w</w:t>
      </w:r>
      <w:r w:rsidRPr="0036388C">
        <w:t>i</w:t>
      </w:r>
      <w:r w:rsidRPr="0036388C">
        <w:rPr>
          <w:spacing w:val="1"/>
        </w:rPr>
        <w:t>th</w:t>
      </w:r>
      <w:r w:rsidRPr="0036388C">
        <w:t>in</w:t>
      </w:r>
      <w:r w:rsidRPr="0036388C">
        <w:rPr>
          <w:spacing w:val="-4"/>
        </w:rPr>
        <w:t xml:space="preserve"> </w:t>
      </w:r>
      <w:r w:rsidRPr="0036388C">
        <w:rPr>
          <w:spacing w:val="1"/>
        </w:rPr>
        <w:t>t</w:t>
      </w:r>
      <w:r w:rsidRPr="0036388C">
        <w:rPr>
          <w:spacing w:val="-2"/>
        </w:rPr>
        <w:t>h</w:t>
      </w:r>
      <w:r w:rsidRPr="0036388C">
        <w:t>e</w:t>
      </w:r>
      <w:r w:rsidRPr="0036388C">
        <w:rPr>
          <w:spacing w:val="-2"/>
        </w:rPr>
        <w:t xml:space="preserve"> </w:t>
      </w:r>
      <w:r w:rsidRPr="0036388C">
        <w:t>legal</w:t>
      </w:r>
      <w:r w:rsidRPr="0036388C">
        <w:rPr>
          <w:spacing w:val="-5"/>
        </w:rPr>
        <w:t xml:space="preserve"> </w:t>
      </w:r>
      <w:r w:rsidRPr="0036388C">
        <w:rPr>
          <w:spacing w:val="1"/>
        </w:rPr>
        <w:t>p</w:t>
      </w:r>
      <w:r w:rsidRPr="0036388C">
        <w:rPr>
          <w:spacing w:val="-3"/>
        </w:rPr>
        <w:t>r</w:t>
      </w:r>
      <w:r w:rsidRPr="0036388C">
        <w:t>o</w:t>
      </w:r>
      <w:r w:rsidRPr="0036388C">
        <w:rPr>
          <w:spacing w:val="1"/>
        </w:rPr>
        <w:t>f</w:t>
      </w:r>
      <w:r w:rsidRPr="0036388C">
        <w:t>ess</w:t>
      </w:r>
      <w:r w:rsidRPr="0036388C">
        <w:rPr>
          <w:spacing w:val="-3"/>
        </w:rPr>
        <w:t>i</w:t>
      </w:r>
      <w:r w:rsidRPr="0036388C">
        <w:t>on, academic community, criminal justice system,</w:t>
      </w:r>
      <w:r>
        <w:t xml:space="preserve"> and </w:t>
      </w:r>
      <w:r w:rsidRPr="0036388C">
        <w:rPr>
          <w:spacing w:val="1"/>
        </w:rPr>
        <w:t>t</w:t>
      </w:r>
      <w:r w:rsidRPr="0036388C">
        <w:rPr>
          <w:spacing w:val="-2"/>
        </w:rPr>
        <w:t>h</w:t>
      </w:r>
      <w:r w:rsidRPr="0036388C">
        <w:t>e com</w:t>
      </w:r>
      <w:r w:rsidRPr="0036388C">
        <w:rPr>
          <w:spacing w:val="-3"/>
        </w:rPr>
        <w:t>m</w:t>
      </w:r>
      <w:r w:rsidRPr="0036388C">
        <w:rPr>
          <w:spacing w:val="1"/>
        </w:rPr>
        <w:t>un</w:t>
      </w:r>
      <w:r w:rsidRPr="0036388C">
        <w:rPr>
          <w:spacing w:val="-3"/>
        </w:rPr>
        <w:t>i</w:t>
      </w:r>
      <w:r w:rsidRPr="0036388C">
        <w:rPr>
          <w:spacing w:val="1"/>
        </w:rPr>
        <w:t>t</w:t>
      </w:r>
      <w:r w:rsidRPr="0036388C">
        <w:t>y</w:t>
      </w:r>
      <w:r w:rsidRPr="0036388C">
        <w:rPr>
          <w:spacing w:val="-3"/>
        </w:rPr>
        <w:t xml:space="preserve"> a</w:t>
      </w:r>
      <w:r w:rsidRPr="0036388C">
        <w:t xml:space="preserve">t large. </w:t>
      </w:r>
    </w:p>
    <w:p w14:paraId="1ACB7113" w14:textId="77777777" w:rsidR="00AD4BE7" w:rsidRDefault="00AD4BE7" w:rsidP="00AD4BE7"/>
    <w:p w14:paraId="09BDB242" w14:textId="77777777" w:rsidR="00AD4BE7" w:rsidRDefault="00AD4BE7" w:rsidP="00AD4BE7">
      <w:pPr>
        <w:pStyle w:val="Heading1"/>
        <w:numPr>
          <w:ilvl w:val="0"/>
          <w:numId w:val="1"/>
        </w:numPr>
        <w:tabs>
          <w:tab w:val="num" w:pos="720"/>
        </w:tabs>
        <w:spacing w:before="0" w:after="0"/>
      </w:pPr>
      <w:r>
        <w:lastRenderedPageBreak/>
        <w:t xml:space="preserve">Expectations/Confidentiality </w:t>
      </w:r>
    </w:p>
    <w:p w14:paraId="4D6C44F9" w14:textId="77777777" w:rsidR="00AD4BE7" w:rsidRDefault="00AD4BE7" w:rsidP="00AD4BE7"/>
    <w:p w14:paraId="4D9EEABC" w14:textId="77777777" w:rsidR="00AD4BE7" w:rsidRDefault="00AD4BE7" w:rsidP="00AD4BE7">
      <w:r>
        <w:t xml:space="preserve">All deliberations of the Advisory Committee will be confidential.  </w:t>
      </w:r>
    </w:p>
    <w:p w14:paraId="64A005D0" w14:textId="77777777" w:rsidR="00AD4BE7" w:rsidRDefault="00AD4BE7" w:rsidP="00AD4BE7"/>
    <w:p w14:paraId="6A0BDC65" w14:textId="77777777" w:rsidR="00AD4BE7" w:rsidRDefault="00AD4BE7" w:rsidP="00AD4BE7">
      <w:r>
        <w:t xml:space="preserve">Advisory Committee members are expected to participate in their personal capacity, not as representatives of their organizations.  Advisory Committee members may contribute to their organization’s submissions to the LCO’s public consultations.  </w:t>
      </w:r>
    </w:p>
    <w:p w14:paraId="6412F4BE" w14:textId="77777777" w:rsidR="00AD4BE7" w:rsidRDefault="00AD4BE7" w:rsidP="00AD4BE7"/>
    <w:p w14:paraId="464405FF" w14:textId="77777777" w:rsidR="00AD4BE7" w:rsidRDefault="00AD4BE7" w:rsidP="00AD4BE7">
      <w:r>
        <w:t xml:space="preserve">The LCO expects all Advisory Committee members will be professional and collegial.  </w:t>
      </w:r>
    </w:p>
    <w:p w14:paraId="3AA6F3D5" w14:textId="77777777" w:rsidR="00AD4BE7" w:rsidRDefault="00AD4BE7" w:rsidP="00AD4BE7"/>
    <w:p w14:paraId="31E5174F" w14:textId="77777777" w:rsidR="00AD4BE7" w:rsidRDefault="00AD4BE7" w:rsidP="00AD4BE7">
      <w:pPr>
        <w:pStyle w:val="Heading1"/>
        <w:numPr>
          <w:ilvl w:val="0"/>
          <w:numId w:val="1"/>
        </w:numPr>
        <w:tabs>
          <w:tab w:val="num" w:pos="720"/>
        </w:tabs>
      </w:pPr>
      <w:r>
        <w:t xml:space="preserve">Meetings </w:t>
      </w:r>
    </w:p>
    <w:p w14:paraId="3CBBFEE0" w14:textId="16C2D823" w:rsidR="00AD4BE7" w:rsidRDefault="00AD4BE7" w:rsidP="00AD4BE7">
      <w:r>
        <w:t xml:space="preserve">The LCO expects Advisory Committee meetings will occur quarterly.   As the project progresses, however, meetings may become more frequent </w:t>
      </w:r>
      <w:r w:rsidR="002B089F">
        <w:t xml:space="preserve">(such as when the LCO is </w:t>
      </w:r>
      <w:r>
        <w:t>drafting reports or recommendations</w:t>
      </w:r>
      <w:r w:rsidR="002B089F">
        <w:t>)</w:t>
      </w:r>
      <w:r>
        <w:t>.</w:t>
      </w:r>
    </w:p>
    <w:p w14:paraId="0AC28FE3" w14:textId="77777777" w:rsidR="002B089F" w:rsidRDefault="002B089F" w:rsidP="00AD4BE7">
      <w:pPr>
        <w:rPr>
          <w:rFonts w:cs="Arial"/>
          <w:lang w:eastAsia="en-CA"/>
        </w:rPr>
      </w:pPr>
    </w:p>
    <w:p w14:paraId="132DB4AA" w14:textId="478AF011" w:rsidR="00AD4BE7" w:rsidRDefault="002B089F" w:rsidP="00AD4BE7">
      <w:pPr>
        <w:rPr>
          <w:rFonts w:cs="Arial"/>
          <w:lang w:eastAsia="en-CA"/>
        </w:rPr>
      </w:pPr>
      <w:r>
        <w:rPr>
          <w:rFonts w:cs="Arial"/>
          <w:lang w:eastAsia="en-CA"/>
        </w:rPr>
        <w:t>Most p</w:t>
      </w:r>
      <w:r w:rsidR="00AD4BE7">
        <w:rPr>
          <w:rFonts w:cs="Arial"/>
          <w:lang w:eastAsia="en-CA"/>
        </w:rPr>
        <w:t xml:space="preserve">anel meetings will be held on Zoom or MS </w:t>
      </w:r>
      <w:r w:rsidR="00B56D1F">
        <w:rPr>
          <w:rFonts w:cs="Arial"/>
          <w:lang w:eastAsia="en-CA"/>
        </w:rPr>
        <w:t>Teams</w:t>
      </w:r>
      <w:r w:rsidR="00AD4BE7">
        <w:rPr>
          <w:rFonts w:cs="Arial"/>
          <w:lang w:eastAsia="en-CA"/>
        </w:rPr>
        <w:t xml:space="preserve">.  The LCO may organize in person Advisory Committee meetings as the project progresses.  </w:t>
      </w:r>
    </w:p>
    <w:p w14:paraId="5B7896B4" w14:textId="77777777" w:rsidR="00AD4BE7" w:rsidRDefault="00AD4BE7" w:rsidP="00AD4BE7"/>
    <w:p w14:paraId="3C3A5307" w14:textId="77777777" w:rsidR="00AD4BE7" w:rsidRDefault="00AD4BE7" w:rsidP="00AD4BE7">
      <w:pPr>
        <w:pStyle w:val="Heading1"/>
        <w:numPr>
          <w:ilvl w:val="0"/>
          <w:numId w:val="1"/>
        </w:numPr>
        <w:tabs>
          <w:tab w:val="num" w:pos="720"/>
        </w:tabs>
      </w:pPr>
      <w:r>
        <w:t>Funding/Member Expenses</w:t>
      </w:r>
    </w:p>
    <w:p w14:paraId="24901301" w14:textId="65F809FA" w:rsidR="00AD4BE7" w:rsidRDefault="00AD4BE7" w:rsidP="00AD4BE7">
      <w:r>
        <w:t xml:space="preserve">The LCO is funding the project.  The LCO may seek additional funding. </w:t>
      </w:r>
    </w:p>
    <w:p w14:paraId="77A39BF3" w14:textId="77777777" w:rsidR="002B089F" w:rsidRDefault="002B089F" w:rsidP="00AD4BE7"/>
    <w:p w14:paraId="4635D093" w14:textId="4D847EDB" w:rsidR="00AD4BE7" w:rsidRPr="00842AE4" w:rsidRDefault="00AD4BE7" w:rsidP="00AD4BE7">
      <w:pPr>
        <w:rPr>
          <w:rFonts w:cstheme="minorBidi"/>
        </w:rPr>
      </w:pPr>
      <w:r>
        <w:t>Advisory Committee members will not be paid for their time.  The LCO will reimburse Advisory Committee member</w:t>
      </w:r>
      <w:r w:rsidR="00A25DFE">
        <w:t>s for reasonable</w:t>
      </w:r>
      <w:r>
        <w:t xml:space="preserve"> expenses in accordance with York University Reimbursement Guidelines.  </w:t>
      </w:r>
    </w:p>
    <w:p w14:paraId="198F6E9F" w14:textId="77777777" w:rsidR="00AD4BE7" w:rsidRDefault="00AD4BE7" w:rsidP="00AD4BE7"/>
    <w:p w14:paraId="2E938DB9" w14:textId="77777777" w:rsidR="00AD4BE7" w:rsidRDefault="00AD4BE7" w:rsidP="00AD4BE7"/>
    <w:p w14:paraId="12FFC343" w14:textId="77777777" w:rsidR="00AD4BE7" w:rsidRDefault="00AD4BE7" w:rsidP="00AD4BE7"/>
    <w:sectPr w:rsidR="00AD4BE7" w:rsidSect="0080256D">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5487" w14:textId="77777777" w:rsidR="00BD7FEE" w:rsidRDefault="00BD7FEE" w:rsidP="002B089F">
      <w:r>
        <w:separator/>
      </w:r>
    </w:p>
  </w:endnote>
  <w:endnote w:type="continuationSeparator" w:id="0">
    <w:p w14:paraId="3B24304F" w14:textId="77777777" w:rsidR="00BD7FEE" w:rsidRDefault="00BD7FEE" w:rsidP="002B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081680"/>
      <w:docPartObj>
        <w:docPartGallery w:val="Page Numbers (Bottom of Page)"/>
        <w:docPartUnique/>
      </w:docPartObj>
    </w:sdtPr>
    <w:sdtEndPr>
      <w:rPr>
        <w:rStyle w:val="PageNumber"/>
      </w:rPr>
    </w:sdtEndPr>
    <w:sdtContent>
      <w:p w14:paraId="291D0A25" w14:textId="5A1E44E3" w:rsidR="002B089F" w:rsidRDefault="002B089F" w:rsidP="00250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104468" w14:textId="77777777" w:rsidR="002B089F" w:rsidRDefault="002B089F" w:rsidP="002B0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359372"/>
      <w:docPartObj>
        <w:docPartGallery w:val="Page Numbers (Bottom of Page)"/>
        <w:docPartUnique/>
      </w:docPartObj>
    </w:sdtPr>
    <w:sdtEndPr>
      <w:rPr>
        <w:rStyle w:val="PageNumber"/>
      </w:rPr>
    </w:sdtEndPr>
    <w:sdtContent>
      <w:p w14:paraId="322FD0F2" w14:textId="7FD2FDD7" w:rsidR="002B089F" w:rsidRDefault="002B089F" w:rsidP="00250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E6BEBA" w14:textId="77777777" w:rsidR="002B089F" w:rsidRDefault="002B089F" w:rsidP="002B08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76F3" w14:textId="77777777" w:rsidR="00BD7FEE" w:rsidRDefault="00BD7FEE" w:rsidP="002B089F">
      <w:r>
        <w:separator/>
      </w:r>
    </w:p>
  </w:footnote>
  <w:footnote w:type="continuationSeparator" w:id="0">
    <w:p w14:paraId="05F2800B" w14:textId="77777777" w:rsidR="00BD7FEE" w:rsidRDefault="00BD7FEE" w:rsidP="002B0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755"/>
    <w:multiLevelType w:val="hybridMultilevel"/>
    <w:tmpl w:val="3FAC1E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487033"/>
    <w:multiLevelType w:val="hybridMultilevel"/>
    <w:tmpl w:val="642661C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66CA2E8F"/>
    <w:multiLevelType w:val="multilevel"/>
    <w:tmpl w:val="B8F8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E7"/>
    <w:rsid w:val="002B089F"/>
    <w:rsid w:val="004E7943"/>
    <w:rsid w:val="00625160"/>
    <w:rsid w:val="0065654E"/>
    <w:rsid w:val="0080256D"/>
    <w:rsid w:val="00864A4D"/>
    <w:rsid w:val="00947232"/>
    <w:rsid w:val="00A25DFE"/>
    <w:rsid w:val="00A74417"/>
    <w:rsid w:val="00AD4BE7"/>
    <w:rsid w:val="00B56D1F"/>
    <w:rsid w:val="00B56ECD"/>
    <w:rsid w:val="00BA5DBA"/>
    <w:rsid w:val="00BD7FEE"/>
    <w:rsid w:val="00C321F4"/>
    <w:rsid w:val="00C65C87"/>
    <w:rsid w:val="00CA2D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343F"/>
  <w15:chartTrackingRefBased/>
  <w15:docId w15:val="{76BBD66C-13EA-0B4F-9847-B6C616B8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32"/>
    <w:rPr>
      <w:rFonts w:eastAsia="Times New Roman" w:cs="Times New Roman"/>
      <w:sz w:val="22"/>
      <w:lang w:eastAsia="fr-CA"/>
    </w:rPr>
  </w:style>
  <w:style w:type="paragraph" w:styleId="Heading1">
    <w:name w:val="heading 1"/>
    <w:basedOn w:val="Normal"/>
    <w:next w:val="Normal"/>
    <w:link w:val="Heading1Char"/>
    <w:uiPriority w:val="9"/>
    <w:qFormat/>
    <w:rsid w:val="00AD4BE7"/>
    <w:pPr>
      <w:keepNext/>
      <w:keepLines/>
      <w:spacing w:before="240" w:after="200" w:line="276" w:lineRule="auto"/>
      <w:outlineLvl w:val="0"/>
    </w:pPr>
    <w:rPr>
      <w:rFonts w:asciiTheme="majorHAnsi" w:eastAsiaTheme="majorEastAsia" w:hAnsiTheme="majorHAnsi" w:cstheme="majorBidi"/>
      <w:b/>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D4BE7"/>
    <w:pPr>
      <w:keepNext/>
      <w:keepLines/>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5">
    <w:name w:val="heading 5"/>
    <w:basedOn w:val="Normal"/>
    <w:next w:val="Normal"/>
    <w:link w:val="Heading5Char"/>
    <w:uiPriority w:val="9"/>
    <w:unhideWhenUsed/>
    <w:qFormat/>
    <w:rsid w:val="00AD4BE7"/>
    <w:pPr>
      <w:keepNext/>
      <w:keepLines/>
      <w:spacing w:before="40" w:line="276" w:lineRule="auto"/>
      <w:outlineLvl w:val="4"/>
    </w:pPr>
    <w:rPr>
      <w:rFonts w:asciiTheme="majorHAnsi" w:eastAsiaTheme="majorEastAsia" w:hAnsiTheme="majorHAnsi" w:cstheme="majorBidi"/>
      <w:color w:val="2F5496"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BE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AD4BE7"/>
    <w:rPr>
      <w:rFonts w:asciiTheme="majorHAnsi" w:eastAsiaTheme="majorEastAsia" w:hAnsiTheme="majorHAnsi" w:cstheme="majorBidi"/>
      <w:color w:val="2F5496" w:themeColor="accent1" w:themeShade="BF"/>
      <w:sz w:val="26"/>
      <w:szCs w:val="26"/>
      <w:lang w:val="en-US"/>
    </w:rPr>
  </w:style>
  <w:style w:type="character" w:customStyle="1" w:styleId="Heading5Char">
    <w:name w:val="Heading 5 Char"/>
    <w:basedOn w:val="DefaultParagraphFont"/>
    <w:link w:val="Heading5"/>
    <w:uiPriority w:val="9"/>
    <w:rsid w:val="00AD4BE7"/>
    <w:rPr>
      <w:rFonts w:asciiTheme="majorHAnsi" w:eastAsiaTheme="majorEastAsia" w:hAnsiTheme="majorHAnsi" w:cstheme="majorBidi"/>
      <w:color w:val="2F5496" w:themeColor="accent1" w:themeShade="BF"/>
      <w:sz w:val="22"/>
      <w:szCs w:val="22"/>
    </w:rPr>
  </w:style>
  <w:style w:type="paragraph" w:styleId="ListParagraph">
    <w:name w:val="List Paragraph"/>
    <w:basedOn w:val="Normal"/>
    <w:uiPriority w:val="34"/>
    <w:qFormat/>
    <w:rsid w:val="00AD4BE7"/>
    <w:pPr>
      <w:spacing w:after="200" w:line="276" w:lineRule="auto"/>
      <w:ind w:left="720"/>
      <w:contextualSpacing/>
    </w:pPr>
    <w:rPr>
      <w:rFonts w:eastAsiaTheme="minorHAnsi" w:cstheme="minorBidi"/>
      <w:szCs w:val="22"/>
      <w:lang w:eastAsia="en-US"/>
    </w:rPr>
  </w:style>
  <w:style w:type="paragraph" w:styleId="Footer">
    <w:name w:val="footer"/>
    <w:basedOn w:val="Normal"/>
    <w:link w:val="FooterChar"/>
    <w:uiPriority w:val="99"/>
    <w:unhideWhenUsed/>
    <w:rsid w:val="002B089F"/>
    <w:pPr>
      <w:tabs>
        <w:tab w:val="center" w:pos="4680"/>
        <w:tab w:val="right" w:pos="9360"/>
      </w:tabs>
    </w:pPr>
  </w:style>
  <w:style w:type="character" w:customStyle="1" w:styleId="FooterChar">
    <w:name w:val="Footer Char"/>
    <w:basedOn w:val="DefaultParagraphFont"/>
    <w:link w:val="Footer"/>
    <w:uiPriority w:val="99"/>
    <w:rsid w:val="002B089F"/>
    <w:rPr>
      <w:rFonts w:eastAsia="Times New Roman" w:cs="Times New Roman"/>
      <w:sz w:val="22"/>
      <w:lang w:eastAsia="fr-CA"/>
    </w:rPr>
  </w:style>
  <w:style w:type="character" w:styleId="PageNumber">
    <w:name w:val="page number"/>
    <w:basedOn w:val="DefaultParagraphFont"/>
    <w:uiPriority w:val="99"/>
    <w:semiHidden/>
    <w:unhideWhenUsed/>
    <w:rsid w:val="002B089F"/>
  </w:style>
  <w:style w:type="paragraph" w:styleId="Revision">
    <w:name w:val="Revision"/>
    <w:hidden/>
    <w:uiPriority w:val="99"/>
    <w:semiHidden/>
    <w:rsid w:val="00625160"/>
    <w:rPr>
      <w:rFonts w:eastAsia="Times New Roman" w:cs="Times New Roman"/>
      <w:sz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Fritsch</cp:lastModifiedBy>
  <cp:revision>8</cp:revision>
  <dcterms:created xsi:type="dcterms:W3CDTF">2022-03-15T19:35:00Z</dcterms:created>
  <dcterms:modified xsi:type="dcterms:W3CDTF">2022-03-18T19:12:00Z</dcterms:modified>
</cp:coreProperties>
</file>