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250F" w14:textId="1EC4981B" w:rsidR="00E93772" w:rsidRPr="00CB73B1" w:rsidRDefault="0076261F" w:rsidP="1F5E9E68">
      <w:pPr>
        <w:jc w:val="right"/>
      </w:pPr>
      <w:r>
        <w:rPr>
          <w:b/>
          <w:bCs/>
          <w:noProof/>
          <w:sz w:val="36"/>
          <w:szCs w:val="36"/>
        </w:rPr>
        <w:drawing>
          <wp:anchor distT="0" distB="0" distL="114300" distR="114300" simplePos="0" relativeHeight="251673600" behindDoc="0" locked="0" layoutInCell="1" allowOverlap="1" wp14:anchorId="7DFDA373" wp14:editId="2459388B">
            <wp:simplePos x="0" y="0"/>
            <wp:positionH relativeFrom="margin">
              <wp:posOffset>-581025</wp:posOffset>
            </wp:positionH>
            <wp:positionV relativeFrom="paragraph">
              <wp:posOffset>-349250</wp:posOffset>
            </wp:positionV>
            <wp:extent cx="7166196" cy="9305925"/>
            <wp:effectExtent l="0" t="0" r="0" b="0"/>
            <wp:wrapNone/>
            <wp:docPr id="36391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6196" cy="930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3A0D8" w14:textId="0C1A2652" w:rsidR="00E93772" w:rsidRPr="002C7300" w:rsidRDefault="00E93772" w:rsidP="00E93772">
      <w:pPr>
        <w:rPr>
          <w:b/>
          <w:bCs/>
          <w:sz w:val="36"/>
          <w:szCs w:val="36"/>
        </w:rPr>
      </w:pPr>
    </w:p>
    <w:p w14:paraId="74EE43A0" w14:textId="4B47DBB5" w:rsidR="00E93772" w:rsidRPr="002C7300" w:rsidRDefault="00E93772" w:rsidP="00E93772">
      <w:pPr>
        <w:rPr>
          <w:b/>
          <w:bCs/>
          <w:sz w:val="36"/>
          <w:szCs w:val="36"/>
        </w:rPr>
      </w:pPr>
    </w:p>
    <w:p w14:paraId="73A54410" w14:textId="09EDA7B2" w:rsidR="00E93772" w:rsidRPr="002C7300" w:rsidRDefault="00E93772" w:rsidP="00E93772">
      <w:pPr>
        <w:rPr>
          <w:b/>
          <w:bCs/>
          <w:sz w:val="36"/>
          <w:szCs w:val="36"/>
        </w:rPr>
      </w:pPr>
    </w:p>
    <w:p w14:paraId="26310C3B" w14:textId="1C14BAD5" w:rsidR="00E93772" w:rsidRPr="002C7300" w:rsidRDefault="00E93772" w:rsidP="00E93772">
      <w:pPr>
        <w:rPr>
          <w:b/>
          <w:bCs/>
          <w:sz w:val="36"/>
          <w:szCs w:val="36"/>
        </w:rPr>
      </w:pPr>
    </w:p>
    <w:p w14:paraId="42AEF4FF" w14:textId="43A4863F" w:rsidR="00E93772" w:rsidRPr="002C7300" w:rsidRDefault="00E93772" w:rsidP="00E93772">
      <w:pPr>
        <w:rPr>
          <w:b/>
          <w:bCs/>
          <w:sz w:val="36"/>
          <w:szCs w:val="36"/>
        </w:rPr>
      </w:pPr>
    </w:p>
    <w:p w14:paraId="4CF9B201" w14:textId="53C07889" w:rsidR="00E93772" w:rsidRDefault="00E93772" w:rsidP="00E93772">
      <w:pPr>
        <w:rPr>
          <w:b/>
          <w:bCs/>
          <w:sz w:val="36"/>
          <w:szCs w:val="36"/>
        </w:rPr>
      </w:pPr>
      <w:bookmarkStart w:id="0" w:name="_Hlk74213887"/>
    </w:p>
    <w:p w14:paraId="222EA243" w14:textId="77777777" w:rsidR="00E93772" w:rsidRDefault="00E93772" w:rsidP="00E93772">
      <w:pPr>
        <w:rPr>
          <w:b/>
          <w:bCs/>
          <w:sz w:val="36"/>
          <w:szCs w:val="36"/>
        </w:rPr>
      </w:pPr>
    </w:p>
    <w:p w14:paraId="7213AC45" w14:textId="77777777" w:rsidR="00E93772" w:rsidRDefault="00E93772" w:rsidP="00E93772">
      <w:pPr>
        <w:rPr>
          <w:b/>
          <w:bCs/>
          <w:sz w:val="36"/>
          <w:szCs w:val="36"/>
        </w:rPr>
      </w:pPr>
    </w:p>
    <w:p w14:paraId="77C4BB4A" w14:textId="77777777" w:rsidR="00E93772" w:rsidRDefault="00E93772" w:rsidP="00E93772">
      <w:pPr>
        <w:rPr>
          <w:b/>
          <w:bCs/>
          <w:sz w:val="36"/>
          <w:szCs w:val="36"/>
        </w:rPr>
      </w:pPr>
    </w:p>
    <w:p w14:paraId="5151F932" w14:textId="77777777" w:rsidR="00E93772" w:rsidRDefault="00E93772" w:rsidP="00E93772">
      <w:pPr>
        <w:rPr>
          <w:b/>
          <w:bCs/>
          <w:sz w:val="36"/>
          <w:szCs w:val="36"/>
        </w:rPr>
      </w:pPr>
    </w:p>
    <w:p w14:paraId="50D1E1FB" w14:textId="77777777" w:rsidR="00E93772" w:rsidRDefault="00E93772" w:rsidP="00E93772">
      <w:pPr>
        <w:rPr>
          <w:b/>
          <w:bCs/>
          <w:sz w:val="36"/>
          <w:szCs w:val="36"/>
        </w:rPr>
      </w:pPr>
    </w:p>
    <w:p w14:paraId="1ED74CD4" w14:textId="77777777" w:rsidR="00E93772" w:rsidRDefault="00E93772" w:rsidP="00E93772">
      <w:pPr>
        <w:rPr>
          <w:b/>
          <w:bCs/>
          <w:sz w:val="36"/>
          <w:szCs w:val="36"/>
        </w:rPr>
      </w:pPr>
    </w:p>
    <w:p w14:paraId="44AB110B" w14:textId="77777777" w:rsidR="00E93772" w:rsidRDefault="00E93772" w:rsidP="00E93772">
      <w:pPr>
        <w:rPr>
          <w:b/>
          <w:bCs/>
          <w:sz w:val="36"/>
          <w:szCs w:val="36"/>
        </w:rPr>
      </w:pPr>
    </w:p>
    <w:p w14:paraId="71B9BD64" w14:textId="36DA2285" w:rsidR="00E93772" w:rsidRDefault="0076261F" w:rsidP="00E93772">
      <w:pPr>
        <w:rPr>
          <w:b/>
          <w:bCs/>
          <w:sz w:val="36"/>
          <w:szCs w:val="36"/>
        </w:rPr>
      </w:pPr>
      <w:r>
        <w:rPr>
          <w:b/>
          <w:bCs/>
          <w:sz w:val="36"/>
          <w:szCs w:val="36"/>
        </w:rPr>
        <w:t>Consumer Protection in the Digital Marketplace</w:t>
      </w:r>
    </w:p>
    <w:p w14:paraId="60CE3F24" w14:textId="5A1491F9" w:rsidR="00960727" w:rsidRPr="002C7300" w:rsidRDefault="00960727" w:rsidP="00E93772">
      <w:pPr>
        <w:rPr>
          <w:b/>
          <w:bCs/>
          <w:sz w:val="36"/>
          <w:szCs w:val="36"/>
        </w:rPr>
      </w:pPr>
      <w:r>
        <w:rPr>
          <w:b/>
          <w:bCs/>
          <w:sz w:val="36"/>
          <w:szCs w:val="36"/>
        </w:rPr>
        <w:t>Consultation Paper</w:t>
      </w:r>
    </w:p>
    <w:bookmarkEnd w:id="0"/>
    <w:p w14:paraId="1BF1B1AD" w14:textId="7A1D3F1D" w:rsidR="00E93772" w:rsidRDefault="00950C20" w:rsidP="00E93772">
      <w:pPr>
        <w:rPr>
          <w:b/>
          <w:bCs/>
          <w:sz w:val="36"/>
          <w:szCs w:val="36"/>
        </w:rPr>
      </w:pPr>
      <w:r>
        <w:rPr>
          <w:b/>
          <w:bCs/>
          <w:sz w:val="36"/>
          <w:szCs w:val="36"/>
        </w:rPr>
        <w:t>June 2023</w:t>
      </w:r>
    </w:p>
    <w:p w14:paraId="62F94DE5" w14:textId="4B3D59F6" w:rsidR="004B1C14" w:rsidRDefault="004B1C14" w:rsidP="00E93772">
      <w:pPr>
        <w:rPr>
          <w:b/>
          <w:bCs/>
          <w:sz w:val="36"/>
          <w:szCs w:val="36"/>
        </w:rPr>
      </w:pPr>
    </w:p>
    <w:p w14:paraId="36BECB8B" w14:textId="01CAED38" w:rsidR="004B1C14" w:rsidRDefault="004B1C14" w:rsidP="00E93772">
      <w:pPr>
        <w:rPr>
          <w:b/>
          <w:bCs/>
          <w:sz w:val="36"/>
          <w:szCs w:val="36"/>
        </w:rPr>
      </w:pPr>
    </w:p>
    <w:p w14:paraId="24D18C1F" w14:textId="1A363EB8" w:rsidR="00AA6AE8" w:rsidRPr="008546ED" w:rsidRDefault="004B1C14" w:rsidP="00AA6AE8">
      <w:pPr>
        <w:rPr>
          <w:b/>
          <w:bCs/>
        </w:rPr>
      </w:pPr>
      <w:r>
        <w:br/>
      </w:r>
      <w:hyperlink r:id="rId12" w:history="1">
        <w:r w:rsidRPr="00B23190">
          <w:rPr>
            <w:rStyle w:val="Hyperlink"/>
            <w:rFonts w:ascii="Calibri" w:eastAsia="Calibri" w:hAnsi="Calibri" w:cs="Times New Roman"/>
          </w:rPr>
          <w:t>https://www.lco-cdo.org/digitalmarketplace</w:t>
        </w:r>
      </w:hyperlink>
      <w:r w:rsidR="00E93772" w:rsidRPr="00CB73B1">
        <w:br/>
      </w:r>
      <w:r w:rsidR="00E93772" w:rsidRPr="00CD26FD">
        <w:br w:type="page"/>
      </w:r>
      <w:r w:rsidR="00AA6AE8" w:rsidRPr="008546ED">
        <w:rPr>
          <w:b/>
          <w:bCs/>
        </w:rPr>
        <w:lastRenderedPageBreak/>
        <w:t>A</w:t>
      </w:r>
      <w:r w:rsidR="00AB2A90" w:rsidRPr="008546ED">
        <w:rPr>
          <w:b/>
          <w:bCs/>
        </w:rPr>
        <w:t>bout the Law Commission of Ontario</w:t>
      </w:r>
      <w:r w:rsidR="00AA6AE8" w:rsidRPr="008546ED">
        <w:rPr>
          <w:b/>
          <w:bCs/>
        </w:rPr>
        <w:t xml:space="preserve"> </w:t>
      </w:r>
    </w:p>
    <w:p w14:paraId="15F94500" w14:textId="77777777" w:rsidR="00AA6AE8" w:rsidRDefault="00AA6AE8" w:rsidP="00AA6AE8">
      <w:r>
        <w:t>The Law Commission of Ontario (LCO) is Ontario’s leading law reform agency.</w:t>
      </w:r>
    </w:p>
    <w:p w14:paraId="1621408C" w14:textId="77777777" w:rsidR="00AA6AE8" w:rsidRDefault="00AA6AE8" w:rsidP="00AA6AE8">
      <w:r>
        <w:t xml:space="preserve">The LCO provides independent, balanced, and authoritative advice on complex and important legal policy issues. Through this work, the LCO promotes access to justice, evidence-based law reform and public debate. The LCO evaluates laws impartially, transparently and broadly. The LCO’s analysis is informed by legal analysis; interdisciplinary research; contemporary social, demographic and economic conditions; and the impact of technology. </w:t>
      </w:r>
    </w:p>
    <w:p w14:paraId="2176F713" w14:textId="77777777" w:rsidR="00AA6AE8" w:rsidRDefault="00AA6AE8" w:rsidP="00AA6AE8">
      <w:r>
        <w:t xml:space="preserve">The LCO is located at Osgoode Hall Law School, York University, Toronto. </w:t>
      </w:r>
    </w:p>
    <w:p w14:paraId="22CAA039" w14:textId="08B895F1" w:rsidR="00AA6AE8" w:rsidRDefault="00AA6AE8" w:rsidP="00AA6AE8">
      <w:r>
        <w:t xml:space="preserve">More information about the LCO is available at </w:t>
      </w:r>
      <w:hyperlink r:id="rId13" w:history="1">
        <w:r w:rsidR="00AB2A90" w:rsidRPr="005438D2">
          <w:rPr>
            <w:rStyle w:val="Hyperlink"/>
          </w:rPr>
          <w:t>www.lco-cdo.org</w:t>
        </w:r>
      </w:hyperlink>
      <w:r w:rsidR="00AB2A90">
        <w:t>.</w:t>
      </w:r>
      <w:r>
        <w:t xml:space="preserve"> </w:t>
      </w:r>
    </w:p>
    <w:p w14:paraId="5271685F" w14:textId="2FEA0D35" w:rsidR="00AB2A90" w:rsidRDefault="00AB2A90">
      <w:r>
        <w:br w:type="page"/>
      </w:r>
    </w:p>
    <w:p w14:paraId="63BDF128" w14:textId="45F2D9F3" w:rsidR="00AA6AE8" w:rsidRPr="008546ED" w:rsidRDefault="00AB2A90" w:rsidP="00AA6AE8">
      <w:pPr>
        <w:rPr>
          <w:b/>
          <w:bCs/>
        </w:rPr>
      </w:pPr>
      <w:r w:rsidRPr="008546ED">
        <w:rPr>
          <w:b/>
          <w:bCs/>
        </w:rPr>
        <w:lastRenderedPageBreak/>
        <w:t>Law Commission of Ontario Reports</w:t>
      </w:r>
      <w:r w:rsidR="00AA6AE8" w:rsidRPr="008546ED">
        <w:rPr>
          <w:b/>
          <w:bCs/>
        </w:rPr>
        <w:t xml:space="preserve"> </w:t>
      </w:r>
    </w:p>
    <w:p w14:paraId="08D973E9" w14:textId="77777777" w:rsidR="00AA6AE8" w:rsidRDefault="00AA6AE8" w:rsidP="00AA6AE8"/>
    <w:p w14:paraId="0811B071" w14:textId="0BEBCDB4" w:rsidR="007714B4" w:rsidRPr="007714B4" w:rsidRDefault="007714B4" w:rsidP="00AA6AE8">
      <w:r w:rsidRPr="008546ED">
        <w:rPr>
          <w:b/>
          <w:bCs/>
        </w:rPr>
        <w:t>The Last Stages of Life for First Nation, Métis and Inuit Peoples: Preliminary Recommendations for Law Reform</w:t>
      </w:r>
      <w:r>
        <w:t xml:space="preserve"> (May 2023)</w:t>
      </w:r>
    </w:p>
    <w:p w14:paraId="19406619" w14:textId="77777777" w:rsidR="00AA6AE8" w:rsidRDefault="00AA6AE8" w:rsidP="00AA6AE8">
      <w:r w:rsidRPr="008546ED">
        <w:rPr>
          <w:b/>
          <w:bCs/>
        </w:rPr>
        <w:t>Environmental Accountability in Ontario: Consultation Paper</w:t>
      </w:r>
      <w:r>
        <w:t xml:space="preserve"> (September 2022)</w:t>
      </w:r>
    </w:p>
    <w:p w14:paraId="56998640" w14:textId="77777777" w:rsidR="00AA6AE8" w:rsidRDefault="00AA6AE8" w:rsidP="00AA6AE8">
      <w:r w:rsidRPr="008546ED">
        <w:rPr>
          <w:b/>
          <w:bCs/>
        </w:rPr>
        <w:t xml:space="preserve">Accountable AI </w:t>
      </w:r>
      <w:r>
        <w:t>(June 2022)</w:t>
      </w:r>
    </w:p>
    <w:p w14:paraId="5AC035CA" w14:textId="77777777" w:rsidR="00AA6AE8" w:rsidRDefault="00AA6AE8" w:rsidP="00AA6AE8">
      <w:r w:rsidRPr="008546ED">
        <w:rPr>
          <w:b/>
          <w:bCs/>
        </w:rPr>
        <w:t>Comparing European and Canadian AI Regulation</w:t>
      </w:r>
      <w:r>
        <w:t xml:space="preserve"> (November 2021)</w:t>
      </w:r>
    </w:p>
    <w:p w14:paraId="1ADC7FD8" w14:textId="77777777" w:rsidR="00AA6AE8" w:rsidRDefault="00AA6AE8" w:rsidP="00AA6AE8">
      <w:r w:rsidRPr="008546ED">
        <w:rPr>
          <w:b/>
          <w:bCs/>
        </w:rPr>
        <w:t>Legal Issues in the Last Stages of Life</w:t>
      </w:r>
      <w:r>
        <w:t xml:space="preserve"> (October 2021)</w:t>
      </w:r>
    </w:p>
    <w:p w14:paraId="182145CE" w14:textId="77777777" w:rsidR="00AA6AE8" w:rsidRDefault="00AA6AE8" w:rsidP="00AA6AE8">
      <w:r w:rsidRPr="008546ED">
        <w:rPr>
          <w:b/>
          <w:bCs/>
        </w:rPr>
        <w:t>Regulating AI: Critical Issues and Choices</w:t>
      </w:r>
      <w:r>
        <w:t xml:space="preserve"> (April 2021)</w:t>
      </w:r>
    </w:p>
    <w:p w14:paraId="4F7FBC7D" w14:textId="77777777" w:rsidR="00AA6AE8" w:rsidRDefault="00AA6AE8" w:rsidP="00AA6AE8">
      <w:r w:rsidRPr="008546ED">
        <w:rPr>
          <w:b/>
          <w:bCs/>
        </w:rPr>
        <w:t>The Rise and Fall of AI and Algorithms in American Criminal Justice: Lessons for Canada</w:t>
      </w:r>
      <w:r>
        <w:t xml:space="preserve"> (October 2020)</w:t>
      </w:r>
    </w:p>
    <w:p w14:paraId="726EDA47" w14:textId="77777777" w:rsidR="00AA6AE8" w:rsidRDefault="00AA6AE8" w:rsidP="00AA6AE8">
      <w:r w:rsidRPr="008546ED">
        <w:rPr>
          <w:b/>
          <w:bCs/>
        </w:rPr>
        <w:t>Defamation Law in the Internet Age</w:t>
      </w:r>
      <w:r>
        <w:t xml:space="preserve"> (March 2020)</w:t>
      </w:r>
    </w:p>
    <w:p w14:paraId="21B8D1F4" w14:textId="77777777" w:rsidR="00AA6AE8" w:rsidRDefault="00AA6AE8" w:rsidP="00AA6AE8">
      <w:r w:rsidRPr="008546ED">
        <w:rPr>
          <w:b/>
          <w:bCs/>
        </w:rPr>
        <w:t>Class Actions Objectives, Experiences and Reforms</w:t>
      </w:r>
      <w:r>
        <w:t xml:space="preserve"> (July 2019)</w:t>
      </w:r>
    </w:p>
    <w:p w14:paraId="4A5B305E" w14:textId="77777777" w:rsidR="00AA6AE8" w:rsidRDefault="00AA6AE8" w:rsidP="00AA6AE8">
      <w:r w:rsidRPr="008546ED">
        <w:rPr>
          <w:b/>
          <w:bCs/>
        </w:rPr>
        <w:t>Legal Capacity, Decision-making, and Guardianship</w:t>
      </w:r>
      <w:r>
        <w:t xml:space="preserve"> (March 2017) </w:t>
      </w:r>
    </w:p>
    <w:p w14:paraId="275B5EDE" w14:textId="77777777" w:rsidR="00AA6AE8" w:rsidRDefault="00AA6AE8" w:rsidP="00AA6AE8">
      <w:r w:rsidRPr="008546ED">
        <w:rPr>
          <w:b/>
          <w:bCs/>
        </w:rPr>
        <w:t>Simplified Procedures for Small Estates</w:t>
      </w:r>
      <w:r>
        <w:t xml:space="preserve"> (August 2015) </w:t>
      </w:r>
    </w:p>
    <w:p w14:paraId="77532085" w14:textId="77777777" w:rsidR="00AA6AE8" w:rsidRDefault="00AA6AE8" w:rsidP="00AA6AE8">
      <w:r w:rsidRPr="008546ED">
        <w:rPr>
          <w:b/>
          <w:bCs/>
        </w:rPr>
        <w:t>Capacity and Legal Representation for the Federal RDSP</w:t>
      </w:r>
      <w:r>
        <w:t xml:space="preserve"> (June 2014) </w:t>
      </w:r>
    </w:p>
    <w:p w14:paraId="4B137F28" w14:textId="77777777" w:rsidR="00AA6AE8" w:rsidRDefault="00AA6AE8" w:rsidP="00AA6AE8">
      <w:r w:rsidRPr="008546ED">
        <w:rPr>
          <w:b/>
          <w:bCs/>
        </w:rPr>
        <w:t>Review of the Forestry Workers Lien for Wages Act</w:t>
      </w:r>
      <w:r>
        <w:t xml:space="preserve"> (September 2013) </w:t>
      </w:r>
    </w:p>
    <w:p w14:paraId="460210A6" w14:textId="77777777" w:rsidR="00AA6AE8" w:rsidRDefault="00AA6AE8" w:rsidP="00AA6AE8">
      <w:r w:rsidRPr="008546ED">
        <w:rPr>
          <w:b/>
          <w:bCs/>
        </w:rPr>
        <w:t xml:space="preserve">Increasing Access to Family Justice </w:t>
      </w:r>
      <w:r>
        <w:t xml:space="preserve">(February 2013) </w:t>
      </w:r>
    </w:p>
    <w:p w14:paraId="58459874" w14:textId="77777777" w:rsidR="00AA6AE8" w:rsidRDefault="00AA6AE8" w:rsidP="00AA6AE8">
      <w:r w:rsidRPr="008546ED">
        <w:rPr>
          <w:b/>
          <w:bCs/>
        </w:rPr>
        <w:t>Vulnerable Workers and Precarious Work</w:t>
      </w:r>
      <w:r>
        <w:t xml:space="preserve"> (December 2012) </w:t>
      </w:r>
    </w:p>
    <w:p w14:paraId="00F6866B" w14:textId="77777777" w:rsidR="00AA6AE8" w:rsidRDefault="00AA6AE8" w:rsidP="00AA6AE8">
      <w:r w:rsidRPr="008546ED">
        <w:rPr>
          <w:b/>
          <w:bCs/>
        </w:rPr>
        <w:t>A Framework for the Law as It Affects Persons with Disabilities</w:t>
      </w:r>
      <w:r>
        <w:t xml:space="preserve"> (September 2012) </w:t>
      </w:r>
    </w:p>
    <w:p w14:paraId="0C8F560B" w14:textId="77777777" w:rsidR="00AA6AE8" w:rsidRDefault="00AA6AE8" w:rsidP="00AA6AE8">
      <w:r w:rsidRPr="008546ED">
        <w:rPr>
          <w:b/>
          <w:bCs/>
        </w:rPr>
        <w:t>A Framework for Teaching about Violence Against Women</w:t>
      </w:r>
      <w:r>
        <w:t xml:space="preserve"> (August 2012) </w:t>
      </w:r>
    </w:p>
    <w:p w14:paraId="71E4AD0D" w14:textId="77777777" w:rsidR="00AA6AE8" w:rsidRDefault="00AA6AE8" w:rsidP="00AA6AE8">
      <w:r w:rsidRPr="008546ED">
        <w:rPr>
          <w:b/>
          <w:bCs/>
        </w:rPr>
        <w:t xml:space="preserve">A Framework for the Law as It Affects Older Adults </w:t>
      </w:r>
      <w:r>
        <w:t xml:space="preserve">(April 2012) </w:t>
      </w:r>
    </w:p>
    <w:p w14:paraId="6CCFB4E2" w14:textId="77777777" w:rsidR="00AA6AE8" w:rsidRDefault="00AA6AE8" w:rsidP="00AA6AE8">
      <w:r w:rsidRPr="008546ED">
        <w:rPr>
          <w:b/>
          <w:bCs/>
        </w:rPr>
        <w:t xml:space="preserve">Modernization of the Provincial Offences Act </w:t>
      </w:r>
      <w:r>
        <w:t xml:space="preserve">(August 2011) </w:t>
      </w:r>
    </w:p>
    <w:p w14:paraId="775B2C92" w14:textId="77777777" w:rsidR="00AA6AE8" w:rsidRDefault="00AA6AE8" w:rsidP="00AA6AE8">
      <w:r w:rsidRPr="008546ED">
        <w:rPr>
          <w:b/>
          <w:bCs/>
        </w:rPr>
        <w:t>Joint and Several Liability Under the Ontario Business Corporations Act</w:t>
      </w:r>
      <w:r>
        <w:t xml:space="preserve"> (February 2011) </w:t>
      </w:r>
    </w:p>
    <w:p w14:paraId="7FC9E195" w14:textId="77777777" w:rsidR="00AA6AE8" w:rsidRDefault="00AA6AE8" w:rsidP="00AA6AE8">
      <w:r w:rsidRPr="008546ED">
        <w:rPr>
          <w:b/>
          <w:bCs/>
        </w:rPr>
        <w:t>Division of Pensions Upon Marriage Breakdown</w:t>
      </w:r>
      <w:r>
        <w:t xml:space="preserve"> (December 2008) </w:t>
      </w:r>
    </w:p>
    <w:p w14:paraId="7EE01DC4" w14:textId="77777777" w:rsidR="00AA6AE8" w:rsidRDefault="00AA6AE8" w:rsidP="00AA6AE8">
      <w:r w:rsidRPr="008546ED">
        <w:rPr>
          <w:b/>
          <w:bCs/>
        </w:rPr>
        <w:t>Fees for Cashing Government Cheques</w:t>
      </w:r>
      <w:r>
        <w:t xml:space="preserve"> (November 2008)</w:t>
      </w:r>
    </w:p>
    <w:p w14:paraId="48668472" w14:textId="77777777" w:rsidR="00AB2A90" w:rsidRDefault="00AB2A90" w:rsidP="00AA6AE8"/>
    <w:p w14:paraId="76E2E628" w14:textId="77777777" w:rsidR="00AA6AE8" w:rsidRDefault="00AA6AE8" w:rsidP="00AA6AE8">
      <w:r>
        <w:t xml:space="preserve">Access the LCO’s complete list of publications on the LCO website at: </w:t>
      </w:r>
    </w:p>
    <w:p w14:paraId="79A47368" w14:textId="53526A5A" w:rsidR="00AA6AE8" w:rsidRDefault="00000000" w:rsidP="00AA6AE8">
      <w:hyperlink r:id="rId14" w:history="1">
        <w:r w:rsidR="00AB2A90" w:rsidRPr="005438D2">
          <w:rPr>
            <w:rStyle w:val="Hyperlink"/>
          </w:rPr>
          <w:t>https://www.lco-cdo.org/en/publications-papers</w:t>
        </w:r>
      </w:hyperlink>
      <w:r w:rsidR="00AB2A90">
        <w:t xml:space="preserve"> </w:t>
      </w:r>
      <w:r w:rsidR="00AA6AE8">
        <w:t xml:space="preserve"> </w:t>
      </w:r>
    </w:p>
    <w:p w14:paraId="34EC45C2" w14:textId="00014D5F" w:rsidR="00AB2A90" w:rsidRDefault="00AB2A90">
      <w:r>
        <w:br w:type="page"/>
      </w:r>
    </w:p>
    <w:p w14:paraId="673CE962" w14:textId="1AC52A7F" w:rsidR="00AA6AE8" w:rsidRPr="008546ED" w:rsidRDefault="00EA08DF" w:rsidP="00AA6AE8">
      <w:pPr>
        <w:rPr>
          <w:b/>
          <w:bCs/>
        </w:rPr>
      </w:pPr>
      <w:r>
        <w:rPr>
          <w:noProof/>
        </w:rPr>
        <w:lastRenderedPageBreak/>
        <w:drawing>
          <wp:anchor distT="0" distB="0" distL="114300" distR="114300" simplePos="0" relativeHeight="251670528" behindDoc="0" locked="0" layoutInCell="1" allowOverlap="1" wp14:anchorId="4CA4BCAF" wp14:editId="18FBFBD1">
            <wp:simplePos x="0" y="0"/>
            <wp:positionH relativeFrom="margin">
              <wp:align>right</wp:align>
            </wp:positionH>
            <wp:positionV relativeFrom="paragraph">
              <wp:posOffset>294640</wp:posOffset>
            </wp:positionV>
            <wp:extent cx="5936615" cy="1548765"/>
            <wp:effectExtent l="0" t="0" r="6985" b="0"/>
            <wp:wrapSquare wrapText="bothSides"/>
            <wp:docPr id="1993019904" name="Picture 1993019904"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019904" name="Picture 1993019904" descr="A picture containing text, screenshot, font, 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1548765"/>
                    </a:xfrm>
                    <a:prstGeom prst="rect">
                      <a:avLst/>
                    </a:prstGeom>
                    <a:noFill/>
                    <a:ln>
                      <a:noFill/>
                    </a:ln>
                  </pic:spPr>
                </pic:pic>
              </a:graphicData>
            </a:graphic>
          </wp:anchor>
        </w:drawing>
      </w:r>
      <w:r w:rsidR="00AA6AE8" w:rsidRPr="008546ED">
        <w:rPr>
          <w:b/>
          <w:bCs/>
        </w:rPr>
        <w:t>Funders</w:t>
      </w:r>
    </w:p>
    <w:p w14:paraId="6B01378E" w14:textId="77777777" w:rsidR="00AA6AE8" w:rsidRPr="008546ED" w:rsidRDefault="00AA6AE8" w:rsidP="00AA6AE8">
      <w:pPr>
        <w:rPr>
          <w:b/>
          <w:bCs/>
        </w:rPr>
      </w:pPr>
      <w:r w:rsidRPr="008546ED">
        <w:rPr>
          <w:b/>
          <w:bCs/>
        </w:rPr>
        <w:t>Contributors</w:t>
      </w:r>
    </w:p>
    <w:p w14:paraId="28BD2040" w14:textId="77777777" w:rsidR="00AA6AE8" w:rsidRDefault="00AA6AE8" w:rsidP="00AA6AE8">
      <w:r>
        <w:t xml:space="preserve">Ryan Fritsch, Project Lead &amp; Counsel </w:t>
      </w:r>
    </w:p>
    <w:p w14:paraId="3EAC2F9F" w14:textId="77777777" w:rsidR="00AA6AE8" w:rsidRDefault="00AA6AE8" w:rsidP="00AA6AE8">
      <w:r>
        <w:t xml:space="preserve">Nye Thomas, Executive Director </w:t>
      </w:r>
    </w:p>
    <w:p w14:paraId="40A8E907" w14:textId="77777777" w:rsidR="00AB2A90" w:rsidRDefault="00AB2A90" w:rsidP="00AA6AE8"/>
    <w:p w14:paraId="71EE1FFD" w14:textId="3B68DB11" w:rsidR="00AB2A90" w:rsidRPr="008546ED" w:rsidRDefault="00AB2A90" w:rsidP="00AA6AE8">
      <w:pPr>
        <w:rPr>
          <w:b/>
          <w:bCs/>
        </w:rPr>
      </w:pPr>
      <w:r w:rsidRPr="008546ED">
        <w:rPr>
          <w:b/>
          <w:bCs/>
        </w:rPr>
        <w:t>LCO Law Student Scholars</w:t>
      </w:r>
    </w:p>
    <w:tbl>
      <w:tblPr>
        <w:tblStyle w:val="TableGrid"/>
        <w:tblW w:w="0" w:type="auto"/>
        <w:tblLook w:val="04A0" w:firstRow="1" w:lastRow="0" w:firstColumn="1" w:lastColumn="0" w:noHBand="0" w:noVBand="1"/>
      </w:tblPr>
      <w:tblGrid>
        <w:gridCol w:w="3116"/>
        <w:gridCol w:w="3117"/>
        <w:gridCol w:w="3117"/>
      </w:tblGrid>
      <w:tr w:rsidR="00E91AD7" w14:paraId="3D53E129" w14:textId="77777777" w:rsidTr="00E91AD7">
        <w:trPr>
          <w:trHeight w:val="270"/>
        </w:trPr>
        <w:tc>
          <w:tcPr>
            <w:tcW w:w="3116" w:type="dxa"/>
            <w:shd w:val="clear" w:color="auto" w:fill="auto"/>
          </w:tcPr>
          <w:p w14:paraId="4994050B" w14:textId="23F98DF0" w:rsidR="00E91AD7" w:rsidRDefault="00E91AD7" w:rsidP="00AA6AE8">
            <w:r>
              <w:t>Emmanuel Appiah</w:t>
            </w:r>
          </w:p>
        </w:tc>
        <w:tc>
          <w:tcPr>
            <w:tcW w:w="3117" w:type="dxa"/>
            <w:shd w:val="clear" w:color="auto" w:fill="auto"/>
          </w:tcPr>
          <w:p w14:paraId="4E924DEA" w14:textId="2F3042D0" w:rsidR="00E91AD7" w:rsidRDefault="00E91AD7" w:rsidP="00AA6AE8">
            <w:r w:rsidRPr="00EA08DF">
              <w:t>Nidhi Garg</w:t>
            </w:r>
          </w:p>
        </w:tc>
        <w:tc>
          <w:tcPr>
            <w:tcW w:w="3117" w:type="dxa"/>
            <w:shd w:val="clear" w:color="auto" w:fill="auto"/>
          </w:tcPr>
          <w:p w14:paraId="5DC3D875" w14:textId="46392E94" w:rsidR="00E91AD7" w:rsidRDefault="00E91AD7" w:rsidP="00AA6AE8">
            <w:r>
              <w:t>Damiana Pavone</w:t>
            </w:r>
          </w:p>
        </w:tc>
      </w:tr>
      <w:tr w:rsidR="00E91AD7" w14:paraId="64B94D6C" w14:textId="77777777" w:rsidTr="00E91AD7">
        <w:trPr>
          <w:trHeight w:val="270"/>
        </w:trPr>
        <w:tc>
          <w:tcPr>
            <w:tcW w:w="3116" w:type="dxa"/>
            <w:shd w:val="clear" w:color="auto" w:fill="auto"/>
          </w:tcPr>
          <w:p w14:paraId="584AD01C" w14:textId="33461DFF" w:rsidR="00E91AD7" w:rsidRDefault="00E91AD7" w:rsidP="00AA6AE8">
            <w:r w:rsidRPr="00EA08DF">
              <w:t>Mariam Bacchus</w:t>
            </w:r>
          </w:p>
        </w:tc>
        <w:tc>
          <w:tcPr>
            <w:tcW w:w="3117" w:type="dxa"/>
            <w:shd w:val="clear" w:color="auto" w:fill="auto"/>
          </w:tcPr>
          <w:p w14:paraId="491EAB13" w14:textId="344EBE6D" w:rsidR="00E91AD7" w:rsidRPr="00EA08DF" w:rsidRDefault="00E91AD7" w:rsidP="00AA6AE8">
            <w:r>
              <w:t>Dania Kassim</w:t>
            </w:r>
          </w:p>
        </w:tc>
        <w:tc>
          <w:tcPr>
            <w:tcW w:w="3117" w:type="dxa"/>
            <w:shd w:val="clear" w:color="auto" w:fill="auto"/>
          </w:tcPr>
          <w:p w14:paraId="3895C527" w14:textId="1155B91B" w:rsidR="00E91AD7" w:rsidRDefault="00E91AD7" w:rsidP="00AA6AE8">
            <w:r w:rsidRPr="003E21E3">
              <w:t xml:space="preserve">Adrin </w:t>
            </w:r>
            <w:proofErr w:type="spellStart"/>
            <w:r w:rsidRPr="003E21E3">
              <w:t>Shojaie</w:t>
            </w:r>
            <w:proofErr w:type="spellEnd"/>
          </w:p>
        </w:tc>
      </w:tr>
      <w:tr w:rsidR="00AB2A90" w14:paraId="00CF8720" w14:textId="77777777" w:rsidTr="00E91AD7">
        <w:tc>
          <w:tcPr>
            <w:tcW w:w="3116" w:type="dxa"/>
            <w:shd w:val="clear" w:color="auto" w:fill="auto"/>
          </w:tcPr>
          <w:p w14:paraId="55F1C7DF" w14:textId="1D5A64BB" w:rsidR="00AB2A90" w:rsidRDefault="00EA08DF" w:rsidP="00AA6AE8">
            <w:r w:rsidRPr="00EA08DF">
              <w:t>Cassidy Crichlow</w:t>
            </w:r>
          </w:p>
        </w:tc>
        <w:tc>
          <w:tcPr>
            <w:tcW w:w="3117" w:type="dxa"/>
            <w:shd w:val="clear" w:color="auto" w:fill="auto"/>
          </w:tcPr>
          <w:p w14:paraId="378D9805" w14:textId="69E118DA" w:rsidR="00AB2A90" w:rsidRDefault="00EA08DF" w:rsidP="00AA6AE8">
            <w:r w:rsidRPr="0005325C">
              <w:t>Rudra Krishnan</w:t>
            </w:r>
          </w:p>
        </w:tc>
        <w:tc>
          <w:tcPr>
            <w:tcW w:w="3117" w:type="dxa"/>
            <w:shd w:val="clear" w:color="auto" w:fill="auto"/>
          </w:tcPr>
          <w:p w14:paraId="4E0DC1C5" w14:textId="264DE753" w:rsidR="00AB2A90" w:rsidRDefault="00E91AD7" w:rsidP="00AA6AE8">
            <w:r>
              <w:t>Joyce Zhao</w:t>
            </w:r>
          </w:p>
        </w:tc>
      </w:tr>
      <w:tr w:rsidR="00AB2A90" w14:paraId="7B584184" w14:textId="77777777" w:rsidTr="00E91AD7">
        <w:tc>
          <w:tcPr>
            <w:tcW w:w="3116" w:type="dxa"/>
            <w:shd w:val="clear" w:color="auto" w:fill="auto"/>
          </w:tcPr>
          <w:p w14:paraId="347F80F6" w14:textId="42E31223" w:rsidR="00AB2A90" w:rsidRDefault="00EA08DF" w:rsidP="00AA6AE8">
            <w:r w:rsidRPr="003E21E3">
              <w:t>Abhishek Chaudhry</w:t>
            </w:r>
          </w:p>
        </w:tc>
        <w:tc>
          <w:tcPr>
            <w:tcW w:w="3117" w:type="dxa"/>
            <w:shd w:val="clear" w:color="auto" w:fill="auto"/>
          </w:tcPr>
          <w:p w14:paraId="1A8328E6" w14:textId="40F68000" w:rsidR="00AB2A90" w:rsidRDefault="00EA08DF" w:rsidP="00AA6AE8">
            <w:r w:rsidRPr="00EA08DF">
              <w:t>Lexie Misterski</w:t>
            </w:r>
          </w:p>
        </w:tc>
        <w:tc>
          <w:tcPr>
            <w:tcW w:w="3117" w:type="dxa"/>
            <w:shd w:val="clear" w:color="auto" w:fill="auto"/>
          </w:tcPr>
          <w:p w14:paraId="34C4C221" w14:textId="12AA3207" w:rsidR="00AB2A90" w:rsidRDefault="00AB2A90" w:rsidP="00AA6AE8"/>
        </w:tc>
      </w:tr>
      <w:tr w:rsidR="00AB2A90" w14:paraId="0446DBE6" w14:textId="77777777" w:rsidTr="00E91AD7">
        <w:tc>
          <w:tcPr>
            <w:tcW w:w="3116" w:type="dxa"/>
            <w:shd w:val="clear" w:color="auto" w:fill="auto"/>
          </w:tcPr>
          <w:p w14:paraId="03D65F21" w14:textId="3E315D6C" w:rsidR="00AB2A90" w:rsidRDefault="00E91AD7" w:rsidP="00AA6AE8">
            <w:r>
              <w:t>Aaron Dishy</w:t>
            </w:r>
          </w:p>
        </w:tc>
        <w:tc>
          <w:tcPr>
            <w:tcW w:w="3117" w:type="dxa"/>
            <w:shd w:val="clear" w:color="auto" w:fill="auto"/>
          </w:tcPr>
          <w:p w14:paraId="520C1BBA" w14:textId="307C8891" w:rsidR="00AB2A90" w:rsidRDefault="00EA08DF" w:rsidP="00AA6AE8">
            <w:r w:rsidRPr="00EA08DF">
              <w:t>Hala Omar</w:t>
            </w:r>
          </w:p>
        </w:tc>
        <w:tc>
          <w:tcPr>
            <w:tcW w:w="3117" w:type="dxa"/>
            <w:shd w:val="clear" w:color="auto" w:fill="auto"/>
          </w:tcPr>
          <w:p w14:paraId="359084E3" w14:textId="77777777" w:rsidR="00AB2A90" w:rsidRDefault="00AB2A90" w:rsidP="00AA6AE8"/>
        </w:tc>
      </w:tr>
    </w:tbl>
    <w:p w14:paraId="1DC59E78" w14:textId="2E5559FD" w:rsidR="00AA6AE8" w:rsidRDefault="00AA6AE8" w:rsidP="00AA6AE8"/>
    <w:p w14:paraId="415D2734" w14:textId="66F038B5" w:rsidR="00AA6AE8" w:rsidRPr="008546ED" w:rsidRDefault="002A633F" w:rsidP="00AA6AE8">
      <w:pPr>
        <w:rPr>
          <w:b/>
          <w:bCs/>
        </w:rPr>
      </w:pPr>
      <w:r>
        <w:rPr>
          <w:b/>
          <w:bCs/>
        </w:rPr>
        <w:t xml:space="preserve">External </w:t>
      </w:r>
      <w:r w:rsidR="00AB2A90" w:rsidRPr="008546ED">
        <w:rPr>
          <w:b/>
          <w:bCs/>
        </w:rPr>
        <w:t>Advisory Group</w:t>
      </w:r>
    </w:p>
    <w:p w14:paraId="4FE4ED46" w14:textId="542C765E" w:rsidR="00AA6AE8" w:rsidRDefault="00EA08DF" w:rsidP="00AA6AE8">
      <w:r>
        <w:t xml:space="preserve">Dan Edmondstone, McMillan LLP, and Ontario Bar Association Business Law Section </w:t>
      </w:r>
      <w:r>
        <w:br/>
      </w:r>
      <w:r w:rsidRPr="00426099">
        <w:t>Jack Enman-Beech</w:t>
      </w:r>
      <w:r>
        <w:t>, Faculty of Law, University of Toronto</w:t>
      </w:r>
      <w:r>
        <w:br/>
        <w:t>David Fewer, General Counsel, CIPPIC</w:t>
      </w:r>
      <w:r w:rsidR="00EE6BE2">
        <w:br/>
      </w:r>
      <w:r w:rsidR="00EE6BE2" w:rsidRPr="00EE6BE2">
        <w:t>Florencia Marotta-Wurgler</w:t>
      </w:r>
      <w:r w:rsidR="00EE6BE2">
        <w:t>, New York University School of Law</w:t>
      </w:r>
      <w:r>
        <w:br/>
        <w:t xml:space="preserve">Alexandra Mogyoros, </w:t>
      </w:r>
      <w:r w:rsidRPr="00426099">
        <w:t>Lincoln Alexander School of Law</w:t>
      </w:r>
      <w:r>
        <w:t>, Toronto Metropolitan University</w:t>
      </w:r>
      <w:r>
        <w:br/>
        <w:t>Marina Pavlovic, Faculty of Law, University of Ottawa</w:t>
      </w:r>
      <w:r>
        <w:br/>
        <w:t>Michael Tamblyn, CEO, Rakuten Kobo</w:t>
      </w:r>
    </w:p>
    <w:p w14:paraId="2F746CFF" w14:textId="77777777" w:rsidR="00EA08DF" w:rsidRDefault="00EA08DF" w:rsidP="00AA6AE8">
      <w:pPr>
        <w:rPr>
          <w:b/>
          <w:bCs/>
        </w:rPr>
      </w:pPr>
    </w:p>
    <w:p w14:paraId="7A219983" w14:textId="0E535F1C" w:rsidR="00AA6AE8" w:rsidRPr="008546ED" w:rsidRDefault="00AA6AE8" w:rsidP="00AA6AE8">
      <w:pPr>
        <w:rPr>
          <w:b/>
          <w:bCs/>
        </w:rPr>
      </w:pPr>
      <w:r w:rsidRPr="008546ED">
        <w:rPr>
          <w:b/>
          <w:bCs/>
        </w:rPr>
        <w:t xml:space="preserve">Disclaimer </w:t>
      </w:r>
    </w:p>
    <w:p w14:paraId="760B28B4" w14:textId="77777777" w:rsidR="00AA6AE8" w:rsidRDefault="00AA6AE8" w:rsidP="00AA6AE8">
      <w:r>
        <w:t>The opinions or points of view expressed in the LCO’s research, findings and recommendations do not necessarily represent the views of LCO Advisory Committee members, funders (Law Foundation of Ontario, Osgoode Hall Law School, Law Society of Ontario) or supporters (Law Deans of Ontario, York University).</w:t>
      </w:r>
    </w:p>
    <w:p w14:paraId="62425A82" w14:textId="77777777" w:rsidR="00EA08DF" w:rsidRDefault="00EA08DF" w:rsidP="00AA6AE8">
      <w:pPr>
        <w:rPr>
          <w:b/>
          <w:bCs/>
        </w:rPr>
      </w:pPr>
    </w:p>
    <w:p w14:paraId="252573CF" w14:textId="5A7F573B" w:rsidR="00AA6AE8" w:rsidRPr="008546ED" w:rsidRDefault="00AA6AE8" w:rsidP="00AA6AE8">
      <w:pPr>
        <w:rPr>
          <w:b/>
          <w:bCs/>
        </w:rPr>
      </w:pPr>
      <w:r w:rsidRPr="008546ED">
        <w:rPr>
          <w:b/>
          <w:bCs/>
        </w:rPr>
        <w:t>Citation</w:t>
      </w:r>
    </w:p>
    <w:p w14:paraId="28D88DC3" w14:textId="50CC923A" w:rsidR="00AA6AE8" w:rsidRDefault="00AA6AE8" w:rsidP="00AA6AE8">
      <w:r>
        <w:lastRenderedPageBreak/>
        <w:t xml:space="preserve">Law Commission of Ontario, </w:t>
      </w:r>
      <w:r w:rsidR="00EA08DF" w:rsidRPr="008546ED">
        <w:rPr>
          <w:i/>
          <w:iCs/>
        </w:rPr>
        <w:t>Consumer Protection in the Digital Marketplace: Consultation Paper</w:t>
      </w:r>
      <w:r>
        <w:t xml:space="preserve"> (Toronto: </w:t>
      </w:r>
      <w:r w:rsidR="00EA08DF">
        <w:t>June</w:t>
      </w:r>
      <w:r>
        <w:t xml:space="preserve"> 2023).</w:t>
      </w:r>
    </w:p>
    <w:p w14:paraId="41383289" w14:textId="77777777" w:rsidR="00EA08DF" w:rsidRDefault="00EA08DF" w:rsidP="00AA6AE8">
      <w:pPr>
        <w:rPr>
          <w:b/>
          <w:bCs/>
        </w:rPr>
      </w:pPr>
    </w:p>
    <w:p w14:paraId="16C34936" w14:textId="2D0C0568" w:rsidR="00AA6AE8" w:rsidRPr="008546ED" w:rsidRDefault="00AA6AE8" w:rsidP="00AA6AE8">
      <w:pPr>
        <w:rPr>
          <w:b/>
          <w:bCs/>
        </w:rPr>
      </w:pPr>
      <w:r w:rsidRPr="008546ED">
        <w:rPr>
          <w:b/>
          <w:bCs/>
        </w:rPr>
        <w:t>Contact</w:t>
      </w:r>
    </w:p>
    <w:p w14:paraId="5CDC4826" w14:textId="77777777" w:rsidR="00AA6AE8" w:rsidRDefault="00AA6AE8" w:rsidP="00AA6AE8">
      <w:r>
        <w:t>Law Commission of Ontario</w:t>
      </w:r>
      <w:r>
        <w:tab/>
      </w:r>
      <w:r>
        <w:tab/>
      </w:r>
      <w:r>
        <w:tab/>
      </w:r>
      <w:r>
        <w:tab/>
        <w:t>Tel: (416) 650-8406</w:t>
      </w:r>
    </w:p>
    <w:p w14:paraId="09C8C81A" w14:textId="7F27DDC6" w:rsidR="00AA6AE8" w:rsidRDefault="00AA6AE8" w:rsidP="00AA6AE8">
      <w:r>
        <w:t>2032 Ignat Kaneff Building,</w:t>
      </w:r>
      <w:r>
        <w:tab/>
      </w:r>
      <w:r>
        <w:tab/>
      </w:r>
      <w:r>
        <w:tab/>
      </w:r>
      <w:r>
        <w:tab/>
        <w:t xml:space="preserve">E-mail: </w:t>
      </w:r>
      <w:hyperlink r:id="rId16" w:history="1">
        <w:r w:rsidR="00193824" w:rsidRPr="00B23190">
          <w:rPr>
            <w:rStyle w:val="Hyperlink"/>
          </w:rPr>
          <w:t>LawCommission@lco-cdo.org</w:t>
        </w:r>
      </w:hyperlink>
      <w:r w:rsidR="00193824">
        <w:t xml:space="preserve"> </w:t>
      </w:r>
      <w:r>
        <w:t xml:space="preserve"> </w:t>
      </w:r>
    </w:p>
    <w:p w14:paraId="76B14F4E" w14:textId="671F69F7" w:rsidR="00AA6AE8" w:rsidRDefault="00AA6AE8" w:rsidP="00AA6AE8">
      <w:r>
        <w:t>Osgoode Hall Law School, York University</w:t>
      </w:r>
      <w:r>
        <w:tab/>
      </w:r>
      <w:r>
        <w:tab/>
        <w:t xml:space="preserve">Web: </w:t>
      </w:r>
      <w:hyperlink r:id="rId17" w:history="1">
        <w:r w:rsidR="00193824" w:rsidRPr="00B23190">
          <w:rPr>
            <w:rStyle w:val="Hyperlink"/>
          </w:rPr>
          <w:t>https://www.lco-cdo.org</w:t>
        </w:r>
      </w:hyperlink>
      <w:r w:rsidR="00193824">
        <w:t xml:space="preserve"> </w:t>
      </w:r>
      <w:r>
        <w:t xml:space="preserve"> </w:t>
      </w:r>
    </w:p>
    <w:p w14:paraId="0B3C5694" w14:textId="667A7D00" w:rsidR="00AA6AE8" w:rsidRDefault="00AA6AE8" w:rsidP="00AA6AE8">
      <w:r>
        <w:t>4700 Keele Street, Toronto, Ontario, M3J 1P3</w:t>
      </w:r>
      <w:r>
        <w:tab/>
      </w:r>
      <w:r>
        <w:tab/>
        <w:t>Twitter:</w:t>
      </w:r>
      <w:hyperlink r:id="rId18" w:history="1">
        <w:r w:rsidRPr="00193824">
          <w:rPr>
            <w:rStyle w:val="Hyperlink"/>
          </w:rPr>
          <w:t xml:space="preserve"> @LCO_CDO</w:t>
        </w:r>
      </w:hyperlink>
      <w:r w:rsidR="00193824">
        <w:t xml:space="preserve"> </w:t>
      </w:r>
    </w:p>
    <w:p w14:paraId="1B64F8B8" w14:textId="38751390" w:rsidR="00AA6AE8" w:rsidRDefault="00AA6AE8" w:rsidP="00AA6AE8">
      <w:r>
        <w:tab/>
      </w:r>
      <w:r>
        <w:tab/>
      </w:r>
      <w:r>
        <w:tab/>
      </w:r>
      <w:r>
        <w:tab/>
      </w:r>
      <w:r>
        <w:tab/>
      </w:r>
      <w:r>
        <w:tab/>
      </w:r>
      <w:r>
        <w:tab/>
        <w:t xml:space="preserve">YouTube: </w:t>
      </w:r>
      <w:hyperlink r:id="rId19" w:history="1">
        <w:r w:rsidRPr="00193824">
          <w:rPr>
            <w:rStyle w:val="Hyperlink"/>
          </w:rPr>
          <w:t>@lawcommissionofontario8724</w:t>
        </w:r>
      </w:hyperlink>
      <w:r>
        <w:t xml:space="preserve"> </w:t>
      </w:r>
      <w:r>
        <w:br w:type="page"/>
      </w:r>
    </w:p>
    <w:sdt>
      <w:sdtPr>
        <w:rPr>
          <w:rFonts w:asciiTheme="minorHAnsi" w:eastAsiaTheme="minorHAnsi" w:hAnsiTheme="minorHAnsi" w:cstheme="minorBidi"/>
          <w:b w:val="0"/>
          <w:color w:val="auto"/>
          <w:sz w:val="22"/>
          <w:szCs w:val="22"/>
          <w:lang w:val="en-CA"/>
        </w:rPr>
        <w:id w:val="1648321510"/>
        <w:docPartObj>
          <w:docPartGallery w:val="Table of Contents"/>
          <w:docPartUnique/>
        </w:docPartObj>
      </w:sdtPr>
      <w:sdtEndPr>
        <w:rPr>
          <w:bCs/>
          <w:noProof/>
        </w:rPr>
      </w:sdtEndPr>
      <w:sdtContent>
        <w:p w14:paraId="53023DBF" w14:textId="654F5FED" w:rsidR="00196E4C" w:rsidRDefault="00196E4C">
          <w:pPr>
            <w:pStyle w:val="TOCHeading"/>
          </w:pPr>
          <w:r>
            <w:t>Contents</w:t>
          </w:r>
        </w:p>
        <w:p w14:paraId="499DB901" w14:textId="49492345" w:rsidR="006D334C" w:rsidRDefault="00196E4C">
          <w:pPr>
            <w:pStyle w:val="TOC1"/>
            <w:rPr>
              <w:rFonts w:eastAsiaTheme="minorEastAsia"/>
              <w:noProof/>
              <w:kern w:val="2"/>
              <w:lang w:eastAsia="en-CA"/>
              <w14:ligatures w14:val="standardContextual"/>
            </w:rPr>
          </w:pPr>
          <w:r>
            <w:fldChar w:fldCharType="begin"/>
          </w:r>
          <w:r>
            <w:instrText xml:space="preserve"> TOC \o "1-3" \h \z \u </w:instrText>
          </w:r>
          <w:r>
            <w:fldChar w:fldCharType="separate"/>
          </w:r>
          <w:hyperlink w:anchor="_Toc138151817" w:history="1">
            <w:r w:rsidR="006D334C" w:rsidRPr="001A1974">
              <w:rPr>
                <w:rStyle w:val="Hyperlink"/>
                <w:noProof/>
              </w:rPr>
              <w:t>List of Acronyms</w:t>
            </w:r>
            <w:r w:rsidR="006D334C">
              <w:rPr>
                <w:noProof/>
                <w:webHidden/>
              </w:rPr>
              <w:tab/>
            </w:r>
            <w:r w:rsidR="006D334C">
              <w:rPr>
                <w:noProof/>
                <w:webHidden/>
              </w:rPr>
              <w:fldChar w:fldCharType="begin"/>
            </w:r>
            <w:r w:rsidR="006D334C">
              <w:rPr>
                <w:noProof/>
                <w:webHidden/>
              </w:rPr>
              <w:instrText xml:space="preserve"> PAGEREF _Toc138151817 \h </w:instrText>
            </w:r>
            <w:r w:rsidR="006D334C">
              <w:rPr>
                <w:noProof/>
                <w:webHidden/>
              </w:rPr>
            </w:r>
            <w:r w:rsidR="006D334C">
              <w:rPr>
                <w:noProof/>
                <w:webHidden/>
              </w:rPr>
              <w:fldChar w:fldCharType="separate"/>
            </w:r>
            <w:r w:rsidR="006D334C">
              <w:rPr>
                <w:noProof/>
                <w:webHidden/>
              </w:rPr>
              <w:t>9</w:t>
            </w:r>
            <w:r w:rsidR="006D334C">
              <w:rPr>
                <w:noProof/>
                <w:webHidden/>
              </w:rPr>
              <w:fldChar w:fldCharType="end"/>
            </w:r>
          </w:hyperlink>
        </w:p>
        <w:p w14:paraId="42CF43E3" w14:textId="0489BCA5" w:rsidR="006D334C" w:rsidRDefault="00000000">
          <w:pPr>
            <w:pStyle w:val="TOC1"/>
            <w:rPr>
              <w:rFonts w:eastAsiaTheme="minorEastAsia"/>
              <w:noProof/>
              <w:kern w:val="2"/>
              <w:lang w:eastAsia="en-CA"/>
              <w14:ligatures w14:val="standardContextual"/>
            </w:rPr>
          </w:pPr>
          <w:hyperlink w:anchor="_Toc138151818" w:history="1">
            <w:r w:rsidR="006D334C" w:rsidRPr="001A1974">
              <w:rPr>
                <w:rStyle w:val="Hyperlink"/>
                <w:noProof/>
              </w:rPr>
              <w:t>1.</w:t>
            </w:r>
            <w:r w:rsidR="006D334C">
              <w:rPr>
                <w:rFonts w:eastAsiaTheme="minorEastAsia"/>
                <w:noProof/>
                <w:kern w:val="2"/>
                <w:lang w:eastAsia="en-CA"/>
                <w14:ligatures w14:val="standardContextual"/>
              </w:rPr>
              <w:tab/>
            </w:r>
            <w:r w:rsidR="006D334C" w:rsidRPr="001A1974">
              <w:rPr>
                <w:rStyle w:val="Hyperlink"/>
                <w:noProof/>
              </w:rPr>
              <w:t>Introduction</w:t>
            </w:r>
            <w:r w:rsidR="006D334C">
              <w:rPr>
                <w:noProof/>
                <w:webHidden/>
              </w:rPr>
              <w:tab/>
            </w:r>
            <w:r w:rsidR="006D334C">
              <w:rPr>
                <w:noProof/>
                <w:webHidden/>
              </w:rPr>
              <w:fldChar w:fldCharType="begin"/>
            </w:r>
            <w:r w:rsidR="006D334C">
              <w:rPr>
                <w:noProof/>
                <w:webHidden/>
              </w:rPr>
              <w:instrText xml:space="preserve"> PAGEREF _Toc138151818 \h </w:instrText>
            </w:r>
            <w:r w:rsidR="006D334C">
              <w:rPr>
                <w:noProof/>
                <w:webHidden/>
              </w:rPr>
            </w:r>
            <w:r w:rsidR="006D334C">
              <w:rPr>
                <w:noProof/>
                <w:webHidden/>
              </w:rPr>
              <w:fldChar w:fldCharType="separate"/>
            </w:r>
            <w:r w:rsidR="006D334C">
              <w:rPr>
                <w:noProof/>
                <w:webHidden/>
              </w:rPr>
              <w:t>10</w:t>
            </w:r>
            <w:r w:rsidR="006D334C">
              <w:rPr>
                <w:noProof/>
                <w:webHidden/>
              </w:rPr>
              <w:fldChar w:fldCharType="end"/>
            </w:r>
          </w:hyperlink>
        </w:p>
        <w:p w14:paraId="246C4437" w14:textId="276520E3"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19" w:history="1">
            <w:r w:rsidR="006D334C" w:rsidRPr="001A1974">
              <w:rPr>
                <w:rStyle w:val="Hyperlink"/>
                <w:noProof/>
              </w:rPr>
              <w:t>1.1.</w:t>
            </w:r>
            <w:r w:rsidR="006D334C">
              <w:rPr>
                <w:rFonts w:eastAsiaTheme="minorEastAsia"/>
                <w:noProof/>
                <w:kern w:val="2"/>
                <w:lang w:eastAsia="en-CA"/>
                <w14:ligatures w14:val="standardContextual"/>
              </w:rPr>
              <w:tab/>
            </w:r>
            <w:r w:rsidR="006D334C" w:rsidRPr="001A1974">
              <w:rPr>
                <w:rStyle w:val="Hyperlink"/>
                <w:noProof/>
              </w:rPr>
              <w:t>The LCO’s Consumer Protection in the Digital Marketplace Project</w:t>
            </w:r>
            <w:r w:rsidR="006D334C">
              <w:rPr>
                <w:noProof/>
                <w:webHidden/>
              </w:rPr>
              <w:tab/>
            </w:r>
            <w:r w:rsidR="006D334C">
              <w:rPr>
                <w:noProof/>
                <w:webHidden/>
              </w:rPr>
              <w:fldChar w:fldCharType="begin"/>
            </w:r>
            <w:r w:rsidR="006D334C">
              <w:rPr>
                <w:noProof/>
                <w:webHidden/>
              </w:rPr>
              <w:instrText xml:space="preserve"> PAGEREF _Toc138151819 \h </w:instrText>
            </w:r>
            <w:r w:rsidR="006D334C">
              <w:rPr>
                <w:noProof/>
                <w:webHidden/>
              </w:rPr>
            </w:r>
            <w:r w:rsidR="006D334C">
              <w:rPr>
                <w:noProof/>
                <w:webHidden/>
              </w:rPr>
              <w:fldChar w:fldCharType="separate"/>
            </w:r>
            <w:r w:rsidR="006D334C">
              <w:rPr>
                <w:noProof/>
                <w:webHidden/>
              </w:rPr>
              <w:t>10</w:t>
            </w:r>
            <w:r w:rsidR="006D334C">
              <w:rPr>
                <w:noProof/>
                <w:webHidden/>
              </w:rPr>
              <w:fldChar w:fldCharType="end"/>
            </w:r>
          </w:hyperlink>
        </w:p>
        <w:p w14:paraId="6881C945" w14:textId="0B4A3124"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20" w:history="1">
            <w:r w:rsidR="006D334C" w:rsidRPr="001A1974">
              <w:rPr>
                <w:rStyle w:val="Hyperlink"/>
                <w:noProof/>
              </w:rPr>
              <w:t>1.2.</w:t>
            </w:r>
            <w:r w:rsidR="006D334C">
              <w:rPr>
                <w:rFonts w:eastAsiaTheme="minorEastAsia"/>
                <w:noProof/>
                <w:kern w:val="2"/>
                <w:lang w:eastAsia="en-CA"/>
                <w14:ligatures w14:val="standardContextual"/>
              </w:rPr>
              <w:tab/>
            </w:r>
            <w:r w:rsidR="006D334C" w:rsidRPr="001A1974">
              <w:rPr>
                <w:rStyle w:val="Hyperlink"/>
                <w:noProof/>
              </w:rPr>
              <w:t>About the LCO</w:t>
            </w:r>
            <w:r w:rsidR="006D334C">
              <w:rPr>
                <w:noProof/>
                <w:webHidden/>
              </w:rPr>
              <w:tab/>
            </w:r>
            <w:r w:rsidR="006D334C">
              <w:rPr>
                <w:noProof/>
                <w:webHidden/>
              </w:rPr>
              <w:fldChar w:fldCharType="begin"/>
            </w:r>
            <w:r w:rsidR="006D334C">
              <w:rPr>
                <w:noProof/>
                <w:webHidden/>
              </w:rPr>
              <w:instrText xml:space="preserve"> PAGEREF _Toc138151820 \h </w:instrText>
            </w:r>
            <w:r w:rsidR="006D334C">
              <w:rPr>
                <w:noProof/>
                <w:webHidden/>
              </w:rPr>
            </w:r>
            <w:r w:rsidR="006D334C">
              <w:rPr>
                <w:noProof/>
                <w:webHidden/>
              </w:rPr>
              <w:fldChar w:fldCharType="separate"/>
            </w:r>
            <w:r w:rsidR="006D334C">
              <w:rPr>
                <w:noProof/>
                <w:webHidden/>
              </w:rPr>
              <w:t>12</w:t>
            </w:r>
            <w:r w:rsidR="006D334C">
              <w:rPr>
                <w:noProof/>
                <w:webHidden/>
              </w:rPr>
              <w:fldChar w:fldCharType="end"/>
            </w:r>
          </w:hyperlink>
        </w:p>
        <w:p w14:paraId="56134D5B" w14:textId="2A46F8EC"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21" w:history="1">
            <w:r w:rsidR="006D334C" w:rsidRPr="001A1974">
              <w:rPr>
                <w:rStyle w:val="Hyperlink"/>
                <w:noProof/>
              </w:rPr>
              <w:t>1.3.</w:t>
            </w:r>
            <w:r w:rsidR="006D334C">
              <w:rPr>
                <w:rFonts w:eastAsiaTheme="minorEastAsia"/>
                <w:noProof/>
                <w:kern w:val="2"/>
                <w:lang w:eastAsia="en-CA"/>
                <w14:ligatures w14:val="standardContextual"/>
              </w:rPr>
              <w:tab/>
            </w:r>
            <w:r w:rsidR="006D334C" w:rsidRPr="001A1974">
              <w:rPr>
                <w:rStyle w:val="Hyperlink"/>
                <w:noProof/>
              </w:rPr>
              <w:t>Catalysts for Reform</w:t>
            </w:r>
            <w:r w:rsidR="006D334C">
              <w:rPr>
                <w:noProof/>
                <w:webHidden/>
              </w:rPr>
              <w:tab/>
            </w:r>
            <w:r w:rsidR="006D334C">
              <w:rPr>
                <w:noProof/>
                <w:webHidden/>
              </w:rPr>
              <w:fldChar w:fldCharType="begin"/>
            </w:r>
            <w:r w:rsidR="006D334C">
              <w:rPr>
                <w:noProof/>
                <w:webHidden/>
              </w:rPr>
              <w:instrText xml:space="preserve"> PAGEREF _Toc138151821 \h </w:instrText>
            </w:r>
            <w:r w:rsidR="006D334C">
              <w:rPr>
                <w:noProof/>
                <w:webHidden/>
              </w:rPr>
            </w:r>
            <w:r w:rsidR="006D334C">
              <w:rPr>
                <w:noProof/>
                <w:webHidden/>
              </w:rPr>
              <w:fldChar w:fldCharType="separate"/>
            </w:r>
            <w:r w:rsidR="006D334C">
              <w:rPr>
                <w:noProof/>
                <w:webHidden/>
              </w:rPr>
              <w:t>12</w:t>
            </w:r>
            <w:r w:rsidR="006D334C">
              <w:rPr>
                <w:noProof/>
                <w:webHidden/>
              </w:rPr>
              <w:fldChar w:fldCharType="end"/>
            </w:r>
          </w:hyperlink>
        </w:p>
        <w:p w14:paraId="3D8B8E79" w14:textId="2F6AA11F" w:rsidR="006D334C" w:rsidRDefault="00000000">
          <w:pPr>
            <w:pStyle w:val="TOC3"/>
            <w:tabs>
              <w:tab w:val="left" w:pos="1320"/>
              <w:tab w:val="right" w:leader="dot" w:pos="9350"/>
            </w:tabs>
            <w:rPr>
              <w:rFonts w:eastAsiaTheme="minorEastAsia"/>
              <w:noProof/>
              <w:kern w:val="2"/>
              <w:lang w:eastAsia="en-CA"/>
              <w14:ligatures w14:val="standardContextual"/>
            </w:rPr>
          </w:pPr>
          <w:hyperlink w:anchor="_Toc138151822" w:history="1">
            <w:r w:rsidR="006D334C" w:rsidRPr="001A1974">
              <w:rPr>
                <w:rStyle w:val="Hyperlink"/>
                <w:noProof/>
              </w:rPr>
              <w:t>1.3.1</w:t>
            </w:r>
            <w:r w:rsidR="006D334C">
              <w:rPr>
                <w:rFonts w:eastAsiaTheme="minorEastAsia"/>
                <w:noProof/>
                <w:kern w:val="2"/>
                <w:lang w:eastAsia="en-CA"/>
                <w14:ligatures w14:val="standardContextual"/>
              </w:rPr>
              <w:tab/>
            </w:r>
            <w:r w:rsidR="006D334C" w:rsidRPr="001A1974">
              <w:rPr>
                <w:rStyle w:val="Hyperlink"/>
                <w:noProof/>
              </w:rPr>
              <w:t>Digital ToS Contracts May Undermine Traditional Consumer Protections and Principles</w:t>
            </w:r>
            <w:r w:rsidR="006D334C">
              <w:rPr>
                <w:noProof/>
                <w:webHidden/>
              </w:rPr>
              <w:tab/>
            </w:r>
            <w:r w:rsidR="006D334C">
              <w:rPr>
                <w:noProof/>
                <w:webHidden/>
              </w:rPr>
              <w:fldChar w:fldCharType="begin"/>
            </w:r>
            <w:r w:rsidR="006D334C">
              <w:rPr>
                <w:noProof/>
                <w:webHidden/>
              </w:rPr>
              <w:instrText xml:space="preserve"> PAGEREF _Toc138151822 \h </w:instrText>
            </w:r>
            <w:r w:rsidR="006D334C">
              <w:rPr>
                <w:noProof/>
                <w:webHidden/>
              </w:rPr>
            </w:r>
            <w:r w:rsidR="006D334C">
              <w:rPr>
                <w:noProof/>
                <w:webHidden/>
              </w:rPr>
              <w:fldChar w:fldCharType="separate"/>
            </w:r>
            <w:r w:rsidR="006D334C">
              <w:rPr>
                <w:noProof/>
                <w:webHidden/>
              </w:rPr>
              <w:t>13</w:t>
            </w:r>
            <w:r w:rsidR="006D334C">
              <w:rPr>
                <w:noProof/>
                <w:webHidden/>
              </w:rPr>
              <w:fldChar w:fldCharType="end"/>
            </w:r>
          </w:hyperlink>
        </w:p>
        <w:p w14:paraId="2DE59FCF" w14:textId="32486F54" w:rsidR="006D334C" w:rsidRDefault="00000000">
          <w:pPr>
            <w:pStyle w:val="TOC3"/>
            <w:tabs>
              <w:tab w:val="left" w:pos="1320"/>
              <w:tab w:val="right" w:leader="dot" w:pos="9350"/>
            </w:tabs>
            <w:rPr>
              <w:rFonts w:eastAsiaTheme="minorEastAsia"/>
              <w:noProof/>
              <w:kern w:val="2"/>
              <w:lang w:eastAsia="en-CA"/>
              <w14:ligatures w14:val="standardContextual"/>
            </w:rPr>
          </w:pPr>
          <w:hyperlink w:anchor="_Toc138151823" w:history="1">
            <w:r w:rsidR="006D334C" w:rsidRPr="001A1974">
              <w:rPr>
                <w:rStyle w:val="Hyperlink"/>
                <w:noProof/>
                <w:lang w:val="en-US"/>
              </w:rPr>
              <w:t>1.3.2</w:t>
            </w:r>
            <w:r w:rsidR="006D334C">
              <w:rPr>
                <w:rFonts w:eastAsiaTheme="minorEastAsia"/>
                <w:noProof/>
                <w:kern w:val="2"/>
                <w:lang w:eastAsia="en-CA"/>
                <w14:ligatures w14:val="standardContextual"/>
              </w:rPr>
              <w:tab/>
            </w:r>
            <w:r w:rsidR="006D334C" w:rsidRPr="001A1974">
              <w:rPr>
                <w:rStyle w:val="Hyperlink"/>
                <w:noProof/>
                <w:lang w:val="en-US"/>
              </w:rPr>
              <w:t>The Need for a Better Environment for Business</w:t>
            </w:r>
            <w:r w:rsidR="006D334C">
              <w:rPr>
                <w:noProof/>
                <w:webHidden/>
              </w:rPr>
              <w:tab/>
            </w:r>
            <w:r w:rsidR="006D334C">
              <w:rPr>
                <w:noProof/>
                <w:webHidden/>
              </w:rPr>
              <w:fldChar w:fldCharType="begin"/>
            </w:r>
            <w:r w:rsidR="006D334C">
              <w:rPr>
                <w:noProof/>
                <w:webHidden/>
              </w:rPr>
              <w:instrText xml:space="preserve"> PAGEREF _Toc138151823 \h </w:instrText>
            </w:r>
            <w:r w:rsidR="006D334C">
              <w:rPr>
                <w:noProof/>
                <w:webHidden/>
              </w:rPr>
            </w:r>
            <w:r w:rsidR="006D334C">
              <w:rPr>
                <w:noProof/>
                <w:webHidden/>
              </w:rPr>
              <w:fldChar w:fldCharType="separate"/>
            </w:r>
            <w:r w:rsidR="006D334C">
              <w:rPr>
                <w:noProof/>
                <w:webHidden/>
              </w:rPr>
              <w:t>15</w:t>
            </w:r>
            <w:r w:rsidR="006D334C">
              <w:rPr>
                <w:noProof/>
                <w:webHidden/>
              </w:rPr>
              <w:fldChar w:fldCharType="end"/>
            </w:r>
          </w:hyperlink>
        </w:p>
        <w:p w14:paraId="5D309899" w14:textId="02E25184" w:rsidR="006D334C" w:rsidRDefault="00000000">
          <w:pPr>
            <w:pStyle w:val="TOC3"/>
            <w:tabs>
              <w:tab w:val="left" w:pos="1320"/>
              <w:tab w:val="right" w:leader="dot" w:pos="9350"/>
            </w:tabs>
            <w:rPr>
              <w:rFonts w:eastAsiaTheme="minorEastAsia"/>
              <w:noProof/>
              <w:kern w:val="2"/>
              <w:lang w:eastAsia="en-CA"/>
              <w14:ligatures w14:val="standardContextual"/>
            </w:rPr>
          </w:pPr>
          <w:hyperlink w:anchor="_Toc138151824" w:history="1">
            <w:r w:rsidR="006D334C" w:rsidRPr="001A1974">
              <w:rPr>
                <w:rStyle w:val="Hyperlink"/>
                <w:noProof/>
                <w:lang w:val="en-US"/>
              </w:rPr>
              <w:t>1.3.3</w:t>
            </w:r>
            <w:r w:rsidR="006D334C">
              <w:rPr>
                <w:rFonts w:eastAsiaTheme="minorEastAsia"/>
                <w:noProof/>
                <w:kern w:val="2"/>
                <w:lang w:eastAsia="en-CA"/>
                <w14:ligatures w14:val="standardContextual"/>
              </w:rPr>
              <w:tab/>
            </w:r>
            <w:r w:rsidR="006D334C" w:rsidRPr="001A1974">
              <w:rPr>
                <w:rStyle w:val="Hyperlink"/>
                <w:noProof/>
                <w:lang w:val="en-US"/>
              </w:rPr>
              <w:t>Emerging Strategies to Improve Consumer Protection in the Digital Marketplace</w:t>
            </w:r>
            <w:r w:rsidR="006D334C">
              <w:rPr>
                <w:noProof/>
                <w:webHidden/>
              </w:rPr>
              <w:tab/>
            </w:r>
            <w:r w:rsidR="006D334C">
              <w:rPr>
                <w:noProof/>
                <w:webHidden/>
              </w:rPr>
              <w:fldChar w:fldCharType="begin"/>
            </w:r>
            <w:r w:rsidR="006D334C">
              <w:rPr>
                <w:noProof/>
                <w:webHidden/>
              </w:rPr>
              <w:instrText xml:space="preserve"> PAGEREF _Toc138151824 \h </w:instrText>
            </w:r>
            <w:r w:rsidR="006D334C">
              <w:rPr>
                <w:noProof/>
                <w:webHidden/>
              </w:rPr>
            </w:r>
            <w:r w:rsidR="006D334C">
              <w:rPr>
                <w:noProof/>
                <w:webHidden/>
              </w:rPr>
              <w:fldChar w:fldCharType="separate"/>
            </w:r>
            <w:r w:rsidR="006D334C">
              <w:rPr>
                <w:noProof/>
                <w:webHidden/>
              </w:rPr>
              <w:t>15</w:t>
            </w:r>
            <w:r w:rsidR="006D334C">
              <w:rPr>
                <w:noProof/>
                <w:webHidden/>
              </w:rPr>
              <w:fldChar w:fldCharType="end"/>
            </w:r>
          </w:hyperlink>
        </w:p>
        <w:p w14:paraId="2C5AFB9A" w14:textId="7D439849"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25" w:history="1">
            <w:r w:rsidR="006D334C" w:rsidRPr="001A1974">
              <w:rPr>
                <w:rStyle w:val="Hyperlink"/>
                <w:noProof/>
              </w:rPr>
              <w:t>1.4.</w:t>
            </w:r>
            <w:r w:rsidR="006D334C">
              <w:rPr>
                <w:rFonts w:eastAsiaTheme="minorEastAsia"/>
                <w:noProof/>
                <w:kern w:val="2"/>
                <w:lang w:eastAsia="en-CA"/>
                <w14:ligatures w14:val="standardContextual"/>
              </w:rPr>
              <w:tab/>
            </w:r>
            <w:r w:rsidR="006D334C" w:rsidRPr="001A1974">
              <w:rPr>
                <w:rStyle w:val="Hyperlink"/>
                <w:noProof/>
              </w:rPr>
              <w:t>Project Focus and Consultation Issues</w:t>
            </w:r>
            <w:r w:rsidR="006D334C">
              <w:rPr>
                <w:noProof/>
                <w:webHidden/>
              </w:rPr>
              <w:tab/>
            </w:r>
            <w:r w:rsidR="006D334C">
              <w:rPr>
                <w:noProof/>
                <w:webHidden/>
              </w:rPr>
              <w:fldChar w:fldCharType="begin"/>
            </w:r>
            <w:r w:rsidR="006D334C">
              <w:rPr>
                <w:noProof/>
                <w:webHidden/>
              </w:rPr>
              <w:instrText xml:space="preserve"> PAGEREF _Toc138151825 \h </w:instrText>
            </w:r>
            <w:r w:rsidR="006D334C">
              <w:rPr>
                <w:noProof/>
                <w:webHidden/>
              </w:rPr>
            </w:r>
            <w:r w:rsidR="006D334C">
              <w:rPr>
                <w:noProof/>
                <w:webHidden/>
              </w:rPr>
              <w:fldChar w:fldCharType="separate"/>
            </w:r>
            <w:r w:rsidR="006D334C">
              <w:rPr>
                <w:noProof/>
                <w:webHidden/>
              </w:rPr>
              <w:t>16</w:t>
            </w:r>
            <w:r w:rsidR="006D334C">
              <w:rPr>
                <w:noProof/>
                <w:webHidden/>
              </w:rPr>
              <w:fldChar w:fldCharType="end"/>
            </w:r>
          </w:hyperlink>
        </w:p>
        <w:p w14:paraId="39730A81" w14:textId="7ACA4719" w:rsidR="006D334C" w:rsidRDefault="00000000">
          <w:pPr>
            <w:pStyle w:val="TOC2"/>
            <w:tabs>
              <w:tab w:val="right" w:leader="dot" w:pos="9350"/>
            </w:tabs>
            <w:rPr>
              <w:rFonts w:eastAsiaTheme="minorEastAsia"/>
              <w:noProof/>
              <w:kern w:val="2"/>
              <w:lang w:eastAsia="en-CA"/>
              <w14:ligatures w14:val="standardContextual"/>
            </w:rPr>
          </w:pPr>
          <w:hyperlink w:anchor="_Toc138151826" w:history="1">
            <w:r w:rsidR="006D334C" w:rsidRPr="001A1974">
              <w:rPr>
                <w:rStyle w:val="Hyperlink"/>
                <w:noProof/>
              </w:rPr>
              <w:t>1.5 Project Deliverables</w:t>
            </w:r>
            <w:r w:rsidR="006D334C">
              <w:rPr>
                <w:noProof/>
                <w:webHidden/>
              </w:rPr>
              <w:tab/>
            </w:r>
            <w:r w:rsidR="006D334C">
              <w:rPr>
                <w:noProof/>
                <w:webHidden/>
              </w:rPr>
              <w:fldChar w:fldCharType="begin"/>
            </w:r>
            <w:r w:rsidR="006D334C">
              <w:rPr>
                <w:noProof/>
                <w:webHidden/>
              </w:rPr>
              <w:instrText xml:space="preserve"> PAGEREF _Toc138151826 \h </w:instrText>
            </w:r>
            <w:r w:rsidR="006D334C">
              <w:rPr>
                <w:noProof/>
                <w:webHidden/>
              </w:rPr>
            </w:r>
            <w:r w:rsidR="006D334C">
              <w:rPr>
                <w:noProof/>
                <w:webHidden/>
              </w:rPr>
              <w:fldChar w:fldCharType="separate"/>
            </w:r>
            <w:r w:rsidR="006D334C">
              <w:rPr>
                <w:noProof/>
                <w:webHidden/>
              </w:rPr>
              <w:t>17</w:t>
            </w:r>
            <w:r w:rsidR="006D334C">
              <w:rPr>
                <w:noProof/>
                <w:webHidden/>
              </w:rPr>
              <w:fldChar w:fldCharType="end"/>
            </w:r>
          </w:hyperlink>
        </w:p>
        <w:p w14:paraId="0D66BC40" w14:textId="2BA52D38" w:rsidR="006D334C" w:rsidRDefault="00000000">
          <w:pPr>
            <w:pStyle w:val="TOC2"/>
            <w:tabs>
              <w:tab w:val="right" w:leader="dot" w:pos="9350"/>
            </w:tabs>
            <w:rPr>
              <w:rFonts w:eastAsiaTheme="minorEastAsia"/>
              <w:noProof/>
              <w:kern w:val="2"/>
              <w:lang w:eastAsia="en-CA"/>
              <w14:ligatures w14:val="standardContextual"/>
            </w:rPr>
          </w:pPr>
          <w:hyperlink w:anchor="_Toc138151827" w:history="1">
            <w:r w:rsidR="006D334C" w:rsidRPr="001A1974">
              <w:rPr>
                <w:rStyle w:val="Hyperlink"/>
                <w:noProof/>
              </w:rPr>
              <w:t>1.6 Consultation Process and Next Steps</w:t>
            </w:r>
            <w:r w:rsidR="006D334C">
              <w:rPr>
                <w:noProof/>
                <w:webHidden/>
              </w:rPr>
              <w:tab/>
            </w:r>
            <w:r w:rsidR="006D334C">
              <w:rPr>
                <w:noProof/>
                <w:webHidden/>
              </w:rPr>
              <w:fldChar w:fldCharType="begin"/>
            </w:r>
            <w:r w:rsidR="006D334C">
              <w:rPr>
                <w:noProof/>
                <w:webHidden/>
              </w:rPr>
              <w:instrText xml:space="preserve"> PAGEREF _Toc138151827 \h </w:instrText>
            </w:r>
            <w:r w:rsidR="006D334C">
              <w:rPr>
                <w:noProof/>
                <w:webHidden/>
              </w:rPr>
            </w:r>
            <w:r w:rsidR="006D334C">
              <w:rPr>
                <w:noProof/>
                <w:webHidden/>
              </w:rPr>
              <w:fldChar w:fldCharType="separate"/>
            </w:r>
            <w:r w:rsidR="006D334C">
              <w:rPr>
                <w:noProof/>
                <w:webHidden/>
              </w:rPr>
              <w:t>17</w:t>
            </w:r>
            <w:r w:rsidR="006D334C">
              <w:rPr>
                <w:noProof/>
                <w:webHidden/>
              </w:rPr>
              <w:fldChar w:fldCharType="end"/>
            </w:r>
          </w:hyperlink>
        </w:p>
        <w:p w14:paraId="39509E5F" w14:textId="46D87FA9" w:rsidR="006D334C" w:rsidRDefault="00000000">
          <w:pPr>
            <w:pStyle w:val="TOC1"/>
            <w:rPr>
              <w:rFonts w:eastAsiaTheme="minorEastAsia"/>
              <w:noProof/>
              <w:kern w:val="2"/>
              <w:lang w:eastAsia="en-CA"/>
              <w14:ligatures w14:val="standardContextual"/>
            </w:rPr>
          </w:pPr>
          <w:hyperlink w:anchor="_Toc138151828" w:history="1">
            <w:r w:rsidR="006D334C" w:rsidRPr="001A1974">
              <w:rPr>
                <w:rStyle w:val="Hyperlink"/>
                <w:noProof/>
              </w:rPr>
              <w:t>2.</w:t>
            </w:r>
            <w:r w:rsidR="006D334C">
              <w:rPr>
                <w:rFonts w:eastAsiaTheme="minorEastAsia"/>
                <w:noProof/>
                <w:kern w:val="2"/>
                <w:lang w:eastAsia="en-CA"/>
                <w14:ligatures w14:val="standardContextual"/>
              </w:rPr>
              <w:tab/>
            </w:r>
            <w:r w:rsidR="006D334C" w:rsidRPr="001A1974">
              <w:rPr>
                <w:rStyle w:val="Hyperlink"/>
                <w:noProof/>
              </w:rPr>
              <w:t>Consumer Protection Law: Background</w:t>
            </w:r>
            <w:r w:rsidR="006D334C">
              <w:rPr>
                <w:noProof/>
                <w:webHidden/>
              </w:rPr>
              <w:tab/>
            </w:r>
            <w:r w:rsidR="006D334C">
              <w:rPr>
                <w:noProof/>
                <w:webHidden/>
              </w:rPr>
              <w:fldChar w:fldCharType="begin"/>
            </w:r>
            <w:r w:rsidR="006D334C">
              <w:rPr>
                <w:noProof/>
                <w:webHidden/>
              </w:rPr>
              <w:instrText xml:space="preserve"> PAGEREF _Toc138151828 \h </w:instrText>
            </w:r>
            <w:r w:rsidR="006D334C">
              <w:rPr>
                <w:noProof/>
                <w:webHidden/>
              </w:rPr>
            </w:r>
            <w:r w:rsidR="006D334C">
              <w:rPr>
                <w:noProof/>
                <w:webHidden/>
              </w:rPr>
              <w:fldChar w:fldCharType="separate"/>
            </w:r>
            <w:r w:rsidR="006D334C">
              <w:rPr>
                <w:noProof/>
                <w:webHidden/>
              </w:rPr>
              <w:t>19</w:t>
            </w:r>
            <w:r w:rsidR="006D334C">
              <w:rPr>
                <w:noProof/>
                <w:webHidden/>
              </w:rPr>
              <w:fldChar w:fldCharType="end"/>
            </w:r>
          </w:hyperlink>
        </w:p>
        <w:p w14:paraId="64D8620D" w14:textId="7C24856B"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29" w:history="1">
            <w:r w:rsidR="006D334C" w:rsidRPr="001A1974">
              <w:rPr>
                <w:rStyle w:val="Hyperlink"/>
                <w:noProof/>
              </w:rPr>
              <w:t>2.1.</w:t>
            </w:r>
            <w:r w:rsidR="006D334C">
              <w:rPr>
                <w:rFonts w:eastAsiaTheme="minorEastAsia"/>
                <w:noProof/>
                <w:kern w:val="2"/>
                <w:lang w:eastAsia="en-CA"/>
                <w14:ligatures w14:val="standardContextual"/>
              </w:rPr>
              <w:tab/>
            </w:r>
            <w:r w:rsidR="006D334C" w:rsidRPr="001A1974">
              <w:rPr>
                <w:rStyle w:val="Hyperlink"/>
                <w:noProof/>
              </w:rPr>
              <w:t>Rationale and Objectives</w:t>
            </w:r>
            <w:r w:rsidR="006D334C">
              <w:rPr>
                <w:noProof/>
                <w:webHidden/>
              </w:rPr>
              <w:tab/>
            </w:r>
            <w:r w:rsidR="006D334C">
              <w:rPr>
                <w:noProof/>
                <w:webHidden/>
              </w:rPr>
              <w:fldChar w:fldCharType="begin"/>
            </w:r>
            <w:r w:rsidR="006D334C">
              <w:rPr>
                <w:noProof/>
                <w:webHidden/>
              </w:rPr>
              <w:instrText xml:space="preserve"> PAGEREF _Toc138151829 \h </w:instrText>
            </w:r>
            <w:r w:rsidR="006D334C">
              <w:rPr>
                <w:noProof/>
                <w:webHidden/>
              </w:rPr>
            </w:r>
            <w:r w:rsidR="006D334C">
              <w:rPr>
                <w:noProof/>
                <w:webHidden/>
              </w:rPr>
              <w:fldChar w:fldCharType="separate"/>
            </w:r>
            <w:r w:rsidR="006D334C">
              <w:rPr>
                <w:noProof/>
                <w:webHidden/>
              </w:rPr>
              <w:t>19</w:t>
            </w:r>
            <w:r w:rsidR="006D334C">
              <w:rPr>
                <w:noProof/>
                <w:webHidden/>
              </w:rPr>
              <w:fldChar w:fldCharType="end"/>
            </w:r>
          </w:hyperlink>
        </w:p>
        <w:p w14:paraId="5C3667C2" w14:textId="2BE3425D"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30" w:history="1">
            <w:r w:rsidR="006D334C" w:rsidRPr="001A1974">
              <w:rPr>
                <w:rStyle w:val="Hyperlink"/>
                <w:noProof/>
              </w:rPr>
              <w:t>2.2.</w:t>
            </w:r>
            <w:r w:rsidR="006D334C">
              <w:rPr>
                <w:rFonts w:eastAsiaTheme="minorEastAsia"/>
                <w:noProof/>
                <w:kern w:val="2"/>
                <w:lang w:eastAsia="en-CA"/>
                <w14:ligatures w14:val="standardContextual"/>
              </w:rPr>
              <w:tab/>
            </w:r>
            <w:r w:rsidR="006D334C" w:rsidRPr="001A1974">
              <w:rPr>
                <w:rStyle w:val="Hyperlink"/>
                <w:noProof/>
              </w:rPr>
              <w:t>Standard Form Contracts</w:t>
            </w:r>
            <w:r w:rsidR="006D334C">
              <w:rPr>
                <w:noProof/>
                <w:webHidden/>
              </w:rPr>
              <w:tab/>
            </w:r>
            <w:r w:rsidR="006D334C">
              <w:rPr>
                <w:noProof/>
                <w:webHidden/>
              </w:rPr>
              <w:fldChar w:fldCharType="begin"/>
            </w:r>
            <w:r w:rsidR="006D334C">
              <w:rPr>
                <w:noProof/>
                <w:webHidden/>
              </w:rPr>
              <w:instrText xml:space="preserve"> PAGEREF _Toc138151830 \h </w:instrText>
            </w:r>
            <w:r w:rsidR="006D334C">
              <w:rPr>
                <w:noProof/>
                <w:webHidden/>
              </w:rPr>
            </w:r>
            <w:r w:rsidR="006D334C">
              <w:rPr>
                <w:noProof/>
                <w:webHidden/>
              </w:rPr>
              <w:fldChar w:fldCharType="separate"/>
            </w:r>
            <w:r w:rsidR="006D334C">
              <w:rPr>
                <w:noProof/>
                <w:webHidden/>
              </w:rPr>
              <w:t>20</w:t>
            </w:r>
            <w:r w:rsidR="006D334C">
              <w:rPr>
                <w:noProof/>
                <w:webHidden/>
              </w:rPr>
              <w:fldChar w:fldCharType="end"/>
            </w:r>
          </w:hyperlink>
        </w:p>
        <w:p w14:paraId="2E3771EB" w14:textId="697E581F"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31" w:history="1">
            <w:r w:rsidR="006D334C" w:rsidRPr="001A1974">
              <w:rPr>
                <w:rStyle w:val="Hyperlink"/>
                <w:noProof/>
              </w:rPr>
              <w:t>2.3</w:t>
            </w:r>
            <w:r w:rsidR="006D334C">
              <w:rPr>
                <w:rFonts w:eastAsiaTheme="minorEastAsia"/>
                <w:noProof/>
                <w:kern w:val="2"/>
                <w:lang w:eastAsia="en-CA"/>
                <w14:ligatures w14:val="standardContextual"/>
              </w:rPr>
              <w:tab/>
            </w:r>
            <w:r w:rsidR="006D334C" w:rsidRPr="001A1974">
              <w:rPr>
                <w:rStyle w:val="Hyperlink"/>
                <w:noProof/>
              </w:rPr>
              <w:t xml:space="preserve"> Examples of Terms from Existing ToS Contracts in Canada</w:t>
            </w:r>
            <w:r w:rsidR="006D334C">
              <w:rPr>
                <w:noProof/>
                <w:webHidden/>
              </w:rPr>
              <w:tab/>
            </w:r>
            <w:r w:rsidR="006D334C">
              <w:rPr>
                <w:noProof/>
                <w:webHidden/>
              </w:rPr>
              <w:fldChar w:fldCharType="begin"/>
            </w:r>
            <w:r w:rsidR="006D334C">
              <w:rPr>
                <w:noProof/>
                <w:webHidden/>
              </w:rPr>
              <w:instrText xml:space="preserve"> PAGEREF _Toc138151831 \h </w:instrText>
            </w:r>
            <w:r w:rsidR="006D334C">
              <w:rPr>
                <w:noProof/>
                <w:webHidden/>
              </w:rPr>
            </w:r>
            <w:r w:rsidR="006D334C">
              <w:rPr>
                <w:noProof/>
                <w:webHidden/>
              </w:rPr>
              <w:fldChar w:fldCharType="separate"/>
            </w:r>
            <w:r w:rsidR="006D334C">
              <w:rPr>
                <w:noProof/>
                <w:webHidden/>
              </w:rPr>
              <w:t>21</w:t>
            </w:r>
            <w:r w:rsidR="006D334C">
              <w:rPr>
                <w:noProof/>
                <w:webHidden/>
              </w:rPr>
              <w:fldChar w:fldCharType="end"/>
            </w:r>
          </w:hyperlink>
        </w:p>
        <w:p w14:paraId="201A0230" w14:textId="3B354A60" w:rsidR="006D334C" w:rsidRDefault="00000000">
          <w:pPr>
            <w:pStyle w:val="TOC2"/>
            <w:tabs>
              <w:tab w:val="right" w:leader="dot" w:pos="9350"/>
            </w:tabs>
            <w:rPr>
              <w:rFonts w:eastAsiaTheme="minorEastAsia"/>
              <w:noProof/>
              <w:kern w:val="2"/>
              <w:lang w:eastAsia="en-CA"/>
              <w14:ligatures w14:val="standardContextual"/>
            </w:rPr>
          </w:pPr>
          <w:hyperlink w:anchor="_Toc138151832" w:history="1">
            <w:r w:rsidR="006D334C" w:rsidRPr="001A1974">
              <w:rPr>
                <w:rStyle w:val="Hyperlink"/>
                <w:noProof/>
              </w:rPr>
              <w:t>2.3 Case Study: The Tim Horton’s App</w:t>
            </w:r>
            <w:r w:rsidR="006D334C">
              <w:rPr>
                <w:noProof/>
                <w:webHidden/>
              </w:rPr>
              <w:tab/>
            </w:r>
            <w:r w:rsidR="006D334C">
              <w:rPr>
                <w:noProof/>
                <w:webHidden/>
              </w:rPr>
              <w:fldChar w:fldCharType="begin"/>
            </w:r>
            <w:r w:rsidR="006D334C">
              <w:rPr>
                <w:noProof/>
                <w:webHidden/>
              </w:rPr>
              <w:instrText xml:space="preserve"> PAGEREF _Toc138151832 \h </w:instrText>
            </w:r>
            <w:r w:rsidR="006D334C">
              <w:rPr>
                <w:noProof/>
                <w:webHidden/>
              </w:rPr>
            </w:r>
            <w:r w:rsidR="006D334C">
              <w:rPr>
                <w:noProof/>
                <w:webHidden/>
              </w:rPr>
              <w:fldChar w:fldCharType="separate"/>
            </w:r>
            <w:r w:rsidR="006D334C">
              <w:rPr>
                <w:noProof/>
                <w:webHidden/>
              </w:rPr>
              <w:t>26</w:t>
            </w:r>
            <w:r w:rsidR="006D334C">
              <w:rPr>
                <w:noProof/>
                <w:webHidden/>
              </w:rPr>
              <w:fldChar w:fldCharType="end"/>
            </w:r>
          </w:hyperlink>
        </w:p>
        <w:p w14:paraId="20D2BFA9" w14:textId="771440E6" w:rsidR="006D334C" w:rsidRDefault="00000000">
          <w:pPr>
            <w:pStyle w:val="TOC1"/>
            <w:rPr>
              <w:rFonts w:eastAsiaTheme="minorEastAsia"/>
              <w:noProof/>
              <w:kern w:val="2"/>
              <w:lang w:eastAsia="en-CA"/>
              <w14:ligatures w14:val="standardContextual"/>
            </w:rPr>
          </w:pPr>
          <w:hyperlink w:anchor="_Toc138151833" w:history="1">
            <w:r w:rsidR="006D334C" w:rsidRPr="001A1974">
              <w:rPr>
                <w:rStyle w:val="Hyperlink"/>
                <w:noProof/>
              </w:rPr>
              <w:t>3.</w:t>
            </w:r>
            <w:r w:rsidR="006D334C">
              <w:rPr>
                <w:rFonts w:eastAsiaTheme="minorEastAsia"/>
                <w:noProof/>
                <w:kern w:val="2"/>
                <w:lang w:eastAsia="en-CA"/>
                <w14:ligatures w14:val="standardContextual"/>
              </w:rPr>
              <w:tab/>
            </w:r>
            <w:r w:rsidR="006D334C" w:rsidRPr="001A1974">
              <w:rPr>
                <w:rStyle w:val="Hyperlink"/>
                <w:noProof/>
              </w:rPr>
              <w:t>Consumer Protection Law in Ontario and Across Canada</w:t>
            </w:r>
            <w:r w:rsidR="006D334C">
              <w:rPr>
                <w:noProof/>
                <w:webHidden/>
              </w:rPr>
              <w:tab/>
            </w:r>
            <w:r w:rsidR="006D334C">
              <w:rPr>
                <w:noProof/>
                <w:webHidden/>
              </w:rPr>
              <w:fldChar w:fldCharType="begin"/>
            </w:r>
            <w:r w:rsidR="006D334C">
              <w:rPr>
                <w:noProof/>
                <w:webHidden/>
              </w:rPr>
              <w:instrText xml:space="preserve"> PAGEREF _Toc138151833 \h </w:instrText>
            </w:r>
            <w:r w:rsidR="006D334C">
              <w:rPr>
                <w:noProof/>
                <w:webHidden/>
              </w:rPr>
            </w:r>
            <w:r w:rsidR="006D334C">
              <w:rPr>
                <w:noProof/>
                <w:webHidden/>
              </w:rPr>
              <w:fldChar w:fldCharType="separate"/>
            </w:r>
            <w:r w:rsidR="006D334C">
              <w:rPr>
                <w:noProof/>
                <w:webHidden/>
              </w:rPr>
              <w:t>29</w:t>
            </w:r>
            <w:r w:rsidR="006D334C">
              <w:rPr>
                <w:noProof/>
                <w:webHidden/>
              </w:rPr>
              <w:fldChar w:fldCharType="end"/>
            </w:r>
          </w:hyperlink>
        </w:p>
        <w:p w14:paraId="500F702A" w14:textId="6A4B199A" w:rsidR="006D334C" w:rsidRDefault="00000000">
          <w:pPr>
            <w:pStyle w:val="TOC2"/>
            <w:tabs>
              <w:tab w:val="right" w:leader="dot" w:pos="9350"/>
            </w:tabs>
            <w:rPr>
              <w:rFonts w:eastAsiaTheme="minorEastAsia"/>
              <w:noProof/>
              <w:kern w:val="2"/>
              <w:lang w:eastAsia="en-CA"/>
              <w14:ligatures w14:val="standardContextual"/>
            </w:rPr>
          </w:pPr>
          <w:hyperlink w:anchor="_Toc138151834" w:history="1">
            <w:r w:rsidR="006D334C" w:rsidRPr="001A1974">
              <w:rPr>
                <w:rStyle w:val="Hyperlink"/>
                <w:noProof/>
              </w:rPr>
              <w:t>3.1 Ontario’s Consumer Protection Act</w:t>
            </w:r>
            <w:r w:rsidR="006D334C">
              <w:rPr>
                <w:noProof/>
                <w:webHidden/>
              </w:rPr>
              <w:tab/>
            </w:r>
            <w:r w:rsidR="006D334C">
              <w:rPr>
                <w:noProof/>
                <w:webHidden/>
              </w:rPr>
              <w:fldChar w:fldCharType="begin"/>
            </w:r>
            <w:r w:rsidR="006D334C">
              <w:rPr>
                <w:noProof/>
                <w:webHidden/>
              </w:rPr>
              <w:instrText xml:space="preserve"> PAGEREF _Toc138151834 \h </w:instrText>
            </w:r>
            <w:r w:rsidR="006D334C">
              <w:rPr>
                <w:noProof/>
                <w:webHidden/>
              </w:rPr>
            </w:r>
            <w:r w:rsidR="006D334C">
              <w:rPr>
                <w:noProof/>
                <w:webHidden/>
              </w:rPr>
              <w:fldChar w:fldCharType="separate"/>
            </w:r>
            <w:r w:rsidR="006D334C">
              <w:rPr>
                <w:noProof/>
                <w:webHidden/>
              </w:rPr>
              <w:t>29</w:t>
            </w:r>
            <w:r w:rsidR="006D334C">
              <w:rPr>
                <w:noProof/>
                <w:webHidden/>
              </w:rPr>
              <w:fldChar w:fldCharType="end"/>
            </w:r>
          </w:hyperlink>
        </w:p>
        <w:p w14:paraId="7B4ED6D1" w14:textId="14698F0B" w:rsidR="006D334C" w:rsidRDefault="00000000">
          <w:pPr>
            <w:pStyle w:val="TOC3"/>
            <w:tabs>
              <w:tab w:val="right" w:leader="dot" w:pos="9350"/>
            </w:tabs>
            <w:rPr>
              <w:rFonts w:eastAsiaTheme="minorEastAsia"/>
              <w:noProof/>
              <w:kern w:val="2"/>
              <w:lang w:eastAsia="en-CA"/>
              <w14:ligatures w14:val="standardContextual"/>
            </w:rPr>
          </w:pPr>
          <w:hyperlink w:anchor="_Toc138151835" w:history="1">
            <w:r w:rsidR="006D334C" w:rsidRPr="001A1974">
              <w:rPr>
                <w:rStyle w:val="Hyperlink"/>
                <w:noProof/>
              </w:rPr>
              <w:t>3.1.1 Introduction</w:t>
            </w:r>
            <w:r w:rsidR="006D334C">
              <w:rPr>
                <w:noProof/>
                <w:webHidden/>
              </w:rPr>
              <w:tab/>
            </w:r>
            <w:r w:rsidR="006D334C">
              <w:rPr>
                <w:noProof/>
                <w:webHidden/>
              </w:rPr>
              <w:fldChar w:fldCharType="begin"/>
            </w:r>
            <w:r w:rsidR="006D334C">
              <w:rPr>
                <w:noProof/>
                <w:webHidden/>
              </w:rPr>
              <w:instrText xml:space="preserve"> PAGEREF _Toc138151835 \h </w:instrText>
            </w:r>
            <w:r w:rsidR="006D334C">
              <w:rPr>
                <w:noProof/>
                <w:webHidden/>
              </w:rPr>
            </w:r>
            <w:r w:rsidR="006D334C">
              <w:rPr>
                <w:noProof/>
                <w:webHidden/>
              </w:rPr>
              <w:fldChar w:fldCharType="separate"/>
            </w:r>
            <w:r w:rsidR="006D334C">
              <w:rPr>
                <w:noProof/>
                <w:webHidden/>
              </w:rPr>
              <w:t>29</w:t>
            </w:r>
            <w:r w:rsidR="006D334C">
              <w:rPr>
                <w:noProof/>
                <w:webHidden/>
              </w:rPr>
              <w:fldChar w:fldCharType="end"/>
            </w:r>
          </w:hyperlink>
        </w:p>
        <w:p w14:paraId="1A940EC8" w14:textId="50092A8D" w:rsidR="006D334C" w:rsidRDefault="00000000">
          <w:pPr>
            <w:pStyle w:val="TOC3"/>
            <w:tabs>
              <w:tab w:val="right" w:leader="dot" w:pos="9350"/>
            </w:tabs>
            <w:rPr>
              <w:rFonts w:eastAsiaTheme="minorEastAsia"/>
              <w:noProof/>
              <w:kern w:val="2"/>
              <w:lang w:eastAsia="en-CA"/>
              <w14:ligatures w14:val="standardContextual"/>
            </w:rPr>
          </w:pPr>
          <w:hyperlink w:anchor="_Toc138151836" w:history="1">
            <w:r w:rsidR="006D334C" w:rsidRPr="001A1974">
              <w:rPr>
                <w:rStyle w:val="Hyperlink"/>
                <w:noProof/>
              </w:rPr>
              <w:t>3.1.2 General Protections and Standard Terms</w:t>
            </w:r>
            <w:r w:rsidR="006D334C">
              <w:rPr>
                <w:noProof/>
                <w:webHidden/>
              </w:rPr>
              <w:tab/>
            </w:r>
            <w:r w:rsidR="006D334C">
              <w:rPr>
                <w:noProof/>
                <w:webHidden/>
              </w:rPr>
              <w:fldChar w:fldCharType="begin"/>
            </w:r>
            <w:r w:rsidR="006D334C">
              <w:rPr>
                <w:noProof/>
                <w:webHidden/>
              </w:rPr>
              <w:instrText xml:space="preserve"> PAGEREF _Toc138151836 \h </w:instrText>
            </w:r>
            <w:r w:rsidR="006D334C">
              <w:rPr>
                <w:noProof/>
                <w:webHidden/>
              </w:rPr>
            </w:r>
            <w:r w:rsidR="006D334C">
              <w:rPr>
                <w:noProof/>
                <w:webHidden/>
              </w:rPr>
              <w:fldChar w:fldCharType="separate"/>
            </w:r>
            <w:r w:rsidR="006D334C">
              <w:rPr>
                <w:noProof/>
                <w:webHidden/>
              </w:rPr>
              <w:t>30</w:t>
            </w:r>
            <w:r w:rsidR="006D334C">
              <w:rPr>
                <w:noProof/>
                <w:webHidden/>
              </w:rPr>
              <w:fldChar w:fldCharType="end"/>
            </w:r>
          </w:hyperlink>
        </w:p>
        <w:p w14:paraId="3D07D610" w14:textId="634965BE" w:rsidR="006D334C" w:rsidRDefault="00000000">
          <w:pPr>
            <w:pStyle w:val="TOC3"/>
            <w:tabs>
              <w:tab w:val="right" w:leader="dot" w:pos="9350"/>
            </w:tabs>
            <w:rPr>
              <w:rFonts w:eastAsiaTheme="minorEastAsia"/>
              <w:noProof/>
              <w:kern w:val="2"/>
              <w:lang w:eastAsia="en-CA"/>
              <w14:ligatures w14:val="standardContextual"/>
            </w:rPr>
          </w:pPr>
          <w:hyperlink w:anchor="_Toc138151837" w:history="1">
            <w:r w:rsidR="006D334C" w:rsidRPr="001A1974">
              <w:rPr>
                <w:rStyle w:val="Hyperlink"/>
                <w:noProof/>
                <w:lang w:val="en-US"/>
              </w:rPr>
              <w:t>3.1.3 Specific Protections (CPA Parts 4 – 8)</w:t>
            </w:r>
            <w:r w:rsidR="006D334C">
              <w:rPr>
                <w:noProof/>
                <w:webHidden/>
              </w:rPr>
              <w:tab/>
            </w:r>
            <w:r w:rsidR="006D334C">
              <w:rPr>
                <w:noProof/>
                <w:webHidden/>
              </w:rPr>
              <w:fldChar w:fldCharType="begin"/>
            </w:r>
            <w:r w:rsidR="006D334C">
              <w:rPr>
                <w:noProof/>
                <w:webHidden/>
              </w:rPr>
              <w:instrText xml:space="preserve"> PAGEREF _Toc138151837 \h </w:instrText>
            </w:r>
            <w:r w:rsidR="006D334C">
              <w:rPr>
                <w:noProof/>
                <w:webHidden/>
              </w:rPr>
            </w:r>
            <w:r w:rsidR="006D334C">
              <w:rPr>
                <w:noProof/>
                <w:webHidden/>
              </w:rPr>
              <w:fldChar w:fldCharType="separate"/>
            </w:r>
            <w:r w:rsidR="006D334C">
              <w:rPr>
                <w:noProof/>
                <w:webHidden/>
              </w:rPr>
              <w:t>31</w:t>
            </w:r>
            <w:r w:rsidR="006D334C">
              <w:rPr>
                <w:noProof/>
                <w:webHidden/>
              </w:rPr>
              <w:fldChar w:fldCharType="end"/>
            </w:r>
          </w:hyperlink>
        </w:p>
        <w:p w14:paraId="70AC019F" w14:textId="10700FCF" w:rsidR="006D334C" w:rsidRDefault="00000000">
          <w:pPr>
            <w:pStyle w:val="TOC2"/>
            <w:tabs>
              <w:tab w:val="right" w:leader="dot" w:pos="9350"/>
            </w:tabs>
            <w:rPr>
              <w:rFonts w:eastAsiaTheme="minorEastAsia"/>
              <w:noProof/>
              <w:kern w:val="2"/>
              <w:lang w:eastAsia="en-CA"/>
              <w14:ligatures w14:val="standardContextual"/>
            </w:rPr>
          </w:pPr>
          <w:hyperlink w:anchor="_Toc138151838" w:history="1">
            <w:r w:rsidR="006D334C" w:rsidRPr="001A1974">
              <w:rPr>
                <w:rStyle w:val="Hyperlink"/>
                <w:noProof/>
              </w:rPr>
              <w:t>3.2 Other Legislation and Instruments Protecting Consumers in Ontario</w:t>
            </w:r>
            <w:r w:rsidR="006D334C">
              <w:rPr>
                <w:noProof/>
                <w:webHidden/>
              </w:rPr>
              <w:tab/>
            </w:r>
            <w:r w:rsidR="006D334C">
              <w:rPr>
                <w:noProof/>
                <w:webHidden/>
              </w:rPr>
              <w:fldChar w:fldCharType="begin"/>
            </w:r>
            <w:r w:rsidR="006D334C">
              <w:rPr>
                <w:noProof/>
                <w:webHidden/>
              </w:rPr>
              <w:instrText xml:space="preserve"> PAGEREF _Toc138151838 \h </w:instrText>
            </w:r>
            <w:r w:rsidR="006D334C">
              <w:rPr>
                <w:noProof/>
                <w:webHidden/>
              </w:rPr>
            </w:r>
            <w:r w:rsidR="006D334C">
              <w:rPr>
                <w:noProof/>
                <w:webHidden/>
              </w:rPr>
              <w:fldChar w:fldCharType="separate"/>
            </w:r>
            <w:r w:rsidR="006D334C">
              <w:rPr>
                <w:noProof/>
                <w:webHidden/>
              </w:rPr>
              <w:t>31</w:t>
            </w:r>
            <w:r w:rsidR="006D334C">
              <w:rPr>
                <w:noProof/>
                <w:webHidden/>
              </w:rPr>
              <w:fldChar w:fldCharType="end"/>
            </w:r>
          </w:hyperlink>
        </w:p>
        <w:p w14:paraId="11C71A7D" w14:textId="2BD142B3" w:rsidR="006D334C" w:rsidRDefault="00000000">
          <w:pPr>
            <w:pStyle w:val="TOC2"/>
            <w:tabs>
              <w:tab w:val="right" w:leader="dot" w:pos="9350"/>
            </w:tabs>
            <w:rPr>
              <w:rFonts w:eastAsiaTheme="minorEastAsia"/>
              <w:noProof/>
              <w:kern w:val="2"/>
              <w:lang w:eastAsia="en-CA"/>
              <w14:ligatures w14:val="standardContextual"/>
            </w:rPr>
          </w:pPr>
          <w:hyperlink w:anchor="_Toc138151839" w:history="1">
            <w:r w:rsidR="006D334C" w:rsidRPr="001A1974">
              <w:rPr>
                <w:rStyle w:val="Hyperlink"/>
                <w:noProof/>
              </w:rPr>
              <w:t>3.3 Consumer Protection Legislation in Other Provinces</w:t>
            </w:r>
            <w:r w:rsidR="006D334C">
              <w:rPr>
                <w:noProof/>
                <w:webHidden/>
              </w:rPr>
              <w:tab/>
            </w:r>
            <w:r w:rsidR="006D334C">
              <w:rPr>
                <w:noProof/>
                <w:webHidden/>
              </w:rPr>
              <w:fldChar w:fldCharType="begin"/>
            </w:r>
            <w:r w:rsidR="006D334C">
              <w:rPr>
                <w:noProof/>
                <w:webHidden/>
              </w:rPr>
              <w:instrText xml:space="preserve"> PAGEREF _Toc138151839 \h </w:instrText>
            </w:r>
            <w:r w:rsidR="006D334C">
              <w:rPr>
                <w:noProof/>
                <w:webHidden/>
              </w:rPr>
            </w:r>
            <w:r w:rsidR="006D334C">
              <w:rPr>
                <w:noProof/>
                <w:webHidden/>
              </w:rPr>
              <w:fldChar w:fldCharType="separate"/>
            </w:r>
            <w:r w:rsidR="006D334C">
              <w:rPr>
                <w:noProof/>
                <w:webHidden/>
              </w:rPr>
              <w:t>32</w:t>
            </w:r>
            <w:r w:rsidR="006D334C">
              <w:rPr>
                <w:noProof/>
                <w:webHidden/>
              </w:rPr>
              <w:fldChar w:fldCharType="end"/>
            </w:r>
          </w:hyperlink>
        </w:p>
        <w:p w14:paraId="1E4FEC47" w14:textId="4646440B" w:rsidR="006D334C" w:rsidRDefault="00000000">
          <w:pPr>
            <w:pStyle w:val="TOC2"/>
            <w:tabs>
              <w:tab w:val="right" w:leader="dot" w:pos="9350"/>
            </w:tabs>
            <w:rPr>
              <w:rFonts w:eastAsiaTheme="minorEastAsia"/>
              <w:noProof/>
              <w:kern w:val="2"/>
              <w:lang w:eastAsia="en-CA"/>
              <w14:ligatures w14:val="standardContextual"/>
            </w:rPr>
          </w:pPr>
          <w:hyperlink w:anchor="_Toc138151840" w:history="1">
            <w:r w:rsidR="006D334C" w:rsidRPr="001A1974">
              <w:rPr>
                <w:rStyle w:val="Hyperlink"/>
                <w:noProof/>
              </w:rPr>
              <w:t xml:space="preserve">3.4 Federal Legislation: Privacy, Data Protection, and the </w:t>
            </w:r>
            <w:r w:rsidR="006D334C" w:rsidRPr="001A1974">
              <w:rPr>
                <w:rStyle w:val="Hyperlink"/>
                <w:i/>
                <w:iCs/>
                <w:noProof/>
              </w:rPr>
              <w:t>AIDA</w:t>
            </w:r>
            <w:r w:rsidR="006D334C">
              <w:rPr>
                <w:noProof/>
                <w:webHidden/>
              </w:rPr>
              <w:tab/>
            </w:r>
            <w:r w:rsidR="006D334C">
              <w:rPr>
                <w:noProof/>
                <w:webHidden/>
              </w:rPr>
              <w:fldChar w:fldCharType="begin"/>
            </w:r>
            <w:r w:rsidR="006D334C">
              <w:rPr>
                <w:noProof/>
                <w:webHidden/>
              </w:rPr>
              <w:instrText xml:space="preserve"> PAGEREF _Toc138151840 \h </w:instrText>
            </w:r>
            <w:r w:rsidR="006D334C">
              <w:rPr>
                <w:noProof/>
                <w:webHidden/>
              </w:rPr>
            </w:r>
            <w:r w:rsidR="006D334C">
              <w:rPr>
                <w:noProof/>
                <w:webHidden/>
              </w:rPr>
              <w:fldChar w:fldCharType="separate"/>
            </w:r>
            <w:r w:rsidR="006D334C">
              <w:rPr>
                <w:noProof/>
                <w:webHidden/>
              </w:rPr>
              <w:t>33</w:t>
            </w:r>
            <w:r w:rsidR="006D334C">
              <w:rPr>
                <w:noProof/>
                <w:webHidden/>
              </w:rPr>
              <w:fldChar w:fldCharType="end"/>
            </w:r>
          </w:hyperlink>
        </w:p>
        <w:p w14:paraId="7B28227A" w14:textId="5CCEE31E" w:rsidR="006D334C" w:rsidRDefault="00000000">
          <w:pPr>
            <w:pStyle w:val="TOC1"/>
            <w:rPr>
              <w:rFonts w:eastAsiaTheme="minorEastAsia"/>
              <w:noProof/>
              <w:kern w:val="2"/>
              <w:lang w:eastAsia="en-CA"/>
              <w14:ligatures w14:val="standardContextual"/>
            </w:rPr>
          </w:pPr>
          <w:hyperlink w:anchor="_Toc138151841" w:history="1">
            <w:r w:rsidR="006D334C" w:rsidRPr="001A1974">
              <w:rPr>
                <w:rStyle w:val="Hyperlink"/>
                <w:noProof/>
                <w:lang w:val="en-US"/>
              </w:rPr>
              <w:t>4.</w:t>
            </w:r>
            <w:r w:rsidR="006D334C">
              <w:rPr>
                <w:rFonts w:eastAsiaTheme="minorEastAsia"/>
                <w:noProof/>
                <w:kern w:val="2"/>
                <w:lang w:eastAsia="en-CA"/>
                <w14:ligatures w14:val="standardContextual"/>
              </w:rPr>
              <w:tab/>
            </w:r>
            <w:r w:rsidR="006D334C" w:rsidRPr="001A1974">
              <w:rPr>
                <w:rStyle w:val="Hyperlink"/>
                <w:noProof/>
                <w:lang w:val="en-US"/>
              </w:rPr>
              <w:t>Catalysts for Reform: Gaps in Consumer Protection in the Digital Marketplace</w:t>
            </w:r>
            <w:r w:rsidR="006D334C">
              <w:rPr>
                <w:noProof/>
                <w:webHidden/>
              </w:rPr>
              <w:tab/>
            </w:r>
            <w:r w:rsidR="006D334C">
              <w:rPr>
                <w:noProof/>
                <w:webHidden/>
              </w:rPr>
              <w:fldChar w:fldCharType="begin"/>
            </w:r>
            <w:r w:rsidR="006D334C">
              <w:rPr>
                <w:noProof/>
                <w:webHidden/>
              </w:rPr>
              <w:instrText xml:space="preserve"> PAGEREF _Toc138151841 \h </w:instrText>
            </w:r>
            <w:r w:rsidR="006D334C">
              <w:rPr>
                <w:noProof/>
                <w:webHidden/>
              </w:rPr>
            </w:r>
            <w:r w:rsidR="006D334C">
              <w:rPr>
                <w:noProof/>
                <w:webHidden/>
              </w:rPr>
              <w:fldChar w:fldCharType="separate"/>
            </w:r>
            <w:r w:rsidR="006D334C">
              <w:rPr>
                <w:noProof/>
                <w:webHidden/>
              </w:rPr>
              <w:t>35</w:t>
            </w:r>
            <w:r w:rsidR="006D334C">
              <w:rPr>
                <w:noProof/>
                <w:webHidden/>
              </w:rPr>
              <w:fldChar w:fldCharType="end"/>
            </w:r>
          </w:hyperlink>
        </w:p>
        <w:p w14:paraId="4DBF957C" w14:textId="19FE4E53"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42" w:history="1">
            <w:r w:rsidR="006D334C" w:rsidRPr="001A1974">
              <w:rPr>
                <w:rStyle w:val="Hyperlink"/>
                <w:noProof/>
                <w:lang w:val="en-US"/>
              </w:rPr>
              <w:t>4.1</w:t>
            </w:r>
            <w:r w:rsidR="006D334C">
              <w:rPr>
                <w:rFonts w:eastAsiaTheme="minorEastAsia"/>
                <w:noProof/>
                <w:kern w:val="2"/>
                <w:lang w:eastAsia="en-CA"/>
                <w14:ligatures w14:val="standardContextual"/>
              </w:rPr>
              <w:tab/>
            </w:r>
            <w:r w:rsidR="006D334C" w:rsidRPr="001A1974">
              <w:rPr>
                <w:rStyle w:val="Hyperlink"/>
                <w:noProof/>
                <w:lang w:val="en-US"/>
              </w:rPr>
              <w:t>Ontario’s 2020 and 2023 CPA Reform Proposals</w:t>
            </w:r>
            <w:r w:rsidR="006D334C">
              <w:rPr>
                <w:noProof/>
                <w:webHidden/>
              </w:rPr>
              <w:tab/>
            </w:r>
            <w:r w:rsidR="006D334C">
              <w:rPr>
                <w:noProof/>
                <w:webHidden/>
              </w:rPr>
              <w:fldChar w:fldCharType="begin"/>
            </w:r>
            <w:r w:rsidR="006D334C">
              <w:rPr>
                <w:noProof/>
                <w:webHidden/>
              </w:rPr>
              <w:instrText xml:space="preserve"> PAGEREF _Toc138151842 \h </w:instrText>
            </w:r>
            <w:r w:rsidR="006D334C">
              <w:rPr>
                <w:noProof/>
                <w:webHidden/>
              </w:rPr>
            </w:r>
            <w:r w:rsidR="006D334C">
              <w:rPr>
                <w:noProof/>
                <w:webHidden/>
              </w:rPr>
              <w:fldChar w:fldCharType="separate"/>
            </w:r>
            <w:r w:rsidR="006D334C">
              <w:rPr>
                <w:noProof/>
                <w:webHidden/>
              </w:rPr>
              <w:t>36</w:t>
            </w:r>
            <w:r w:rsidR="006D334C">
              <w:rPr>
                <w:noProof/>
                <w:webHidden/>
              </w:rPr>
              <w:fldChar w:fldCharType="end"/>
            </w:r>
          </w:hyperlink>
        </w:p>
        <w:p w14:paraId="49D696EE" w14:textId="649A9579" w:rsidR="006D334C" w:rsidRDefault="00000000">
          <w:pPr>
            <w:pStyle w:val="TOC2"/>
            <w:tabs>
              <w:tab w:val="right" w:leader="dot" w:pos="9350"/>
            </w:tabs>
            <w:rPr>
              <w:rFonts w:eastAsiaTheme="minorEastAsia"/>
              <w:noProof/>
              <w:kern w:val="2"/>
              <w:lang w:eastAsia="en-CA"/>
              <w14:ligatures w14:val="standardContextual"/>
            </w:rPr>
          </w:pPr>
          <w:hyperlink w:anchor="_Toc138151843" w:history="1">
            <w:r w:rsidR="006D334C" w:rsidRPr="001A1974">
              <w:rPr>
                <w:rStyle w:val="Hyperlink"/>
                <w:noProof/>
                <w:lang w:val="en-US"/>
              </w:rPr>
              <w:t>4.2 Consumer Consent May Be Illusory</w:t>
            </w:r>
            <w:r w:rsidR="006D334C">
              <w:rPr>
                <w:noProof/>
                <w:webHidden/>
              </w:rPr>
              <w:tab/>
            </w:r>
            <w:r w:rsidR="006D334C">
              <w:rPr>
                <w:noProof/>
                <w:webHidden/>
              </w:rPr>
              <w:fldChar w:fldCharType="begin"/>
            </w:r>
            <w:r w:rsidR="006D334C">
              <w:rPr>
                <w:noProof/>
                <w:webHidden/>
              </w:rPr>
              <w:instrText xml:space="preserve"> PAGEREF _Toc138151843 \h </w:instrText>
            </w:r>
            <w:r w:rsidR="006D334C">
              <w:rPr>
                <w:noProof/>
                <w:webHidden/>
              </w:rPr>
            </w:r>
            <w:r w:rsidR="006D334C">
              <w:rPr>
                <w:noProof/>
                <w:webHidden/>
              </w:rPr>
              <w:fldChar w:fldCharType="separate"/>
            </w:r>
            <w:r w:rsidR="006D334C">
              <w:rPr>
                <w:noProof/>
                <w:webHidden/>
              </w:rPr>
              <w:t>37</w:t>
            </w:r>
            <w:r w:rsidR="006D334C">
              <w:rPr>
                <w:noProof/>
                <w:webHidden/>
              </w:rPr>
              <w:fldChar w:fldCharType="end"/>
            </w:r>
          </w:hyperlink>
        </w:p>
        <w:p w14:paraId="4868FCFB" w14:textId="3C9404F4" w:rsidR="006D334C" w:rsidRDefault="00000000">
          <w:pPr>
            <w:pStyle w:val="TOC2"/>
            <w:tabs>
              <w:tab w:val="right" w:leader="dot" w:pos="9350"/>
            </w:tabs>
            <w:rPr>
              <w:rFonts w:eastAsiaTheme="minorEastAsia"/>
              <w:noProof/>
              <w:kern w:val="2"/>
              <w:lang w:eastAsia="en-CA"/>
              <w14:ligatures w14:val="standardContextual"/>
            </w:rPr>
          </w:pPr>
          <w:hyperlink w:anchor="_Toc138151844" w:history="1">
            <w:r w:rsidR="006D334C" w:rsidRPr="001A1974">
              <w:rPr>
                <w:rStyle w:val="Hyperlink"/>
                <w:noProof/>
                <w:lang w:val="en-US"/>
              </w:rPr>
              <w:t>4.3 Notice and Disclosure May Not Protect Consumer Interests</w:t>
            </w:r>
            <w:r w:rsidR="006D334C">
              <w:rPr>
                <w:noProof/>
                <w:webHidden/>
              </w:rPr>
              <w:tab/>
            </w:r>
            <w:r w:rsidR="006D334C">
              <w:rPr>
                <w:noProof/>
                <w:webHidden/>
              </w:rPr>
              <w:fldChar w:fldCharType="begin"/>
            </w:r>
            <w:r w:rsidR="006D334C">
              <w:rPr>
                <w:noProof/>
                <w:webHidden/>
              </w:rPr>
              <w:instrText xml:space="preserve"> PAGEREF _Toc138151844 \h </w:instrText>
            </w:r>
            <w:r w:rsidR="006D334C">
              <w:rPr>
                <w:noProof/>
                <w:webHidden/>
              </w:rPr>
            </w:r>
            <w:r w:rsidR="006D334C">
              <w:rPr>
                <w:noProof/>
                <w:webHidden/>
              </w:rPr>
              <w:fldChar w:fldCharType="separate"/>
            </w:r>
            <w:r w:rsidR="006D334C">
              <w:rPr>
                <w:noProof/>
                <w:webHidden/>
              </w:rPr>
              <w:t>37</w:t>
            </w:r>
            <w:r w:rsidR="006D334C">
              <w:rPr>
                <w:noProof/>
                <w:webHidden/>
              </w:rPr>
              <w:fldChar w:fldCharType="end"/>
            </w:r>
          </w:hyperlink>
        </w:p>
        <w:p w14:paraId="7EBDFED3" w14:textId="61900CD8" w:rsidR="006D334C" w:rsidRDefault="00000000">
          <w:pPr>
            <w:pStyle w:val="TOC2"/>
            <w:tabs>
              <w:tab w:val="right" w:leader="dot" w:pos="9350"/>
            </w:tabs>
            <w:rPr>
              <w:rFonts w:eastAsiaTheme="minorEastAsia"/>
              <w:noProof/>
              <w:kern w:val="2"/>
              <w:lang w:eastAsia="en-CA"/>
              <w14:ligatures w14:val="standardContextual"/>
            </w:rPr>
          </w:pPr>
          <w:hyperlink w:anchor="_Toc138151845" w:history="1">
            <w:r w:rsidR="006D334C" w:rsidRPr="001A1974">
              <w:rPr>
                <w:rStyle w:val="Hyperlink"/>
                <w:noProof/>
                <w:lang w:val="en-US"/>
              </w:rPr>
              <w:t>4.4 Consumers May Have Little or No Ability to Negotiate</w:t>
            </w:r>
            <w:r w:rsidR="006D334C">
              <w:rPr>
                <w:noProof/>
                <w:webHidden/>
              </w:rPr>
              <w:tab/>
            </w:r>
            <w:r w:rsidR="006D334C">
              <w:rPr>
                <w:noProof/>
                <w:webHidden/>
              </w:rPr>
              <w:fldChar w:fldCharType="begin"/>
            </w:r>
            <w:r w:rsidR="006D334C">
              <w:rPr>
                <w:noProof/>
                <w:webHidden/>
              </w:rPr>
              <w:instrText xml:space="preserve"> PAGEREF _Toc138151845 \h </w:instrText>
            </w:r>
            <w:r w:rsidR="006D334C">
              <w:rPr>
                <w:noProof/>
                <w:webHidden/>
              </w:rPr>
            </w:r>
            <w:r w:rsidR="006D334C">
              <w:rPr>
                <w:noProof/>
                <w:webHidden/>
              </w:rPr>
              <w:fldChar w:fldCharType="separate"/>
            </w:r>
            <w:r w:rsidR="006D334C">
              <w:rPr>
                <w:noProof/>
                <w:webHidden/>
              </w:rPr>
              <w:t>38</w:t>
            </w:r>
            <w:r w:rsidR="006D334C">
              <w:rPr>
                <w:noProof/>
                <w:webHidden/>
              </w:rPr>
              <w:fldChar w:fldCharType="end"/>
            </w:r>
          </w:hyperlink>
        </w:p>
        <w:p w14:paraId="59E5D618" w14:textId="118F98F7" w:rsidR="006D334C" w:rsidRDefault="00000000">
          <w:pPr>
            <w:pStyle w:val="TOC2"/>
            <w:tabs>
              <w:tab w:val="right" w:leader="dot" w:pos="9350"/>
            </w:tabs>
            <w:rPr>
              <w:rFonts w:eastAsiaTheme="minorEastAsia"/>
              <w:noProof/>
              <w:kern w:val="2"/>
              <w:lang w:eastAsia="en-CA"/>
              <w14:ligatures w14:val="standardContextual"/>
            </w:rPr>
          </w:pPr>
          <w:hyperlink w:anchor="_Toc138151846" w:history="1">
            <w:r w:rsidR="006D334C" w:rsidRPr="001A1974">
              <w:rPr>
                <w:rStyle w:val="Hyperlink"/>
                <w:noProof/>
                <w:lang w:val="en-US"/>
              </w:rPr>
              <w:t>4.5 Deceptive “Dark Patterns” May Undermine Consumer Choice</w:t>
            </w:r>
            <w:r w:rsidR="006D334C">
              <w:rPr>
                <w:noProof/>
                <w:webHidden/>
              </w:rPr>
              <w:tab/>
            </w:r>
            <w:r w:rsidR="006D334C">
              <w:rPr>
                <w:noProof/>
                <w:webHidden/>
              </w:rPr>
              <w:fldChar w:fldCharType="begin"/>
            </w:r>
            <w:r w:rsidR="006D334C">
              <w:rPr>
                <w:noProof/>
                <w:webHidden/>
              </w:rPr>
              <w:instrText xml:space="preserve"> PAGEREF _Toc138151846 \h </w:instrText>
            </w:r>
            <w:r w:rsidR="006D334C">
              <w:rPr>
                <w:noProof/>
                <w:webHidden/>
              </w:rPr>
            </w:r>
            <w:r w:rsidR="006D334C">
              <w:rPr>
                <w:noProof/>
                <w:webHidden/>
              </w:rPr>
              <w:fldChar w:fldCharType="separate"/>
            </w:r>
            <w:r w:rsidR="006D334C">
              <w:rPr>
                <w:noProof/>
                <w:webHidden/>
              </w:rPr>
              <w:t>39</w:t>
            </w:r>
            <w:r w:rsidR="006D334C">
              <w:rPr>
                <w:noProof/>
                <w:webHidden/>
              </w:rPr>
              <w:fldChar w:fldCharType="end"/>
            </w:r>
          </w:hyperlink>
        </w:p>
        <w:p w14:paraId="615330DB" w14:textId="54CA3C2F" w:rsidR="006D334C" w:rsidRDefault="00000000">
          <w:pPr>
            <w:pStyle w:val="TOC2"/>
            <w:tabs>
              <w:tab w:val="right" w:leader="dot" w:pos="9350"/>
            </w:tabs>
            <w:rPr>
              <w:rFonts w:eastAsiaTheme="minorEastAsia"/>
              <w:noProof/>
              <w:kern w:val="2"/>
              <w:lang w:eastAsia="en-CA"/>
              <w14:ligatures w14:val="standardContextual"/>
            </w:rPr>
          </w:pPr>
          <w:hyperlink w:anchor="_Toc138151847" w:history="1">
            <w:r w:rsidR="006D334C" w:rsidRPr="001A1974">
              <w:rPr>
                <w:rStyle w:val="Hyperlink"/>
                <w:noProof/>
                <w:lang w:val="en-US"/>
              </w:rPr>
              <w:t>4.6 Low-cost and No-cost Digital Services May Conceal Important Risks, Avoid Consumer Protections</w:t>
            </w:r>
            <w:r w:rsidR="006D334C">
              <w:rPr>
                <w:noProof/>
                <w:webHidden/>
              </w:rPr>
              <w:tab/>
            </w:r>
            <w:r w:rsidR="006D334C">
              <w:rPr>
                <w:noProof/>
                <w:webHidden/>
              </w:rPr>
              <w:fldChar w:fldCharType="begin"/>
            </w:r>
            <w:r w:rsidR="006D334C">
              <w:rPr>
                <w:noProof/>
                <w:webHidden/>
              </w:rPr>
              <w:instrText xml:space="preserve"> PAGEREF _Toc138151847 \h </w:instrText>
            </w:r>
            <w:r w:rsidR="006D334C">
              <w:rPr>
                <w:noProof/>
                <w:webHidden/>
              </w:rPr>
            </w:r>
            <w:r w:rsidR="006D334C">
              <w:rPr>
                <w:noProof/>
                <w:webHidden/>
              </w:rPr>
              <w:fldChar w:fldCharType="separate"/>
            </w:r>
            <w:r w:rsidR="006D334C">
              <w:rPr>
                <w:noProof/>
                <w:webHidden/>
              </w:rPr>
              <w:t>40</w:t>
            </w:r>
            <w:r w:rsidR="006D334C">
              <w:rPr>
                <w:noProof/>
                <w:webHidden/>
              </w:rPr>
              <w:fldChar w:fldCharType="end"/>
            </w:r>
          </w:hyperlink>
        </w:p>
        <w:p w14:paraId="4F862F1A" w14:textId="1FBB5E16" w:rsidR="006D334C" w:rsidRDefault="00000000">
          <w:pPr>
            <w:pStyle w:val="TOC2"/>
            <w:tabs>
              <w:tab w:val="right" w:leader="dot" w:pos="9350"/>
            </w:tabs>
            <w:rPr>
              <w:rFonts w:eastAsiaTheme="minorEastAsia"/>
              <w:noProof/>
              <w:kern w:val="2"/>
              <w:lang w:eastAsia="en-CA"/>
              <w14:ligatures w14:val="standardContextual"/>
            </w:rPr>
          </w:pPr>
          <w:hyperlink w:anchor="_Toc138151848" w:history="1">
            <w:r w:rsidR="006D334C" w:rsidRPr="001A1974">
              <w:rPr>
                <w:rStyle w:val="Hyperlink"/>
                <w:noProof/>
                <w:lang w:val="en-US"/>
              </w:rPr>
              <w:t>4.7 ToS May Restrict Legal Rights and Reduce Access to Justice</w:t>
            </w:r>
            <w:r w:rsidR="006D334C">
              <w:rPr>
                <w:noProof/>
                <w:webHidden/>
              </w:rPr>
              <w:tab/>
            </w:r>
            <w:r w:rsidR="006D334C">
              <w:rPr>
                <w:noProof/>
                <w:webHidden/>
              </w:rPr>
              <w:fldChar w:fldCharType="begin"/>
            </w:r>
            <w:r w:rsidR="006D334C">
              <w:rPr>
                <w:noProof/>
                <w:webHidden/>
              </w:rPr>
              <w:instrText xml:space="preserve"> PAGEREF _Toc138151848 \h </w:instrText>
            </w:r>
            <w:r w:rsidR="006D334C">
              <w:rPr>
                <w:noProof/>
                <w:webHidden/>
              </w:rPr>
            </w:r>
            <w:r w:rsidR="006D334C">
              <w:rPr>
                <w:noProof/>
                <w:webHidden/>
              </w:rPr>
              <w:fldChar w:fldCharType="separate"/>
            </w:r>
            <w:r w:rsidR="006D334C">
              <w:rPr>
                <w:noProof/>
                <w:webHidden/>
              </w:rPr>
              <w:t>41</w:t>
            </w:r>
            <w:r w:rsidR="006D334C">
              <w:rPr>
                <w:noProof/>
                <w:webHidden/>
              </w:rPr>
              <w:fldChar w:fldCharType="end"/>
            </w:r>
          </w:hyperlink>
        </w:p>
        <w:p w14:paraId="69C9E7B6" w14:textId="45D9E077" w:rsidR="006D334C" w:rsidRDefault="00000000">
          <w:pPr>
            <w:pStyle w:val="TOC2"/>
            <w:tabs>
              <w:tab w:val="right" w:leader="dot" w:pos="9350"/>
            </w:tabs>
            <w:rPr>
              <w:rFonts w:eastAsiaTheme="minorEastAsia"/>
              <w:noProof/>
              <w:kern w:val="2"/>
              <w:lang w:eastAsia="en-CA"/>
              <w14:ligatures w14:val="standardContextual"/>
            </w:rPr>
          </w:pPr>
          <w:hyperlink w:anchor="_Toc138151849" w:history="1">
            <w:r w:rsidR="006D334C" w:rsidRPr="001A1974">
              <w:rPr>
                <w:rStyle w:val="Hyperlink"/>
                <w:noProof/>
                <w:lang w:val="en-US"/>
              </w:rPr>
              <w:t>4.8 Consumer Protection Laws Can Conflict and Overlap with Other Laws</w:t>
            </w:r>
            <w:r w:rsidR="006D334C">
              <w:rPr>
                <w:noProof/>
                <w:webHidden/>
              </w:rPr>
              <w:tab/>
            </w:r>
            <w:r w:rsidR="006D334C">
              <w:rPr>
                <w:noProof/>
                <w:webHidden/>
              </w:rPr>
              <w:fldChar w:fldCharType="begin"/>
            </w:r>
            <w:r w:rsidR="006D334C">
              <w:rPr>
                <w:noProof/>
                <w:webHidden/>
              </w:rPr>
              <w:instrText xml:space="preserve"> PAGEREF _Toc138151849 \h </w:instrText>
            </w:r>
            <w:r w:rsidR="006D334C">
              <w:rPr>
                <w:noProof/>
                <w:webHidden/>
              </w:rPr>
            </w:r>
            <w:r w:rsidR="006D334C">
              <w:rPr>
                <w:noProof/>
                <w:webHidden/>
              </w:rPr>
              <w:fldChar w:fldCharType="separate"/>
            </w:r>
            <w:r w:rsidR="006D334C">
              <w:rPr>
                <w:noProof/>
                <w:webHidden/>
              </w:rPr>
              <w:t>41</w:t>
            </w:r>
            <w:r w:rsidR="006D334C">
              <w:rPr>
                <w:noProof/>
                <w:webHidden/>
              </w:rPr>
              <w:fldChar w:fldCharType="end"/>
            </w:r>
          </w:hyperlink>
        </w:p>
        <w:p w14:paraId="01CB2735" w14:textId="04EC9845" w:rsidR="006D334C" w:rsidRDefault="00000000">
          <w:pPr>
            <w:pStyle w:val="TOC2"/>
            <w:tabs>
              <w:tab w:val="right" w:leader="dot" w:pos="9350"/>
            </w:tabs>
            <w:rPr>
              <w:rFonts w:eastAsiaTheme="minorEastAsia"/>
              <w:noProof/>
              <w:kern w:val="2"/>
              <w:lang w:eastAsia="en-CA"/>
              <w14:ligatures w14:val="standardContextual"/>
            </w:rPr>
          </w:pPr>
          <w:hyperlink w:anchor="_Toc138151850" w:history="1">
            <w:r w:rsidR="006D334C" w:rsidRPr="001A1974">
              <w:rPr>
                <w:rStyle w:val="Hyperlink"/>
                <w:noProof/>
              </w:rPr>
              <w:t>4.9 The Limits of Litigation</w:t>
            </w:r>
            <w:r w:rsidR="006D334C">
              <w:rPr>
                <w:noProof/>
                <w:webHidden/>
              </w:rPr>
              <w:tab/>
            </w:r>
            <w:r w:rsidR="006D334C">
              <w:rPr>
                <w:noProof/>
                <w:webHidden/>
              </w:rPr>
              <w:fldChar w:fldCharType="begin"/>
            </w:r>
            <w:r w:rsidR="006D334C">
              <w:rPr>
                <w:noProof/>
                <w:webHidden/>
              </w:rPr>
              <w:instrText xml:space="preserve"> PAGEREF _Toc138151850 \h </w:instrText>
            </w:r>
            <w:r w:rsidR="006D334C">
              <w:rPr>
                <w:noProof/>
                <w:webHidden/>
              </w:rPr>
            </w:r>
            <w:r w:rsidR="006D334C">
              <w:rPr>
                <w:noProof/>
                <w:webHidden/>
              </w:rPr>
              <w:fldChar w:fldCharType="separate"/>
            </w:r>
            <w:r w:rsidR="006D334C">
              <w:rPr>
                <w:noProof/>
                <w:webHidden/>
              </w:rPr>
              <w:t>41</w:t>
            </w:r>
            <w:r w:rsidR="006D334C">
              <w:rPr>
                <w:noProof/>
                <w:webHidden/>
              </w:rPr>
              <w:fldChar w:fldCharType="end"/>
            </w:r>
          </w:hyperlink>
        </w:p>
        <w:p w14:paraId="69ABD9EB" w14:textId="0F227B4C" w:rsidR="006D334C" w:rsidRDefault="00000000">
          <w:pPr>
            <w:pStyle w:val="TOC1"/>
            <w:rPr>
              <w:rFonts w:eastAsiaTheme="minorEastAsia"/>
              <w:noProof/>
              <w:kern w:val="2"/>
              <w:lang w:eastAsia="en-CA"/>
              <w14:ligatures w14:val="standardContextual"/>
            </w:rPr>
          </w:pPr>
          <w:hyperlink w:anchor="_Toc138151851" w:history="1">
            <w:r w:rsidR="006D334C" w:rsidRPr="001A1974">
              <w:rPr>
                <w:rStyle w:val="Hyperlink"/>
                <w:noProof/>
              </w:rPr>
              <w:t>5.</w:t>
            </w:r>
            <w:r w:rsidR="006D334C">
              <w:rPr>
                <w:rFonts w:eastAsiaTheme="minorEastAsia"/>
                <w:noProof/>
                <w:kern w:val="2"/>
                <w:lang w:eastAsia="en-CA"/>
                <w14:ligatures w14:val="standardContextual"/>
              </w:rPr>
              <w:tab/>
            </w:r>
            <w:r w:rsidR="006D334C" w:rsidRPr="001A1974">
              <w:rPr>
                <w:rStyle w:val="Hyperlink"/>
                <w:noProof/>
              </w:rPr>
              <w:t>Consultation Issues and Questions</w:t>
            </w:r>
            <w:r w:rsidR="006D334C">
              <w:rPr>
                <w:noProof/>
                <w:webHidden/>
              </w:rPr>
              <w:tab/>
            </w:r>
            <w:r w:rsidR="006D334C">
              <w:rPr>
                <w:noProof/>
                <w:webHidden/>
              </w:rPr>
              <w:fldChar w:fldCharType="begin"/>
            </w:r>
            <w:r w:rsidR="006D334C">
              <w:rPr>
                <w:noProof/>
                <w:webHidden/>
              </w:rPr>
              <w:instrText xml:space="preserve"> PAGEREF _Toc138151851 \h </w:instrText>
            </w:r>
            <w:r w:rsidR="006D334C">
              <w:rPr>
                <w:noProof/>
                <w:webHidden/>
              </w:rPr>
            </w:r>
            <w:r w:rsidR="006D334C">
              <w:rPr>
                <w:noProof/>
                <w:webHidden/>
              </w:rPr>
              <w:fldChar w:fldCharType="separate"/>
            </w:r>
            <w:r w:rsidR="006D334C">
              <w:rPr>
                <w:noProof/>
                <w:webHidden/>
              </w:rPr>
              <w:t>43</w:t>
            </w:r>
            <w:r w:rsidR="006D334C">
              <w:rPr>
                <w:noProof/>
                <w:webHidden/>
              </w:rPr>
              <w:fldChar w:fldCharType="end"/>
            </w:r>
          </w:hyperlink>
        </w:p>
        <w:p w14:paraId="00D3F906" w14:textId="1F188682" w:rsidR="006D334C" w:rsidRDefault="00000000">
          <w:pPr>
            <w:pStyle w:val="TOC1"/>
            <w:rPr>
              <w:rFonts w:eastAsiaTheme="minorEastAsia"/>
              <w:noProof/>
              <w:kern w:val="2"/>
              <w:lang w:eastAsia="en-CA"/>
              <w14:ligatures w14:val="standardContextual"/>
            </w:rPr>
          </w:pPr>
          <w:hyperlink w:anchor="_Toc138151852" w:history="1">
            <w:r w:rsidR="006D334C" w:rsidRPr="001A1974">
              <w:rPr>
                <w:rStyle w:val="Hyperlink"/>
                <w:noProof/>
              </w:rPr>
              <w:t>6.</w:t>
            </w:r>
            <w:r w:rsidR="006D334C">
              <w:rPr>
                <w:rFonts w:eastAsiaTheme="minorEastAsia"/>
                <w:noProof/>
                <w:kern w:val="2"/>
                <w:lang w:eastAsia="en-CA"/>
                <w14:ligatures w14:val="standardContextual"/>
              </w:rPr>
              <w:tab/>
            </w:r>
            <w:r w:rsidR="006D334C" w:rsidRPr="001A1974">
              <w:rPr>
                <w:rStyle w:val="Hyperlink"/>
                <w:noProof/>
              </w:rPr>
              <w:t>Creating Dedicated and Consistent Consumer Protection Rules for Online Practices</w:t>
            </w:r>
            <w:r w:rsidR="006D334C">
              <w:rPr>
                <w:noProof/>
                <w:webHidden/>
              </w:rPr>
              <w:tab/>
            </w:r>
            <w:r w:rsidR="006D334C">
              <w:rPr>
                <w:noProof/>
                <w:webHidden/>
              </w:rPr>
              <w:fldChar w:fldCharType="begin"/>
            </w:r>
            <w:r w:rsidR="006D334C">
              <w:rPr>
                <w:noProof/>
                <w:webHidden/>
              </w:rPr>
              <w:instrText xml:space="preserve"> PAGEREF _Toc138151852 \h </w:instrText>
            </w:r>
            <w:r w:rsidR="006D334C">
              <w:rPr>
                <w:noProof/>
                <w:webHidden/>
              </w:rPr>
            </w:r>
            <w:r w:rsidR="006D334C">
              <w:rPr>
                <w:noProof/>
                <w:webHidden/>
              </w:rPr>
              <w:fldChar w:fldCharType="separate"/>
            </w:r>
            <w:r w:rsidR="006D334C">
              <w:rPr>
                <w:noProof/>
                <w:webHidden/>
              </w:rPr>
              <w:t>44</w:t>
            </w:r>
            <w:r w:rsidR="006D334C">
              <w:rPr>
                <w:noProof/>
                <w:webHidden/>
              </w:rPr>
              <w:fldChar w:fldCharType="end"/>
            </w:r>
          </w:hyperlink>
        </w:p>
        <w:p w14:paraId="5F050DD4" w14:textId="0DDD6AF9"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53" w:history="1">
            <w:r w:rsidR="006D334C" w:rsidRPr="001A1974">
              <w:rPr>
                <w:rStyle w:val="Hyperlink"/>
                <w:noProof/>
              </w:rPr>
              <w:t>6.1</w:t>
            </w:r>
            <w:r w:rsidR="006D334C">
              <w:rPr>
                <w:rFonts w:eastAsiaTheme="minorEastAsia"/>
                <w:noProof/>
                <w:kern w:val="2"/>
                <w:lang w:eastAsia="en-CA"/>
                <w14:ligatures w14:val="standardContextual"/>
              </w:rPr>
              <w:tab/>
            </w:r>
            <w:r w:rsidR="006D334C" w:rsidRPr="001A1974">
              <w:rPr>
                <w:rStyle w:val="Hyperlink"/>
                <w:noProof/>
              </w:rPr>
              <w:t>Define “Online” Practices and Establish Dedicated Provisions</w:t>
            </w:r>
            <w:r w:rsidR="006D334C">
              <w:rPr>
                <w:noProof/>
                <w:webHidden/>
              </w:rPr>
              <w:tab/>
            </w:r>
            <w:r w:rsidR="006D334C">
              <w:rPr>
                <w:noProof/>
                <w:webHidden/>
              </w:rPr>
              <w:fldChar w:fldCharType="begin"/>
            </w:r>
            <w:r w:rsidR="006D334C">
              <w:rPr>
                <w:noProof/>
                <w:webHidden/>
              </w:rPr>
              <w:instrText xml:space="preserve"> PAGEREF _Toc138151853 \h </w:instrText>
            </w:r>
            <w:r w:rsidR="006D334C">
              <w:rPr>
                <w:noProof/>
                <w:webHidden/>
              </w:rPr>
            </w:r>
            <w:r w:rsidR="006D334C">
              <w:rPr>
                <w:noProof/>
                <w:webHidden/>
              </w:rPr>
              <w:fldChar w:fldCharType="separate"/>
            </w:r>
            <w:r w:rsidR="006D334C">
              <w:rPr>
                <w:noProof/>
                <w:webHidden/>
              </w:rPr>
              <w:t>44</w:t>
            </w:r>
            <w:r w:rsidR="006D334C">
              <w:rPr>
                <w:noProof/>
                <w:webHidden/>
              </w:rPr>
              <w:fldChar w:fldCharType="end"/>
            </w:r>
          </w:hyperlink>
        </w:p>
        <w:p w14:paraId="5FF07620" w14:textId="4FA15F3B"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54" w:history="1">
            <w:r w:rsidR="006D334C" w:rsidRPr="001A1974">
              <w:rPr>
                <w:rStyle w:val="Hyperlink"/>
                <w:noProof/>
              </w:rPr>
              <w:t>6.2</w:t>
            </w:r>
            <w:r w:rsidR="006D334C">
              <w:rPr>
                <w:rFonts w:eastAsiaTheme="minorEastAsia"/>
                <w:noProof/>
                <w:kern w:val="2"/>
                <w:lang w:eastAsia="en-CA"/>
                <w14:ligatures w14:val="standardContextual"/>
              </w:rPr>
              <w:tab/>
            </w:r>
            <w:r w:rsidR="006D334C" w:rsidRPr="001A1974">
              <w:rPr>
                <w:rStyle w:val="Hyperlink"/>
                <w:noProof/>
              </w:rPr>
              <w:t>Eliminate the CPA’s Monetary Threshold to Better Protect Consumers Using Free, Low-Cost, or Occasional Cost Services</w:t>
            </w:r>
            <w:r w:rsidR="006D334C">
              <w:rPr>
                <w:noProof/>
                <w:webHidden/>
              </w:rPr>
              <w:tab/>
            </w:r>
            <w:r w:rsidR="006D334C">
              <w:rPr>
                <w:noProof/>
                <w:webHidden/>
              </w:rPr>
              <w:fldChar w:fldCharType="begin"/>
            </w:r>
            <w:r w:rsidR="006D334C">
              <w:rPr>
                <w:noProof/>
                <w:webHidden/>
              </w:rPr>
              <w:instrText xml:space="preserve"> PAGEREF _Toc138151854 \h </w:instrText>
            </w:r>
            <w:r w:rsidR="006D334C">
              <w:rPr>
                <w:noProof/>
                <w:webHidden/>
              </w:rPr>
            </w:r>
            <w:r w:rsidR="006D334C">
              <w:rPr>
                <w:noProof/>
                <w:webHidden/>
              </w:rPr>
              <w:fldChar w:fldCharType="separate"/>
            </w:r>
            <w:r w:rsidR="006D334C">
              <w:rPr>
                <w:noProof/>
                <w:webHidden/>
              </w:rPr>
              <w:t>47</w:t>
            </w:r>
            <w:r w:rsidR="006D334C">
              <w:rPr>
                <w:noProof/>
                <w:webHidden/>
              </w:rPr>
              <w:fldChar w:fldCharType="end"/>
            </w:r>
          </w:hyperlink>
        </w:p>
        <w:p w14:paraId="26F09573" w14:textId="090236CD"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55" w:history="1">
            <w:r w:rsidR="006D334C" w:rsidRPr="001A1974">
              <w:rPr>
                <w:rStyle w:val="Hyperlink"/>
                <w:noProof/>
              </w:rPr>
              <w:t>6.3</w:t>
            </w:r>
            <w:r w:rsidR="006D334C">
              <w:rPr>
                <w:rFonts w:eastAsiaTheme="minorEastAsia"/>
                <w:noProof/>
                <w:kern w:val="2"/>
                <w:lang w:eastAsia="en-CA"/>
                <w14:ligatures w14:val="standardContextual"/>
              </w:rPr>
              <w:tab/>
            </w:r>
            <w:r w:rsidR="006D334C" w:rsidRPr="001A1974">
              <w:rPr>
                <w:rStyle w:val="Hyperlink"/>
                <w:noProof/>
              </w:rPr>
              <w:t>Regulate Unilateral Changes to ToS</w:t>
            </w:r>
            <w:r w:rsidR="006D334C">
              <w:rPr>
                <w:noProof/>
                <w:webHidden/>
              </w:rPr>
              <w:tab/>
            </w:r>
            <w:r w:rsidR="006D334C">
              <w:rPr>
                <w:noProof/>
                <w:webHidden/>
              </w:rPr>
              <w:fldChar w:fldCharType="begin"/>
            </w:r>
            <w:r w:rsidR="006D334C">
              <w:rPr>
                <w:noProof/>
                <w:webHidden/>
              </w:rPr>
              <w:instrText xml:space="preserve"> PAGEREF _Toc138151855 \h </w:instrText>
            </w:r>
            <w:r w:rsidR="006D334C">
              <w:rPr>
                <w:noProof/>
                <w:webHidden/>
              </w:rPr>
            </w:r>
            <w:r w:rsidR="006D334C">
              <w:rPr>
                <w:noProof/>
                <w:webHidden/>
              </w:rPr>
              <w:fldChar w:fldCharType="separate"/>
            </w:r>
            <w:r w:rsidR="006D334C">
              <w:rPr>
                <w:noProof/>
                <w:webHidden/>
              </w:rPr>
              <w:t>48</w:t>
            </w:r>
            <w:r w:rsidR="006D334C">
              <w:rPr>
                <w:noProof/>
                <w:webHidden/>
              </w:rPr>
              <w:fldChar w:fldCharType="end"/>
            </w:r>
          </w:hyperlink>
        </w:p>
        <w:p w14:paraId="76A21EDC" w14:textId="13489AE9" w:rsidR="006D334C" w:rsidRDefault="00000000">
          <w:pPr>
            <w:pStyle w:val="TOC1"/>
            <w:rPr>
              <w:rFonts w:eastAsiaTheme="minorEastAsia"/>
              <w:noProof/>
              <w:kern w:val="2"/>
              <w:lang w:eastAsia="en-CA"/>
              <w14:ligatures w14:val="standardContextual"/>
            </w:rPr>
          </w:pPr>
          <w:hyperlink w:anchor="_Toc138151856" w:history="1">
            <w:r w:rsidR="006D334C" w:rsidRPr="001A1974">
              <w:rPr>
                <w:rStyle w:val="Hyperlink"/>
                <w:noProof/>
              </w:rPr>
              <w:t>7.</w:t>
            </w:r>
            <w:r w:rsidR="006D334C">
              <w:rPr>
                <w:rFonts w:eastAsiaTheme="minorEastAsia"/>
                <w:noProof/>
                <w:kern w:val="2"/>
                <w:lang w:eastAsia="en-CA"/>
                <w14:ligatures w14:val="standardContextual"/>
              </w:rPr>
              <w:tab/>
            </w:r>
            <w:r w:rsidR="006D334C" w:rsidRPr="001A1974">
              <w:rPr>
                <w:rStyle w:val="Hyperlink"/>
                <w:noProof/>
              </w:rPr>
              <w:t>Improving Notice and Disclosure</w:t>
            </w:r>
            <w:r w:rsidR="006D334C">
              <w:rPr>
                <w:noProof/>
                <w:webHidden/>
              </w:rPr>
              <w:tab/>
            </w:r>
            <w:r w:rsidR="006D334C">
              <w:rPr>
                <w:noProof/>
                <w:webHidden/>
              </w:rPr>
              <w:fldChar w:fldCharType="begin"/>
            </w:r>
            <w:r w:rsidR="006D334C">
              <w:rPr>
                <w:noProof/>
                <w:webHidden/>
              </w:rPr>
              <w:instrText xml:space="preserve"> PAGEREF _Toc138151856 \h </w:instrText>
            </w:r>
            <w:r w:rsidR="006D334C">
              <w:rPr>
                <w:noProof/>
                <w:webHidden/>
              </w:rPr>
            </w:r>
            <w:r w:rsidR="006D334C">
              <w:rPr>
                <w:noProof/>
                <w:webHidden/>
              </w:rPr>
              <w:fldChar w:fldCharType="separate"/>
            </w:r>
            <w:r w:rsidR="006D334C">
              <w:rPr>
                <w:noProof/>
                <w:webHidden/>
              </w:rPr>
              <w:t>51</w:t>
            </w:r>
            <w:r w:rsidR="006D334C">
              <w:rPr>
                <w:noProof/>
                <w:webHidden/>
              </w:rPr>
              <w:fldChar w:fldCharType="end"/>
            </w:r>
          </w:hyperlink>
        </w:p>
        <w:p w14:paraId="4486E611" w14:textId="6303E756"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57" w:history="1">
            <w:r w:rsidR="006D334C" w:rsidRPr="001A1974">
              <w:rPr>
                <w:rStyle w:val="Hyperlink"/>
                <w:noProof/>
              </w:rPr>
              <w:t>7.1</w:t>
            </w:r>
            <w:r w:rsidR="006D334C">
              <w:rPr>
                <w:rFonts w:eastAsiaTheme="minorEastAsia"/>
                <w:noProof/>
                <w:kern w:val="2"/>
                <w:lang w:eastAsia="en-CA"/>
                <w14:ligatures w14:val="standardContextual"/>
              </w:rPr>
              <w:tab/>
            </w:r>
            <w:r w:rsidR="006D334C" w:rsidRPr="001A1974">
              <w:rPr>
                <w:rStyle w:val="Hyperlink"/>
                <w:noProof/>
              </w:rPr>
              <w:t>The Consumer Protection Act</w:t>
            </w:r>
            <w:r w:rsidR="006D334C">
              <w:rPr>
                <w:noProof/>
                <w:webHidden/>
              </w:rPr>
              <w:tab/>
            </w:r>
            <w:r w:rsidR="006D334C">
              <w:rPr>
                <w:noProof/>
                <w:webHidden/>
              </w:rPr>
              <w:fldChar w:fldCharType="begin"/>
            </w:r>
            <w:r w:rsidR="006D334C">
              <w:rPr>
                <w:noProof/>
                <w:webHidden/>
              </w:rPr>
              <w:instrText xml:space="preserve"> PAGEREF _Toc138151857 \h </w:instrText>
            </w:r>
            <w:r w:rsidR="006D334C">
              <w:rPr>
                <w:noProof/>
                <w:webHidden/>
              </w:rPr>
            </w:r>
            <w:r w:rsidR="006D334C">
              <w:rPr>
                <w:noProof/>
                <w:webHidden/>
              </w:rPr>
              <w:fldChar w:fldCharType="separate"/>
            </w:r>
            <w:r w:rsidR="006D334C">
              <w:rPr>
                <w:noProof/>
                <w:webHidden/>
              </w:rPr>
              <w:t>51</w:t>
            </w:r>
            <w:r w:rsidR="006D334C">
              <w:rPr>
                <w:noProof/>
                <w:webHidden/>
              </w:rPr>
              <w:fldChar w:fldCharType="end"/>
            </w:r>
          </w:hyperlink>
        </w:p>
        <w:p w14:paraId="0634F5AB" w14:textId="7D0B3CF4"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58" w:history="1">
            <w:r w:rsidR="006D334C" w:rsidRPr="001A1974">
              <w:rPr>
                <w:rStyle w:val="Hyperlink"/>
                <w:noProof/>
              </w:rPr>
              <w:t>7.2</w:t>
            </w:r>
            <w:r w:rsidR="006D334C">
              <w:rPr>
                <w:rFonts w:eastAsiaTheme="minorEastAsia"/>
                <w:noProof/>
                <w:kern w:val="2"/>
                <w:lang w:eastAsia="en-CA"/>
                <w14:ligatures w14:val="standardContextual"/>
              </w:rPr>
              <w:tab/>
            </w:r>
            <w:r w:rsidR="006D334C" w:rsidRPr="001A1974">
              <w:rPr>
                <w:rStyle w:val="Hyperlink"/>
                <w:noProof/>
              </w:rPr>
              <w:t>Government of Ontario CPA Reform Proposals</w:t>
            </w:r>
            <w:r w:rsidR="006D334C">
              <w:rPr>
                <w:noProof/>
                <w:webHidden/>
              </w:rPr>
              <w:tab/>
            </w:r>
            <w:r w:rsidR="006D334C">
              <w:rPr>
                <w:noProof/>
                <w:webHidden/>
              </w:rPr>
              <w:fldChar w:fldCharType="begin"/>
            </w:r>
            <w:r w:rsidR="006D334C">
              <w:rPr>
                <w:noProof/>
                <w:webHidden/>
              </w:rPr>
              <w:instrText xml:space="preserve"> PAGEREF _Toc138151858 \h </w:instrText>
            </w:r>
            <w:r w:rsidR="006D334C">
              <w:rPr>
                <w:noProof/>
                <w:webHidden/>
              </w:rPr>
            </w:r>
            <w:r w:rsidR="006D334C">
              <w:rPr>
                <w:noProof/>
                <w:webHidden/>
              </w:rPr>
              <w:fldChar w:fldCharType="separate"/>
            </w:r>
            <w:r w:rsidR="006D334C">
              <w:rPr>
                <w:noProof/>
                <w:webHidden/>
              </w:rPr>
              <w:t>52</w:t>
            </w:r>
            <w:r w:rsidR="006D334C">
              <w:rPr>
                <w:noProof/>
                <w:webHidden/>
              </w:rPr>
              <w:fldChar w:fldCharType="end"/>
            </w:r>
          </w:hyperlink>
        </w:p>
        <w:p w14:paraId="38C14C48" w14:textId="54FB9E2C"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59" w:history="1">
            <w:r w:rsidR="006D334C" w:rsidRPr="001A1974">
              <w:rPr>
                <w:rStyle w:val="Hyperlink"/>
                <w:noProof/>
              </w:rPr>
              <w:t>7.3</w:t>
            </w:r>
            <w:r w:rsidR="006D334C">
              <w:rPr>
                <w:rFonts w:eastAsiaTheme="minorEastAsia"/>
                <w:noProof/>
                <w:kern w:val="2"/>
                <w:lang w:eastAsia="en-CA"/>
                <w14:ligatures w14:val="standardContextual"/>
              </w:rPr>
              <w:tab/>
            </w:r>
            <w:r w:rsidR="006D334C" w:rsidRPr="001A1974">
              <w:rPr>
                <w:rStyle w:val="Hyperlink"/>
                <w:noProof/>
              </w:rPr>
              <w:t>Criticisms of Notice and Disclosure Regimes</w:t>
            </w:r>
            <w:r w:rsidR="006D334C">
              <w:rPr>
                <w:noProof/>
                <w:webHidden/>
              </w:rPr>
              <w:tab/>
            </w:r>
            <w:r w:rsidR="006D334C">
              <w:rPr>
                <w:noProof/>
                <w:webHidden/>
              </w:rPr>
              <w:fldChar w:fldCharType="begin"/>
            </w:r>
            <w:r w:rsidR="006D334C">
              <w:rPr>
                <w:noProof/>
                <w:webHidden/>
              </w:rPr>
              <w:instrText xml:space="preserve"> PAGEREF _Toc138151859 \h </w:instrText>
            </w:r>
            <w:r w:rsidR="006D334C">
              <w:rPr>
                <w:noProof/>
                <w:webHidden/>
              </w:rPr>
            </w:r>
            <w:r w:rsidR="006D334C">
              <w:rPr>
                <w:noProof/>
                <w:webHidden/>
              </w:rPr>
              <w:fldChar w:fldCharType="separate"/>
            </w:r>
            <w:r w:rsidR="006D334C">
              <w:rPr>
                <w:noProof/>
                <w:webHidden/>
              </w:rPr>
              <w:t>53</w:t>
            </w:r>
            <w:r w:rsidR="006D334C">
              <w:rPr>
                <w:noProof/>
                <w:webHidden/>
              </w:rPr>
              <w:fldChar w:fldCharType="end"/>
            </w:r>
          </w:hyperlink>
        </w:p>
        <w:p w14:paraId="6A98319B" w14:textId="1DD266BE"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60" w:history="1">
            <w:r w:rsidR="006D334C" w:rsidRPr="001A1974">
              <w:rPr>
                <w:rStyle w:val="Hyperlink"/>
                <w:noProof/>
                <w:lang w:val="en-US"/>
              </w:rPr>
              <w:t>7.4</w:t>
            </w:r>
            <w:r w:rsidR="006D334C">
              <w:rPr>
                <w:rFonts w:eastAsiaTheme="minorEastAsia"/>
                <w:noProof/>
                <w:kern w:val="2"/>
                <w:lang w:eastAsia="en-CA"/>
                <w14:ligatures w14:val="standardContextual"/>
              </w:rPr>
              <w:tab/>
            </w:r>
            <w:r w:rsidR="006D334C" w:rsidRPr="001A1974">
              <w:rPr>
                <w:rStyle w:val="Hyperlink"/>
                <w:noProof/>
                <w:lang w:val="en-US"/>
              </w:rPr>
              <w:t>Government, Judicial and Academic Scrutiny</w:t>
            </w:r>
            <w:r w:rsidR="006D334C">
              <w:rPr>
                <w:noProof/>
                <w:webHidden/>
              </w:rPr>
              <w:tab/>
            </w:r>
            <w:r w:rsidR="006D334C">
              <w:rPr>
                <w:noProof/>
                <w:webHidden/>
              </w:rPr>
              <w:fldChar w:fldCharType="begin"/>
            </w:r>
            <w:r w:rsidR="006D334C">
              <w:rPr>
                <w:noProof/>
                <w:webHidden/>
              </w:rPr>
              <w:instrText xml:space="preserve"> PAGEREF _Toc138151860 \h </w:instrText>
            </w:r>
            <w:r w:rsidR="006D334C">
              <w:rPr>
                <w:noProof/>
                <w:webHidden/>
              </w:rPr>
            </w:r>
            <w:r w:rsidR="006D334C">
              <w:rPr>
                <w:noProof/>
                <w:webHidden/>
              </w:rPr>
              <w:fldChar w:fldCharType="separate"/>
            </w:r>
            <w:r w:rsidR="006D334C">
              <w:rPr>
                <w:noProof/>
                <w:webHidden/>
              </w:rPr>
              <w:t>55</w:t>
            </w:r>
            <w:r w:rsidR="006D334C">
              <w:rPr>
                <w:noProof/>
                <w:webHidden/>
              </w:rPr>
              <w:fldChar w:fldCharType="end"/>
            </w:r>
          </w:hyperlink>
        </w:p>
        <w:p w14:paraId="6BB40423" w14:textId="37956544"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61" w:history="1">
            <w:r w:rsidR="006D334C" w:rsidRPr="001A1974">
              <w:rPr>
                <w:rStyle w:val="Hyperlink"/>
                <w:noProof/>
                <w:lang w:val="en-US"/>
              </w:rPr>
              <w:t>7.5</w:t>
            </w:r>
            <w:r w:rsidR="006D334C">
              <w:rPr>
                <w:rFonts w:eastAsiaTheme="minorEastAsia"/>
                <w:noProof/>
                <w:kern w:val="2"/>
                <w:lang w:eastAsia="en-CA"/>
                <w14:ligatures w14:val="standardContextual"/>
              </w:rPr>
              <w:tab/>
            </w:r>
            <w:r w:rsidR="006D334C" w:rsidRPr="001A1974">
              <w:rPr>
                <w:rStyle w:val="Hyperlink"/>
                <w:noProof/>
                <w:lang w:val="en-US"/>
              </w:rPr>
              <w:t>Law Reform Options</w:t>
            </w:r>
            <w:r w:rsidR="006D334C">
              <w:rPr>
                <w:noProof/>
                <w:webHidden/>
              </w:rPr>
              <w:tab/>
            </w:r>
            <w:r w:rsidR="006D334C">
              <w:rPr>
                <w:noProof/>
                <w:webHidden/>
              </w:rPr>
              <w:fldChar w:fldCharType="begin"/>
            </w:r>
            <w:r w:rsidR="006D334C">
              <w:rPr>
                <w:noProof/>
                <w:webHidden/>
              </w:rPr>
              <w:instrText xml:space="preserve"> PAGEREF _Toc138151861 \h </w:instrText>
            </w:r>
            <w:r w:rsidR="006D334C">
              <w:rPr>
                <w:noProof/>
                <w:webHidden/>
              </w:rPr>
            </w:r>
            <w:r w:rsidR="006D334C">
              <w:rPr>
                <w:noProof/>
                <w:webHidden/>
              </w:rPr>
              <w:fldChar w:fldCharType="separate"/>
            </w:r>
            <w:r w:rsidR="006D334C">
              <w:rPr>
                <w:noProof/>
                <w:webHidden/>
              </w:rPr>
              <w:t>57</w:t>
            </w:r>
            <w:r w:rsidR="006D334C">
              <w:rPr>
                <w:noProof/>
                <w:webHidden/>
              </w:rPr>
              <w:fldChar w:fldCharType="end"/>
            </w:r>
          </w:hyperlink>
        </w:p>
        <w:p w14:paraId="740FA414" w14:textId="7D873457" w:rsidR="006D334C" w:rsidRDefault="00000000">
          <w:pPr>
            <w:pStyle w:val="TOC1"/>
            <w:rPr>
              <w:rFonts w:eastAsiaTheme="minorEastAsia"/>
              <w:noProof/>
              <w:kern w:val="2"/>
              <w:lang w:eastAsia="en-CA"/>
              <w14:ligatures w14:val="standardContextual"/>
            </w:rPr>
          </w:pPr>
          <w:hyperlink w:anchor="_Toc138151862" w:history="1">
            <w:r w:rsidR="006D334C" w:rsidRPr="001A1974">
              <w:rPr>
                <w:rStyle w:val="Hyperlink"/>
                <w:noProof/>
              </w:rPr>
              <w:t>8.</w:t>
            </w:r>
            <w:r w:rsidR="006D334C">
              <w:rPr>
                <w:rFonts w:eastAsiaTheme="minorEastAsia"/>
                <w:noProof/>
                <w:kern w:val="2"/>
                <w:lang w:eastAsia="en-CA"/>
                <w14:ligatures w14:val="standardContextual"/>
              </w:rPr>
              <w:tab/>
            </w:r>
            <w:r w:rsidR="006D334C" w:rsidRPr="001A1974">
              <w:rPr>
                <w:rStyle w:val="Hyperlink"/>
                <w:noProof/>
              </w:rPr>
              <w:t>Regulate Dark Patterns</w:t>
            </w:r>
            <w:r w:rsidR="006D334C">
              <w:rPr>
                <w:noProof/>
                <w:webHidden/>
              </w:rPr>
              <w:tab/>
            </w:r>
            <w:r w:rsidR="006D334C">
              <w:rPr>
                <w:noProof/>
                <w:webHidden/>
              </w:rPr>
              <w:fldChar w:fldCharType="begin"/>
            </w:r>
            <w:r w:rsidR="006D334C">
              <w:rPr>
                <w:noProof/>
                <w:webHidden/>
              </w:rPr>
              <w:instrText xml:space="preserve"> PAGEREF _Toc138151862 \h </w:instrText>
            </w:r>
            <w:r w:rsidR="006D334C">
              <w:rPr>
                <w:noProof/>
                <w:webHidden/>
              </w:rPr>
            </w:r>
            <w:r w:rsidR="006D334C">
              <w:rPr>
                <w:noProof/>
                <w:webHidden/>
              </w:rPr>
              <w:fldChar w:fldCharType="separate"/>
            </w:r>
            <w:r w:rsidR="006D334C">
              <w:rPr>
                <w:noProof/>
                <w:webHidden/>
              </w:rPr>
              <w:t>61</w:t>
            </w:r>
            <w:r w:rsidR="006D334C">
              <w:rPr>
                <w:noProof/>
                <w:webHidden/>
              </w:rPr>
              <w:fldChar w:fldCharType="end"/>
            </w:r>
          </w:hyperlink>
        </w:p>
        <w:p w14:paraId="17168CBA" w14:textId="470F5AAF" w:rsidR="006D334C" w:rsidRDefault="00000000">
          <w:pPr>
            <w:pStyle w:val="TOC1"/>
            <w:rPr>
              <w:rFonts w:eastAsiaTheme="minorEastAsia"/>
              <w:noProof/>
              <w:kern w:val="2"/>
              <w:lang w:eastAsia="en-CA"/>
              <w14:ligatures w14:val="standardContextual"/>
            </w:rPr>
          </w:pPr>
          <w:hyperlink w:anchor="_Toc138151863" w:history="1">
            <w:r w:rsidR="006D334C" w:rsidRPr="001A1974">
              <w:rPr>
                <w:rStyle w:val="Hyperlink"/>
                <w:noProof/>
              </w:rPr>
              <w:t>9.</w:t>
            </w:r>
            <w:r w:rsidR="006D334C">
              <w:rPr>
                <w:rFonts w:eastAsiaTheme="minorEastAsia"/>
                <w:noProof/>
                <w:kern w:val="2"/>
                <w:lang w:eastAsia="en-CA"/>
                <w14:ligatures w14:val="standardContextual"/>
              </w:rPr>
              <w:tab/>
            </w:r>
            <w:r w:rsidR="006D334C" w:rsidRPr="001A1974">
              <w:rPr>
                <w:rStyle w:val="Hyperlink"/>
                <w:noProof/>
              </w:rPr>
              <w:t>Better Consumer Protections for Youth and Vulnerable Consumers</w:t>
            </w:r>
            <w:r w:rsidR="006D334C">
              <w:rPr>
                <w:noProof/>
                <w:webHidden/>
              </w:rPr>
              <w:tab/>
            </w:r>
            <w:r w:rsidR="006D334C">
              <w:rPr>
                <w:noProof/>
                <w:webHidden/>
              </w:rPr>
              <w:fldChar w:fldCharType="begin"/>
            </w:r>
            <w:r w:rsidR="006D334C">
              <w:rPr>
                <w:noProof/>
                <w:webHidden/>
              </w:rPr>
              <w:instrText xml:space="preserve"> PAGEREF _Toc138151863 \h </w:instrText>
            </w:r>
            <w:r w:rsidR="006D334C">
              <w:rPr>
                <w:noProof/>
                <w:webHidden/>
              </w:rPr>
            </w:r>
            <w:r w:rsidR="006D334C">
              <w:rPr>
                <w:noProof/>
                <w:webHidden/>
              </w:rPr>
              <w:fldChar w:fldCharType="separate"/>
            </w:r>
            <w:r w:rsidR="006D334C">
              <w:rPr>
                <w:noProof/>
                <w:webHidden/>
              </w:rPr>
              <w:t>65</w:t>
            </w:r>
            <w:r w:rsidR="006D334C">
              <w:rPr>
                <w:noProof/>
                <w:webHidden/>
              </w:rPr>
              <w:fldChar w:fldCharType="end"/>
            </w:r>
          </w:hyperlink>
        </w:p>
        <w:p w14:paraId="57217FFB" w14:textId="20EE2798"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64" w:history="1">
            <w:r w:rsidR="006D334C" w:rsidRPr="001A1974">
              <w:rPr>
                <w:rStyle w:val="Hyperlink"/>
                <w:noProof/>
              </w:rPr>
              <w:t>9.2</w:t>
            </w:r>
            <w:r w:rsidR="006D334C">
              <w:rPr>
                <w:rFonts w:eastAsiaTheme="minorEastAsia"/>
                <w:noProof/>
                <w:kern w:val="2"/>
                <w:lang w:eastAsia="en-CA"/>
                <w14:ligatures w14:val="standardContextual"/>
              </w:rPr>
              <w:tab/>
            </w:r>
            <w:r w:rsidR="006D334C" w:rsidRPr="001A1974">
              <w:rPr>
                <w:rStyle w:val="Hyperlink"/>
                <w:noProof/>
              </w:rPr>
              <w:t>Youth and ToS</w:t>
            </w:r>
            <w:r w:rsidR="006D334C">
              <w:rPr>
                <w:noProof/>
                <w:webHidden/>
              </w:rPr>
              <w:tab/>
            </w:r>
            <w:r w:rsidR="006D334C">
              <w:rPr>
                <w:noProof/>
                <w:webHidden/>
              </w:rPr>
              <w:fldChar w:fldCharType="begin"/>
            </w:r>
            <w:r w:rsidR="006D334C">
              <w:rPr>
                <w:noProof/>
                <w:webHidden/>
              </w:rPr>
              <w:instrText xml:space="preserve"> PAGEREF _Toc138151864 \h </w:instrText>
            </w:r>
            <w:r w:rsidR="006D334C">
              <w:rPr>
                <w:noProof/>
                <w:webHidden/>
              </w:rPr>
            </w:r>
            <w:r w:rsidR="006D334C">
              <w:rPr>
                <w:noProof/>
                <w:webHidden/>
              </w:rPr>
              <w:fldChar w:fldCharType="separate"/>
            </w:r>
            <w:r w:rsidR="006D334C">
              <w:rPr>
                <w:noProof/>
                <w:webHidden/>
              </w:rPr>
              <w:t>66</w:t>
            </w:r>
            <w:r w:rsidR="006D334C">
              <w:rPr>
                <w:noProof/>
                <w:webHidden/>
              </w:rPr>
              <w:fldChar w:fldCharType="end"/>
            </w:r>
          </w:hyperlink>
        </w:p>
        <w:p w14:paraId="3B3793CE" w14:textId="20FC052C"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65" w:history="1">
            <w:r w:rsidR="006D334C" w:rsidRPr="001A1974">
              <w:rPr>
                <w:rStyle w:val="Hyperlink"/>
                <w:noProof/>
              </w:rPr>
              <w:t>9.3</w:t>
            </w:r>
            <w:r w:rsidR="006D334C">
              <w:rPr>
                <w:rFonts w:eastAsiaTheme="minorEastAsia"/>
                <w:noProof/>
                <w:kern w:val="2"/>
                <w:lang w:eastAsia="en-CA"/>
                <w14:ligatures w14:val="standardContextual"/>
              </w:rPr>
              <w:tab/>
            </w:r>
            <w:r w:rsidR="006D334C" w:rsidRPr="001A1974">
              <w:rPr>
                <w:rStyle w:val="Hyperlink"/>
                <w:noProof/>
              </w:rPr>
              <w:t>Elderly and ToS</w:t>
            </w:r>
            <w:r w:rsidR="006D334C">
              <w:rPr>
                <w:noProof/>
                <w:webHidden/>
              </w:rPr>
              <w:tab/>
            </w:r>
            <w:r w:rsidR="006D334C">
              <w:rPr>
                <w:noProof/>
                <w:webHidden/>
              </w:rPr>
              <w:fldChar w:fldCharType="begin"/>
            </w:r>
            <w:r w:rsidR="006D334C">
              <w:rPr>
                <w:noProof/>
                <w:webHidden/>
              </w:rPr>
              <w:instrText xml:space="preserve"> PAGEREF _Toc138151865 \h </w:instrText>
            </w:r>
            <w:r w:rsidR="006D334C">
              <w:rPr>
                <w:noProof/>
                <w:webHidden/>
              </w:rPr>
            </w:r>
            <w:r w:rsidR="006D334C">
              <w:rPr>
                <w:noProof/>
                <w:webHidden/>
              </w:rPr>
              <w:fldChar w:fldCharType="separate"/>
            </w:r>
            <w:r w:rsidR="006D334C">
              <w:rPr>
                <w:noProof/>
                <w:webHidden/>
              </w:rPr>
              <w:t>67</w:t>
            </w:r>
            <w:r w:rsidR="006D334C">
              <w:rPr>
                <w:noProof/>
                <w:webHidden/>
              </w:rPr>
              <w:fldChar w:fldCharType="end"/>
            </w:r>
          </w:hyperlink>
        </w:p>
        <w:p w14:paraId="5E2E1496" w14:textId="6FCB99A6"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66" w:history="1">
            <w:r w:rsidR="006D334C" w:rsidRPr="001A1974">
              <w:rPr>
                <w:rStyle w:val="Hyperlink"/>
                <w:noProof/>
              </w:rPr>
              <w:t xml:space="preserve">9.4 </w:t>
            </w:r>
            <w:r w:rsidR="006D334C">
              <w:rPr>
                <w:rFonts w:eastAsiaTheme="minorEastAsia"/>
                <w:noProof/>
                <w:kern w:val="2"/>
                <w:lang w:eastAsia="en-CA"/>
                <w14:ligatures w14:val="standardContextual"/>
              </w:rPr>
              <w:tab/>
            </w:r>
            <w:r w:rsidR="006D334C" w:rsidRPr="001A1974">
              <w:rPr>
                <w:rStyle w:val="Hyperlink"/>
                <w:noProof/>
              </w:rPr>
              <w:t>Law Reform Options</w:t>
            </w:r>
            <w:r w:rsidR="006D334C">
              <w:rPr>
                <w:noProof/>
                <w:webHidden/>
              </w:rPr>
              <w:tab/>
            </w:r>
            <w:r w:rsidR="006D334C">
              <w:rPr>
                <w:noProof/>
                <w:webHidden/>
              </w:rPr>
              <w:fldChar w:fldCharType="begin"/>
            </w:r>
            <w:r w:rsidR="006D334C">
              <w:rPr>
                <w:noProof/>
                <w:webHidden/>
              </w:rPr>
              <w:instrText xml:space="preserve"> PAGEREF _Toc138151866 \h </w:instrText>
            </w:r>
            <w:r w:rsidR="006D334C">
              <w:rPr>
                <w:noProof/>
                <w:webHidden/>
              </w:rPr>
            </w:r>
            <w:r w:rsidR="006D334C">
              <w:rPr>
                <w:noProof/>
                <w:webHidden/>
              </w:rPr>
              <w:fldChar w:fldCharType="separate"/>
            </w:r>
            <w:r w:rsidR="006D334C">
              <w:rPr>
                <w:noProof/>
                <w:webHidden/>
              </w:rPr>
              <w:t>68</w:t>
            </w:r>
            <w:r w:rsidR="006D334C">
              <w:rPr>
                <w:noProof/>
                <w:webHidden/>
              </w:rPr>
              <w:fldChar w:fldCharType="end"/>
            </w:r>
          </w:hyperlink>
        </w:p>
        <w:p w14:paraId="28D894A9" w14:textId="64062F1E" w:rsidR="006D334C" w:rsidRDefault="00000000">
          <w:pPr>
            <w:pStyle w:val="TOC1"/>
            <w:rPr>
              <w:rFonts w:eastAsiaTheme="minorEastAsia"/>
              <w:noProof/>
              <w:kern w:val="2"/>
              <w:lang w:eastAsia="en-CA"/>
              <w14:ligatures w14:val="standardContextual"/>
            </w:rPr>
          </w:pPr>
          <w:hyperlink w:anchor="_Toc138151867" w:history="1">
            <w:r w:rsidR="006D334C" w:rsidRPr="001A1974">
              <w:rPr>
                <w:rStyle w:val="Hyperlink"/>
                <w:noProof/>
              </w:rPr>
              <w:t>10.</w:t>
            </w:r>
            <w:r w:rsidR="006D334C">
              <w:rPr>
                <w:rFonts w:eastAsiaTheme="minorEastAsia"/>
                <w:noProof/>
                <w:kern w:val="2"/>
                <w:lang w:eastAsia="en-CA"/>
                <w14:ligatures w14:val="standardContextual"/>
              </w:rPr>
              <w:tab/>
            </w:r>
            <w:r w:rsidR="006D334C" w:rsidRPr="001A1974">
              <w:rPr>
                <w:rStyle w:val="Hyperlink"/>
                <w:noProof/>
              </w:rPr>
              <w:t>Reducing Deception and Unconscionability in the Digital Marketplace</w:t>
            </w:r>
            <w:r w:rsidR="006D334C">
              <w:rPr>
                <w:noProof/>
                <w:webHidden/>
              </w:rPr>
              <w:tab/>
            </w:r>
            <w:r w:rsidR="006D334C">
              <w:rPr>
                <w:noProof/>
                <w:webHidden/>
              </w:rPr>
              <w:fldChar w:fldCharType="begin"/>
            </w:r>
            <w:r w:rsidR="006D334C">
              <w:rPr>
                <w:noProof/>
                <w:webHidden/>
              </w:rPr>
              <w:instrText xml:space="preserve"> PAGEREF _Toc138151867 \h </w:instrText>
            </w:r>
            <w:r w:rsidR="006D334C">
              <w:rPr>
                <w:noProof/>
                <w:webHidden/>
              </w:rPr>
            </w:r>
            <w:r w:rsidR="006D334C">
              <w:rPr>
                <w:noProof/>
                <w:webHidden/>
              </w:rPr>
              <w:fldChar w:fldCharType="separate"/>
            </w:r>
            <w:r w:rsidR="006D334C">
              <w:rPr>
                <w:noProof/>
                <w:webHidden/>
              </w:rPr>
              <w:t>70</w:t>
            </w:r>
            <w:r w:rsidR="006D334C">
              <w:rPr>
                <w:noProof/>
                <w:webHidden/>
              </w:rPr>
              <w:fldChar w:fldCharType="end"/>
            </w:r>
          </w:hyperlink>
        </w:p>
        <w:p w14:paraId="17CBECE4" w14:textId="4A806F8B"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68" w:history="1">
            <w:r w:rsidR="006D334C" w:rsidRPr="001A1974">
              <w:rPr>
                <w:rStyle w:val="Hyperlink"/>
                <w:noProof/>
              </w:rPr>
              <w:t>10.1</w:t>
            </w:r>
            <w:r w:rsidR="006D334C">
              <w:rPr>
                <w:rFonts w:eastAsiaTheme="minorEastAsia"/>
                <w:noProof/>
                <w:kern w:val="2"/>
                <w:lang w:eastAsia="en-CA"/>
                <w14:ligatures w14:val="standardContextual"/>
              </w:rPr>
              <w:tab/>
            </w:r>
            <w:r w:rsidR="006D334C" w:rsidRPr="001A1974">
              <w:rPr>
                <w:rStyle w:val="Hyperlink"/>
                <w:noProof/>
              </w:rPr>
              <w:t>The CPA and Proposed Amendments</w:t>
            </w:r>
            <w:r w:rsidR="006D334C">
              <w:rPr>
                <w:noProof/>
                <w:webHidden/>
              </w:rPr>
              <w:tab/>
            </w:r>
            <w:r w:rsidR="006D334C">
              <w:rPr>
                <w:noProof/>
                <w:webHidden/>
              </w:rPr>
              <w:fldChar w:fldCharType="begin"/>
            </w:r>
            <w:r w:rsidR="006D334C">
              <w:rPr>
                <w:noProof/>
                <w:webHidden/>
              </w:rPr>
              <w:instrText xml:space="preserve"> PAGEREF _Toc138151868 \h </w:instrText>
            </w:r>
            <w:r w:rsidR="006D334C">
              <w:rPr>
                <w:noProof/>
                <w:webHidden/>
              </w:rPr>
            </w:r>
            <w:r w:rsidR="006D334C">
              <w:rPr>
                <w:noProof/>
                <w:webHidden/>
              </w:rPr>
              <w:fldChar w:fldCharType="separate"/>
            </w:r>
            <w:r w:rsidR="006D334C">
              <w:rPr>
                <w:noProof/>
                <w:webHidden/>
              </w:rPr>
              <w:t>70</w:t>
            </w:r>
            <w:r w:rsidR="006D334C">
              <w:rPr>
                <w:noProof/>
                <w:webHidden/>
              </w:rPr>
              <w:fldChar w:fldCharType="end"/>
            </w:r>
          </w:hyperlink>
        </w:p>
        <w:p w14:paraId="054BA3F9" w14:textId="0B8535AE"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69" w:history="1">
            <w:r w:rsidR="006D334C" w:rsidRPr="001A1974">
              <w:rPr>
                <w:rStyle w:val="Hyperlink"/>
                <w:noProof/>
              </w:rPr>
              <w:t>10.2</w:t>
            </w:r>
            <w:r w:rsidR="006D334C">
              <w:rPr>
                <w:rFonts w:eastAsiaTheme="minorEastAsia"/>
                <w:noProof/>
                <w:kern w:val="2"/>
                <w:lang w:eastAsia="en-CA"/>
                <w14:ligatures w14:val="standardContextual"/>
              </w:rPr>
              <w:tab/>
            </w:r>
            <w:r w:rsidR="006D334C" w:rsidRPr="001A1974">
              <w:rPr>
                <w:rStyle w:val="Hyperlink"/>
                <w:noProof/>
              </w:rPr>
              <w:t>Deception and Unconscionability in the Digital Marketplace</w:t>
            </w:r>
            <w:r w:rsidR="006D334C">
              <w:rPr>
                <w:noProof/>
                <w:webHidden/>
              </w:rPr>
              <w:tab/>
            </w:r>
            <w:r w:rsidR="006D334C">
              <w:rPr>
                <w:noProof/>
                <w:webHidden/>
              </w:rPr>
              <w:fldChar w:fldCharType="begin"/>
            </w:r>
            <w:r w:rsidR="006D334C">
              <w:rPr>
                <w:noProof/>
                <w:webHidden/>
              </w:rPr>
              <w:instrText xml:space="preserve"> PAGEREF _Toc138151869 \h </w:instrText>
            </w:r>
            <w:r w:rsidR="006D334C">
              <w:rPr>
                <w:noProof/>
                <w:webHidden/>
              </w:rPr>
            </w:r>
            <w:r w:rsidR="006D334C">
              <w:rPr>
                <w:noProof/>
                <w:webHidden/>
              </w:rPr>
              <w:fldChar w:fldCharType="separate"/>
            </w:r>
            <w:r w:rsidR="006D334C">
              <w:rPr>
                <w:noProof/>
                <w:webHidden/>
              </w:rPr>
              <w:t>72</w:t>
            </w:r>
            <w:r w:rsidR="006D334C">
              <w:rPr>
                <w:noProof/>
                <w:webHidden/>
              </w:rPr>
              <w:fldChar w:fldCharType="end"/>
            </w:r>
          </w:hyperlink>
        </w:p>
        <w:p w14:paraId="41DE4353" w14:textId="4233C86B"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70" w:history="1">
            <w:r w:rsidR="006D334C" w:rsidRPr="001A1974">
              <w:rPr>
                <w:rStyle w:val="Hyperlink"/>
                <w:noProof/>
              </w:rPr>
              <w:t>10.3</w:t>
            </w:r>
            <w:r w:rsidR="006D334C">
              <w:rPr>
                <w:rFonts w:eastAsiaTheme="minorEastAsia"/>
                <w:noProof/>
                <w:kern w:val="2"/>
                <w:lang w:eastAsia="en-CA"/>
                <w14:ligatures w14:val="standardContextual"/>
              </w:rPr>
              <w:tab/>
            </w:r>
            <w:r w:rsidR="006D334C" w:rsidRPr="001A1974">
              <w:rPr>
                <w:rStyle w:val="Hyperlink"/>
                <w:noProof/>
              </w:rPr>
              <w:t>Judicial Consideration</w:t>
            </w:r>
            <w:r w:rsidR="006D334C">
              <w:rPr>
                <w:noProof/>
                <w:webHidden/>
              </w:rPr>
              <w:tab/>
            </w:r>
            <w:r w:rsidR="006D334C">
              <w:rPr>
                <w:noProof/>
                <w:webHidden/>
              </w:rPr>
              <w:fldChar w:fldCharType="begin"/>
            </w:r>
            <w:r w:rsidR="006D334C">
              <w:rPr>
                <w:noProof/>
                <w:webHidden/>
              </w:rPr>
              <w:instrText xml:space="preserve"> PAGEREF _Toc138151870 \h </w:instrText>
            </w:r>
            <w:r w:rsidR="006D334C">
              <w:rPr>
                <w:noProof/>
                <w:webHidden/>
              </w:rPr>
            </w:r>
            <w:r w:rsidR="006D334C">
              <w:rPr>
                <w:noProof/>
                <w:webHidden/>
              </w:rPr>
              <w:fldChar w:fldCharType="separate"/>
            </w:r>
            <w:r w:rsidR="006D334C">
              <w:rPr>
                <w:noProof/>
                <w:webHidden/>
              </w:rPr>
              <w:t>73</w:t>
            </w:r>
            <w:r w:rsidR="006D334C">
              <w:rPr>
                <w:noProof/>
                <w:webHidden/>
              </w:rPr>
              <w:fldChar w:fldCharType="end"/>
            </w:r>
          </w:hyperlink>
        </w:p>
        <w:p w14:paraId="06C9A604" w14:textId="24B9CA84"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71" w:history="1">
            <w:r w:rsidR="006D334C" w:rsidRPr="001A1974">
              <w:rPr>
                <w:rStyle w:val="Hyperlink"/>
                <w:noProof/>
              </w:rPr>
              <w:t>10.4</w:t>
            </w:r>
            <w:r w:rsidR="006D334C">
              <w:rPr>
                <w:rFonts w:eastAsiaTheme="minorEastAsia"/>
                <w:noProof/>
                <w:kern w:val="2"/>
                <w:lang w:eastAsia="en-CA"/>
                <w14:ligatures w14:val="standardContextual"/>
              </w:rPr>
              <w:tab/>
            </w:r>
            <w:r w:rsidR="006D334C" w:rsidRPr="001A1974">
              <w:rPr>
                <w:rStyle w:val="Hyperlink"/>
                <w:noProof/>
              </w:rPr>
              <w:t>Law Reform Options: Prohibit Deceptive and Unconscionable Practices in the Digital Marketplace</w:t>
            </w:r>
            <w:r w:rsidR="006D334C">
              <w:rPr>
                <w:noProof/>
                <w:webHidden/>
              </w:rPr>
              <w:tab/>
            </w:r>
            <w:r w:rsidR="006D334C">
              <w:rPr>
                <w:noProof/>
                <w:webHidden/>
              </w:rPr>
              <w:fldChar w:fldCharType="begin"/>
            </w:r>
            <w:r w:rsidR="006D334C">
              <w:rPr>
                <w:noProof/>
                <w:webHidden/>
              </w:rPr>
              <w:instrText xml:space="preserve"> PAGEREF _Toc138151871 \h </w:instrText>
            </w:r>
            <w:r w:rsidR="006D334C">
              <w:rPr>
                <w:noProof/>
                <w:webHidden/>
              </w:rPr>
            </w:r>
            <w:r w:rsidR="006D334C">
              <w:rPr>
                <w:noProof/>
                <w:webHidden/>
              </w:rPr>
              <w:fldChar w:fldCharType="separate"/>
            </w:r>
            <w:r w:rsidR="006D334C">
              <w:rPr>
                <w:noProof/>
                <w:webHidden/>
              </w:rPr>
              <w:t>75</w:t>
            </w:r>
            <w:r w:rsidR="006D334C">
              <w:rPr>
                <w:noProof/>
                <w:webHidden/>
              </w:rPr>
              <w:fldChar w:fldCharType="end"/>
            </w:r>
          </w:hyperlink>
        </w:p>
        <w:p w14:paraId="00F29949" w14:textId="19C3AAF6" w:rsidR="006D334C" w:rsidRDefault="00000000">
          <w:pPr>
            <w:pStyle w:val="TOC1"/>
            <w:rPr>
              <w:rFonts w:eastAsiaTheme="minorEastAsia"/>
              <w:noProof/>
              <w:kern w:val="2"/>
              <w:lang w:eastAsia="en-CA"/>
              <w14:ligatures w14:val="standardContextual"/>
            </w:rPr>
          </w:pPr>
          <w:hyperlink w:anchor="_Toc138151872" w:history="1">
            <w:r w:rsidR="006D334C" w:rsidRPr="001A1974">
              <w:rPr>
                <w:rStyle w:val="Hyperlink"/>
                <w:noProof/>
              </w:rPr>
              <w:t>11.</w:t>
            </w:r>
            <w:r w:rsidR="006D334C">
              <w:rPr>
                <w:rFonts w:eastAsiaTheme="minorEastAsia"/>
                <w:noProof/>
                <w:kern w:val="2"/>
                <w:lang w:eastAsia="en-CA"/>
                <w14:ligatures w14:val="standardContextual"/>
              </w:rPr>
              <w:tab/>
            </w:r>
            <w:r w:rsidR="006D334C" w:rsidRPr="001A1974">
              <w:rPr>
                <w:rStyle w:val="Hyperlink"/>
                <w:noProof/>
              </w:rPr>
              <w:t>Improving Access to Justice: Dispute Resolution, Remedies, Oversight, and Enforcement</w:t>
            </w:r>
            <w:r w:rsidR="006D334C">
              <w:rPr>
                <w:noProof/>
                <w:webHidden/>
              </w:rPr>
              <w:tab/>
            </w:r>
            <w:r w:rsidR="006D334C">
              <w:rPr>
                <w:noProof/>
                <w:webHidden/>
              </w:rPr>
              <w:fldChar w:fldCharType="begin"/>
            </w:r>
            <w:r w:rsidR="006D334C">
              <w:rPr>
                <w:noProof/>
                <w:webHidden/>
              </w:rPr>
              <w:instrText xml:space="preserve"> PAGEREF _Toc138151872 \h </w:instrText>
            </w:r>
            <w:r w:rsidR="006D334C">
              <w:rPr>
                <w:noProof/>
                <w:webHidden/>
              </w:rPr>
            </w:r>
            <w:r w:rsidR="006D334C">
              <w:rPr>
                <w:noProof/>
                <w:webHidden/>
              </w:rPr>
              <w:fldChar w:fldCharType="separate"/>
            </w:r>
            <w:r w:rsidR="006D334C">
              <w:rPr>
                <w:noProof/>
                <w:webHidden/>
              </w:rPr>
              <w:t>77</w:t>
            </w:r>
            <w:r w:rsidR="006D334C">
              <w:rPr>
                <w:noProof/>
                <w:webHidden/>
              </w:rPr>
              <w:fldChar w:fldCharType="end"/>
            </w:r>
          </w:hyperlink>
        </w:p>
        <w:p w14:paraId="75EF30FA" w14:textId="17C5533D"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73" w:history="1">
            <w:r w:rsidR="006D334C" w:rsidRPr="001A1974">
              <w:rPr>
                <w:rStyle w:val="Hyperlink"/>
                <w:noProof/>
              </w:rPr>
              <w:t>11.1</w:t>
            </w:r>
            <w:r w:rsidR="006D334C">
              <w:rPr>
                <w:rFonts w:eastAsiaTheme="minorEastAsia"/>
                <w:noProof/>
                <w:kern w:val="2"/>
                <w:lang w:eastAsia="en-CA"/>
                <w14:ligatures w14:val="standardContextual"/>
              </w:rPr>
              <w:tab/>
            </w:r>
            <w:r w:rsidR="006D334C" w:rsidRPr="001A1974">
              <w:rPr>
                <w:rStyle w:val="Hyperlink"/>
                <w:noProof/>
              </w:rPr>
              <w:t>The CPA and Proposed Amendments</w:t>
            </w:r>
            <w:r w:rsidR="006D334C">
              <w:rPr>
                <w:noProof/>
                <w:webHidden/>
              </w:rPr>
              <w:tab/>
            </w:r>
            <w:r w:rsidR="006D334C">
              <w:rPr>
                <w:noProof/>
                <w:webHidden/>
              </w:rPr>
              <w:fldChar w:fldCharType="begin"/>
            </w:r>
            <w:r w:rsidR="006D334C">
              <w:rPr>
                <w:noProof/>
                <w:webHidden/>
              </w:rPr>
              <w:instrText xml:space="preserve"> PAGEREF _Toc138151873 \h </w:instrText>
            </w:r>
            <w:r w:rsidR="006D334C">
              <w:rPr>
                <w:noProof/>
                <w:webHidden/>
              </w:rPr>
            </w:r>
            <w:r w:rsidR="006D334C">
              <w:rPr>
                <w:noProof/>
                <w:webHidden/>
              </w:rPr>
              <w:fldChar w:fldCharType="separate"/>
            </w:r>
            <w:r w:rsidR="006D334C">
              <w:rPr>
                <w:noProof/>
                <w:webHidden/>
              </w:rPr>
              <w:t>79</w:t>
            </w:r>
            <w:r w:rsidR="006D334C">
              <w:rPr>
                <w:noProof/>
                <w:webHidden/>
              </w:rPr>
              <w:fldChar w:fldCharType="end"/>
            </w:r>
          </w:hyperlink>
        </w:p>
        <w:p w14:paraId="7436CE25" w14:textId="32943261" w:rsidR="006D334C" w:rsidRDefault="00000000">
          <w:pPr>
            <w:pStyle w:val="TOC2"/>
            <w:tabs>
              <w:tab w:val="left" w:pos="880"/>
              <w:tab w:val="right" w:leader="dot" w:pos="9350"/>
            </w:tabs>
            <w:rPr>
              <w:rFonts w:eastAsiaTheme="minorEastAsia"/>
              <w:noProof/>
              <w:kern w:val="2"/>
              <w:lang w:eastAsia="en-CA"/>
              <w14:ligatures w14:val="standardContextual"/>
            </w:rPr>
          </w:pPr>
          <w:hyperlink w:anchor="_Toc138151874" w:history="1">
            <w:r w:rsidR="006D334C" w:rsidRPr="001A1974">
              <w:rPr>
                <w:rStyle w:val="Hyperlink"/>
                <w:noProof/>
                <w:lang w:val="en-US"/>
              </w:rPr>
              <w:t>11.2</w:t>
            </w:r>
            <w:r w:rsidR="006D334C">
              <w:rPr>
                <w:rFonts w:eastAsiaTheme="minorEastAsia"/>
                <w:noProof/>
                <w:kern w:val="2"/>
                <w:lang w:eastAsia="en-CA"/>
                <w14:ligatures w14:val="standardContextual"/>
              </w:rPr>
              <w:tab/>
            </w:r>
            <w:r w:rsidR="006D334C" w:rsidRPr="001A1974">
              <w:rPr>
                <w:rStyle w:val="Hyperlink"/>
                <w:noProof/>
                <w:lang w:val="en-US"/>
              </w:rPr>
              <w:t>Law Reform Options</w:t>
            </w:r>
            <w:r w:rsidR="006D334C">
              <w:rPr>
                <w:noProof/>
                <w:webHidden/>
              </w:rPr>
              <w:tab/>
            </w:r>
            <w:r w:rsidR="006D334C">
              <w:rPr>
                <w:noProof/>
                <w:webHidden/>
              </w:rPr>
              <w:fldChar w:fldCharType="begin"/>
            </w:r>
            <w:r w:rsidR="006D334C">
              <w:rPr>
                <w:noProof/>
                <w:webHidden/>
              </w:rPr>
              <w:instrText xml:space="preserve"> PAGEREF _Toc138151874 \h </w:instrText>
            </w:r>
            <w:r w:rsidR="006D334C">
              <w:rPr>
                <w:noProof/>
                <w:webHidden/>
              </w:rPr>
            </w:r>
            <w:r w:rsidR="006D334C">
              <w:rPr>
                <w:noProof/>
                <w:webHidden/>
              </w:rPr>
              <w:fldChar w:fldCharType="separate"/>
            </w:r>
            <w:r w:rsidR="006D334C">
              <w:rPr>
                <w:noProof/>
                <w:webHidden/>
              </w:rPr>
              <w:t>80</w:t>
            </w:r>
            <w:r w:rsidR="006D334C">
              <w:rPr>
                <w:noProof/>
                <w:webHidden/>
              </w:rPr>
              <w:fldChar w:fldCharType="end"/>
            </w:r>
          </w:hyperlink>
        </w:p>
        <w:p w14:paraId="758F5966" w14:textId="750F1F09" w:rsidR="006D334C" w:rsidRDefault="00000000">
          <w:pPr>
            <w:pStyle w:val="TOC3"/>
            <w:tabs>
              <w:tab w:val="left" w:pos="1320"/>
              <w:tab w:val="right" w:leader="dot" w:pos="9350"/>
            </w:tabs>
            <w:rPr>
              <w:rFonts w:eastAsiaTheme="minorEastAsia"/>
              <w:noProof/>
              <w:kern w:val="2"/>
              <w:lang w:eastAsia="en-CA"/>
              <w14:ligatures w14:val="standardContextual"/>
            </w:rPr>
          </w:pPr>
          <w:hyperlink w:anchor="_Toc138151875" w:history="1">
            <w:r w:rsidR="006D334C" w:rsidRPr="001A1974">
              <w:rPr>
                <w:rStyle w:val="Hyperlink"/>
                <w:noProof/>
              </w:rPr>
              <w:t>11.2.1</w:t>
            </w:r>
            <w:r w:rsidR="006D334C">
              <w:rPr>
                <w:rFonts w:eastAsiaTheme="minorEastAsia"/>
                <w:noProof/>
                <w:kern w:val="2"/>
                <w:lang w:eastAsia="en-CA"/>
                <w14:ligatures w14:val="standardContextual"/>
              </w:rPr>
              <w:tab/>
            </w:r>
            <w:r w:rsidR="006D334C" w:rsidRPr="001A1974">
              <w:rPr>
                <w:rStyle w:val="Hyperlink"/>
                <w:noProof/>
              </w:rPr>
              <w:t>Measures to Ensure Courts and Government are Equipped to Resolve Consumer Disputes in the Digital Marketplace</w:t>
            </w:r>
            <w:r w:rsidR="006D334C">
              <w:rPr>
                <w:noProof/>
                <w:webHidden/>
              </w:rPr>
              <w:tab/>
            </w:r>
            <w:r w:rsidR="006D334C">
              <w:rPr>
                <w:noProof/>
                <w:webHidden/>
              </w:rPr>
              <w:fldChar w:fldCharType="begin"/>
            </w:r>
            <w:r w:rsidR="006D334C">
              <w:rPr>
                <w:noProof/>
                <w:webHidden/>
              </w:rPr>
              <w:instrText xml:space="preserve"> PAGEREF _Toc138151875 \h </w:instrText>
            </w:r>
            <w:r w:rsidR="006D334C">
              <w:rPr>
                <w:noProof/>
                <w:webHidden/>
              </w:rPr>
            </w:r>
            <w:r w:rsidR="006D334C">
              <w:rPr>
                <w:noProof/>
                <w:webHidden/>
              </w:rPr>
              <w:fldChar w:fldCharType="separate"/>
            </w:r>
            <w:r w:rsidR="006D334C">
              <w:rPr>
                <w:noProof/>
                <w:webHidden/>
              </w:rPr>
              <w:t>80</w:t>
            </w:r>
            <w:r w:rsidR="006D334C">
              <w:rPr>
                <w:noProof/>
                <w:webHidden/>
              </w:rPr>
              <w:fldChar w:fldCharType="end"/>
            </w:r>
          </w:hyperlink>
        </w:p>
        <w:p w14:paraId="176596EB" w14:textId="614107CF" w:rsidR="006D334C" w:rsidRDefault="00000000">
          <w:pPr>
            <w:pStyle w:val="TOC3"/>
            <w:tabs>
              <w:tab w:val="left" w:pos="1320"/>
              <w:tab w:val="right" w:leader="dot" w:pos="9350"/>
            </w:tabs>
            <w:rPr>
              <w:rFonts w:eastAsiaTheme="minorEastAsia"/>
              <w:noProof/>
              <w:kern w:val="2"/>
              <w:lang w:eastAsia="en-CA"/>
              <w14:ligatures w14:val="standardContextual"/>
            </w:rPr>
          </w:pPr>
          <w:hyperlink w:anchor="_Toc138151876" w:history="1">
            <w:r w:rsidR="006D334C" w:rsidRPr="001A1974">
              <w:rPr>
                <w:rStyle w:val="Hyperlink"/>
                <w:noProof/>
              </w:rPr>
              <w:t>11.2.2</w:t>
            </w:r>
            <w:r w:rsidR="006D334C">
              <w:rPr>
                <w:rFonts w:eastAsiaTheme="minorEastAsia"/>
                <w:noProof/>
                <w:kern w:val="2"/>
                <w:lang w:eastAsia="en-CA"/>
                <w14:ligatures w14:val="standardContextual"/>
              </w:rPr>
              <w:tab/>
            </w:r>
            <w:r w:rsidR="006D334C" w:rsidRPr="001A1974">
              <w:rPr>
                <w:rStyle w:val="Hyperlink"/>
                <w:noProof/>
              </w:rPr>
              <w:t>Clarify Jurisdiction over Transactions in Ontario</w:t>
            </w:r>
            <w:r w:rsidR="006D334C">
              <w:rPr>
                <w:noProof/>
                <w:webHidden/>
              </w:rPr>
              <w:tab/>
            </w:r>
            <w:r w:rsidR="006D334C">
              <w:rPr>
                <w:noProof/>
                <w:webHidden/>
              </w:rPr>
              <w:fldChar w:fldCharType="begin"/>
            </w:r>
            <w:r w:rsidR="006D334C">
              <w:rPr>
                <w:noProof/>
                <w:webHidden/>
              </w:rPr>
              <w:instrText xml:space="preserve"> PAGEREF _Toc138151876 \h </w:instrText>
            </w:r>
            <w:r w:rsidR="006D334C">
              <w:rPr>
                <w:noProof/>
                <w:webHidden/>
              </w:rPr>
            </w:r>
            <w:r w:rsidR="006D334C">
              <w:rPr>
                <w:noProof/>
                <w:webHidden/>
              </w:rPr>
              <w:fldChar w:fldCharType="separate"/>
            </w:r>
            <w:r w:rsidR="006D334C">
              <w:rPr>
                <w:noProof/>
                <w:webHidden/>
              </w:rPr>
              <w:t>81</w:t>
            </w:r>
            <w:r w:rsidR="006D334C">
              <w:rPr>
                <w:noProof/>
                <w:webHidden/>
              </w:rPr>
              <w:fldChar w:fldCharType="end"/>
            </w:r>
          </w:hyperlink>
        </w:p>
        <w:p w14:paraId="2F5B6866" w14:textId="6AB33303" w:rsidR="006D334C" w:rsidRDefault="00000000">
          <w:pPr>
            <w:pStyle w:val="TOC3"/>
            <w:tabs>
              <w:tab w:val="left" w:pos="1320"/>
              <w:tab w:val="right" w:leader="dot" w:pos="9350"/>
            </w:tabs>
            <w:rPr>
              <w:rFonts w:eastAsiaTheme="minorEastAsia"/>
              <w:noProof/>
              <w:kern w:val="2"/>
              <w:lang w:eastAsia="en-CA"/>
              <w14:ligatures w14:val="standardContextual"/>
            </w:rPr>
          </w:pPr>
          <w:hyperlink w:anchor="_Toc138151877" w:history="1">
            <w:r w:rsidR="006D334C" w:rsidRPr="001A1974">
              <w:rPr>
                <w:rStyle w:val="Hyperlink"/>
                <w:noProof/>
              </w:rPr>
              <w:t>11.2.3</w:t>
            </w:r>
            <w:r w:rsidR="006D334C">
              <w:rPr>
                <w:rFonts w:eastAsiaTheme="minorEastAsia"/>
                <w:noProof/>
                <w:kern w:val="2"/>
                <w:lang w:eastAsia="en-CA"/>
                <w14:ligatures w14:val="standardContextual"/>
              </w:rPr>
              <w:tab/>
            </w:r>
            <w:r w:rsidR="006D334C" w:rsidRPr="001A1974">
              <w:rPr>
                <w:rStyle w:val="Hyperlink"/>
                <w:noProof/>
              </w:rPr>
              <w:t>Stronger Protections Against Reprisal</w:t>
            </w:r>
            <w:r w:rsidR="006D334C">
              <w:rPr>
                <w:noProof/>
                <w:webHidden/>
              </w:rPr>
              <w:tab/>
            </w:r>
            <w:r w:rsidR="006D334C">
              <w:rPr>
                <w:noProof/>
                <w:webHidden/>
              </w:rPr>
              <w:fldChar w:fldCharType="begin"/>
            </w:r>
            <w:r w:rsidR="006D334C">
              <w:rPr>
                <w:noProof/>
                <w:webHidden/>
              </w:rPr>
              <w:instrText xml:space="preserve"> PAGEREF _Toc138151877 \h </w:instrText>
            </w:r>
            <w:r w:rsidR="006D334C">
              <w:rPr>
                <w:noProof/>
                <w:webHidden/>
              </w:rPr>
            </w:r>
            <w:r w:rsidR="006D334C">
              <w:rPr>
                <w:noProof/>
                <w:webHidden/>
              </w:rPr>
              <w:fldChar w:fldCharType="separate"/>
            </w:r>
            <w:r w:rsidR="006D334C">
              <w:rPr>
                <w:noProof/>
                <w:webHidden/>
              </w:rPr>
              <w:t>82</w:t>
            </w:r>
            <w:r w:rsidR="006D334C">
              <w:rPr>
                <w:noProof/>
                <w:webHidden/>
              </w:rPr>
              <w:fldChar w:fldCharType="end"/>
            </w:r>
          </w:hyperlink>
        </w:p>
        <w:p w14:paraId="60C0DF47" w14:textId="2850CF2F" w:rsidR="006D334C" w:rsidRDefault="00000000">
          <w:pPr>
            <w:pStyle w:val="TOC3"/>
            <w:tabs>
              <w:tab w:val="left" w:pos="1320"/>
              <w:tab w:val="right" w:leader="dot" w:pos="9350"/>
            </w:tabs>
            <w:rPr>
              <w:rFonts w:eastAsiaTheme="minorEastAsia"/>
              <w:noProof/>
              <w:kern w:val="2"/>
              <w:lang w:eastAsia="en-CA"/>
              <w14:ligatures w14:val="standardContextual"/>
            </w:rPr>
          </w:pPr>
          <w:hyperlink w:anchor="_Toc138151878" w:history="1">
            <w:r w:rsidR="006D334C" w:rsidRPr="001A1974">
              <w:rPr>
                <w:rStyle w:val="Hyperlink"/>
                <w:noProof/>
              </w:rPr>
              <w:t>11.2.4</w:t>
            </w:r>
            <w:r w:rsidR="006D334C">
              <w:rPr>
                <w:rFonts w:eastAsiaTheme="minorEastAsia"/>
                <w:noProof/>
                <w:kern w:val="2"/>
                <w:lang w:eastAsia="en-CA"/>
                <w14:ligatures w14:val="standardContextual"/>
              </w:rPr>
              <w:tab/>
            </w:r>
            <w:r w:rsidR="006D334C" w:rsidRPr="001A1974">
              <w:rPr>
                <w:rStyle w:val="Hyperlink"/>
                <w:noProof/>
              </w:rPr>
              <w:t>Establish Minimum Standards for Ministry Complaints and Informal Dispute Resolution</w:t>
            </w:r>
            <w:r w:rsidR="006D334C">
              <w:rPr>
                <w:noProof/>
                <w:webHidden/>
              </w:rPr>
              <w:tab/>
            </w:r>
            <w:r w:rsidR="006D334C">
              <w:rPr>
                <w:noProof/>
                <w:webHidden/>
              </w:rPr>
              <w:fldChar w:fldCharType="begin"/>
            </w:r>
            <w:r w:rsidR="006D334C">
              <w:rPr>
                <w:noProof/>
                <w:webHidden/>
              </w:rPr>
              <w:instrText xml:space="preserve"> PAGEREF _Toc138151878 \h </w:instrText>
            </w:r>
            <w:r w:rsidR="006D334C">
              <w:rPr>
                <w:noProof/>
                <w:webHidden/>
              </w:rPr>
            </w:r>
            <w:r w:rsidR="006D334C">
              <w:rPr>
                <w:noProof/>
                <w:webHidden/>
              </w:rPr>
              <w:fldChar w:fldCharType="separate"/>
            </w:r>
            <w:r w:rsidR="006D334C">
              <w:rPr>
                <w:noProof/>
                <w:webHidden/>
              </w:rPr>
              <w:t>83</w:t>
            </w:r>
            <w:r w:rsidR="006D334C">
              <w:rPr>
                <w:noProof/>
                <w:webHidden/>
              </w:rPr>
              <w:fldChar w:fldCharType="end"/>
            </w:r>
          </w:hyperlink>
        </w:p>
        <w:p w14:paraId="624298E8" w14:textId="5D4AA02A" w:rsidR="006D334C" w:rsidRDefault="00000000">
          <w:pPr>
            <w:pStyle w:val="TOC3"/>
            <w:tabs>
              <w:tab w:val="left" w:pos="1320"/>
              <w:tab w:val="right" w:leader="dot" w:pos="9350"/>
            </w:tabs>
            <w:rPr>
              <w:rFonts w:eastAsiaTheme="minorEastAsia"/>
              <w:noProof/>
              <w:kern w:val="2"/>
              <w:lang w:eastAsia="en-CA"/>
              <w14:ligatures w14:val="standardContextual"/>
            </w:rPr>
          </w:pPr>
          <w:hyperlink w:anchor="_Toc138151879" w:history="1">
            <w:r w:rsidR="006D334C" w:rsidRPr="001A1974">
              <w:rPr>
                <w:rStyle w:val="Hyperlink"/>
                <w:noProof/>
                <w:lang w:val="en-US"/>
              </w:rPr>
              <w:t>11.2.5</w:t>
            </w:r>
            <w:r w:rsidR="006D334C">
              <w:rPr>
                <w:rFonts w:eastAsiaTheme="minorEastAsia"/>
                <w:noProof/>
                <w:kern w:val="2"/>
                <w:lang w:eastAsia="en-CA"/>
                <w14:ligatures w14:val="standardContextual"/>
              </w:rPr>
              <w:tab/>
            </w:r>
            <w:r w:rsidR="006D334C" w:rsidRPr="001A1974">
              <w:rPr>
                <w:rStyle w:val="Hyperlink"/>
                <w:noProof/>
                <w:lang w:val="en-US"/>
              </w:rPr>
              <w:t>Improve Consumer Rights Advocacy and Litigation Assistance</w:t>
            </w:r>
            <w:r w:rsidR="006D334C">
              <w:rPr>
                <w:noProof/>
                <w:webHidden/>
              </w:rPr>
              <w:tab/>
            </w:r>
            <w:r w:rsidR="006D334C">
              <w:rPr>
                <w:noProof/>
                <w:webHidden/>
              </w:rPr>
              <w:fldChar w:fldCharType="begin"/>
            </w:r>
            <w:r w:rsidR="006D334C">
              <w:rPr>
                <w:noProof/>
                <w:webHidden/>
              </w:rPr>
              <w:instrText xml:space="preserve"> PAGEREF _Toc138151879 \h </w:instrText>
            </w:r>
            <w:r w:rsidR="006D334C">
              <w:rPr>
                <w:noProof/>
                <w:webHidden/>
              </w:rPr>
            </w:r>
            <w:r w:rsidR="006D334C">
              <w:rPr>
                <w:noProof/>
                <w:webHidden/>
              </w:rPr>
              <w:fldChar w:fldCharType="separate"/>
            </w:r>
            <w:r w:rsidR="006D334C">
              <w:rPr>
                <w:noProof/>
                <w:webHidden/>
              </w:rPr>
              <w:t>85</w:t>
            </w:r>
            <w:r w:rsidR="006D334C">
              <w:rPr>
                <w:noProof/>
                <w:webHidden/>
              </w:rPr>
              <w:fldChar w:fldCharType="end"/>
            </w:r>
          </w:hyperlink>
        </w:p>
        <w:p w14:paraId="2FF0EEA0" w14:textId="42CFFA59" w:rsidR="006D334C" w:rsidRDefault="00000000">
          <w:pPr>
            <w:pStyle w:val="TOC3"/>
            <w:tabs>
              <w:tab w:val="left" w:pos="1320"/>
              <w:tab w:val="right" w:leader="dot" w:pos="9350"/>
            </w:tabs>
            <w:rPr>
              <w:rFonts w:eastAsiaTheme="minorEastAsia"/>
              <w:noProof/>
              <w:kern w:val="2"/>
              <w:lang w:eastAsia="en-CA"/>
              <w14:ligatures w14:val="standardContextual"/>
            </w:rPr>
          </w:pPr>
          <w:hyperlink w:anchor="_Toc138151880" w:history="1">
            <w:r w:rsidR="006D334C" w:rsidRPr="001A1974">
              <w:rPr>
                <w:rStyle w:val="Hyperlink"/>
                <w:noProof/>
              </w:rPr>
              <w:t>11.2.6</w:t>
            </w:r>
            <w:r w:rsidR="006D334C">
              <w:rPr>
                <w:rFonts w:eastAsiaTheme="minorEastAsia"/>
                <w:noProof/>
                <w:kern w:val="2"/>
                <w:lang w:eastAsia="en-CA"/>
                <w14:ligatures w14:val="standardContextual"/>
              </w:rPr>
              <w:tab/>
            </w:r>
            <w:r w:rsidR="006D334C" w:rsidRPr="001A1974">
              <w:rPr>
                <w:rStyle w:val="Hyperlink"/>
                <w:noProof/>
              </w:rPr>
              <w:t>Build More Proactive Means for Systemic Investigation, Redress, and Legislative Enforcement</w:t>
            </w:r>
            <w:r w:rsidR="006D334C">
              <w:rPr>
                <w:noProof/>
                <w:webHidden/>
              </w:rPr>
              <w:tab/>
            </w:r>
            <w:r w:rsidR="006D334C">
              <w:rPr>
                <w:noProof/>
                <w:webHidden/>
              </w:rPr>
              <w:fldChar w:fldCharType="begin"/>
            </w:r>
            <w:r w:rsidR="006D334C">
              <w:rPr>
                <w:noProof/>
                <w:webHidden/>
              </w:rPr>
              <w:instrText xml:space="preserve"> PAGEREF _Toc138151880 \h </w:instrText>
            </w:r>
            <w:r w:rsidR="006D334C">
              <w:rPr>
                <w:noProof/>
                <w:webHidden/>
              </w:rPr>
            </w:r>
            <w:r w:rsidR="006D334C">
              <w:rPr>
                <w:noProof/>
                <w:webHidden/>
              </w:rPr>
              <w:fldChar w:fldCharType="separate"/>
            </w:r>
            <w:r w:rsidR="006D334C">
              <w:rPr>
                <w:noProof/>
                <w:webHidden/>
              </w:rPr>
              <w:t>86</w:t>
            </w:r>
            <w:r w:rsidR="006D334C">
              <w:rPr>
                <w:noProof/>
                <w:webHidden/>
              </w:rPr>
              <w:fldChar w:fldCharType="end"/>
            </w:r>
          </w:hyperlink>
        </w:p>
        <w:p w14:paraId="48FF2AA5" w14:textId="2C8103CF" w:rsidR="006D334C" w:rsidRDefault="00000000">
          <w:pPr>
            <w:pStyle w:val="TOC3"/>
            <w:tabs>
              <w:tab w:val="left" w:pos="1320"/>
              <w:tab w:val="right" w:leader="dot" w:pos="9350"/>
            </w:tabs>
            <w:rPr>
              <w:rFonts w:eastAsiaTheme="minorEastAsia"/>
              <w:noProof/>
              <w:kern w:val="2"/>
              <w:lang w:eastAsia="en-CA"/>
              <w14:ligatures w14:val="standardContextual"/>
            </w:rPr>
          </w:pPr>
          <w:hyperlink w:anchor="_Toc138151881" w:history="1">
            <w:r w:rsidR="006D334C" w:rsidRPr="001A1974">
              <w:rPr>
                <w:rStyle w:val="Hyperlink"/>
                <w:noProof/>
              </w:rPr>
              <w:t>11.2.7</w:t>
            </w:r>
            <w:r w:rsidR="006D334C">
              <w:rPr>
                <w:rFonts w:eastAsiaTheme="minorEastAsia"/>
                <w:noProof/>
                <w:kern w:val="2"/>
                <w:lang w:eastAsia="en-CA"/>
                <w14:ligatures w14:val="standardContextual"/>
              </w:rPr>
              <w:tab/>
            </w:r>
            <w:r w:rsidR="006D334C" w:rsidRPr="001A1974">
              <w:rPr>
                <w:rStyle w:val="Hyperlink"/>
                <w:noProof/>
              </w:rPr>
              <w:t>Better Consumer Enforcement and Policy-Making Through Improved Data Collection and a Machine Readable ToS Registry</w:t>
            </w:r>
            <w:r w:rsidR="006D334C">
              <w:rPr>
                <w:noProof/>
                <w:webHidden/>
              </w:rPr>
              <w:tab/>
            </w:r>
            <w:r w:rsidR="006D334C">
              <w:rPr>
                <w:noProof/>
                <w:webHidden/>
              </w:rPr>
              <w:fldChar w:fldCharType="begin"/>
            </w:r>
            <w:r w:rsidR="006D334C">
              <w:rPr>
                <w:noProof/>
                <w:webHidden/>
              </w:rPr>
              <w:instrText xml:space="preserve"> PAGEREF _Toc138151881 \h </w:instrText>
            </w:r>
            <w:r w:rsidR="006D334C">
              <w:rPr>
                <w:noProof/>
                <w:webHidden/>
              </w:rPr>
            </w:r>
            <w:r w:rsidR="006D334C">
              <w:rPr>
                <w:noProof/>
                <w:webHidden/>
              </w:rPr>
              <w:fldChar w:fldCharType="separate"/>
            </w:r>
            <w:r w:rsidR="006D334C">
              <w:rPr>
                <w:noProof/>
                <w:webHidden/>
              </w:rPr>
              <w:t>88</w:t>
            </w:r>
            <w:r w:rsidR="006D334C">
              <w:rPr>
                <w:noProof/>
                <w:webHidden/>
              </w:rPr>
              <w:fldChar w:fldCharType="end"/>
            </w:r>
          </w:hyperlink>
        </w:p>
        <w:p w14:paraId="0013D077" w14:textId="596E24FF" w:rsidR="006D334C" w:rsidRDefault="00000000">
          <w:pPr>
            <w:pStyle w:val="TOC3"/>
            <w:tabs>
              <w:tab w:val="left" w:pos="1320"/>
              <w:tab w:val="right" w:leader="dot" w:pos="9350"/>
            </w:tabs>
            <w:rPr>
              <w:rFonts w:eastAsiaTheme="minorEastAsia"/>
              <w:noProof/>
              <w:kern w:val="2"/>
              <w:lang w:eastAsia="en-CA"/>
              <w14:ligatures w14:val="standardContextual"/>
            </w:rPr>
          </w:pPr>
          <w:hyperlink w:anchor="_Toc138151882" w:history="1">
            <w:r w:rsidR="006D334C" w:rsidRPr="001A1974">
              <w:rPr>
                <w:rStyle w:val="Hyperlink"/>
                <w:noProof/>
              </w:rPr>
              <w:t>11.2.8</w:t>
            </w:r>
            <w:r w:rsidR="006D334C">
              <w:rPr>
                <w:rFonts w:eastAsiaTheme="minorEastAsia"/>
                <w:noProof/>
                <w:kern w:val="2"/>
                <w:lang w:eastAsia="en-CA"/>
                <w14:ligatures w14:val="standardContextual"/>
              </w:rPr>
              <w:tab/>
            </w:r>
            <w:r w:rsidR="006D334C" w:rsidRPr="001A1974">
              <w:rPr>
                <w:rStyle w:val="Hyperlink"/>
                <w:noProof/>
              </w:rPr>
              <w:t>Consumer Damages for Disgorgement</w:t>
            </w:r>
            <w:r w:rsidR="006D334C">
              <w:rPr>
                <w:noProof/>
                <w:webHidden/>
              </w:rPr>
              <w:tab/>
            </w:r>
            <w:r w:rsidR="006D334C">
              <w:rPr>
                <w:noProof/>
                <w:webHidden/>
              </w:rPr>
              <w:fldChar w:fldCharType="begin"/>
            </w:r>
            <w:r w:rsidR="006D334C">
              <w:rPr>
                <w:noProof/>
                <w:webHidden/>
              </w:rPr>
              <w:instrText xml:space="preserve"> PAGEREF _Toc138151882 \h </w:instrText>
            </w:r>
            <w:r w:rsidR="006D334C">
              <w:rPr>
                <w:noProof/>
                <w:webHidden/>
              </w:rPr>
            </w:r>
            <w:r w:rsidR="006D334C">
              <w:rPr>
                <w:noProof/>
                <w:webHidden/>
              </w:rPr>
              <w:fldChar w:fldCharType="separate"/>
            </w:r>
            <w:r w:rsidR="006D334C">
              <w:rPr>
                <w:noProof/>
                <w:webHidden/>
              </w:rPr>
              <w:t>90</w:t>
            </w:r>
            <w:r w:rsidR="006D334C">
              <w:rPr>
                <w:noProof/>
                <w:webHidden/>
              </w:rPr>
              <w:fldChar w:fldCharType="end"/>
            </w:r>
          </w:hyperlink>
        </w:p>
        <w:p w14:paraId="13311483" w14:textId="33CF5689" w:rsidR="006D334C" w:rsidRDefault="00000000">
          <w:pPr>
            <w:pStyle w:val="TOC1"/>
            <w:rPr>
              <w:rFonts w:eastAsiaTheme="minorEastAsia"/>
              <w:noProof/>
              <w:kern w:val="2"/>
              <w:lang w:eastAsia="en-CA"/>
              <w14:ligatures w14:val="standardContextual"/>
            </w:rPr>
          </w:pPr>
          <w:hyperlink w:anchor="_Toc138151883" w:history="1">
            <w:r w:rsidR="006D334C" w:rsidRPr="001A1974">
              <w:rPr>
                <w:rStyle w:val="Hyperlink"/>
                <w:noProof/>
              </w:rPr>
              <w:t>12.</w:t>
            </w:r>
            <w:r w:rsidR="006D334C">
              <w:rPr>
                <w:rFonts w:eastAsiaTheme="minorEastAsia"/>
                <w:noProof/>
                <w:kern w:val="2"/>
                <w:lang w:eastAsia="en-CA"/>
                <w14:ligatures w14:val="standardContextual"/>
              </w:rPr>
              <w:tab/>
            </w:r>
            <w:r w:rsidR="006D334C" w:rsidRPr="001A1974">
              <w:rPr>
                <w:rStyle w:val="Hyperlink"/>
                <w:noProof/>
              </w:rPr>
              <w:t>Conclusion and How to Get Involved</w:t>
            </w:r>
            <w:r w:rsidR="006D334C">
              <w:rPr>
                <w:noProof/>
                <w:webHidden/>
              </w:rPr>
              <w:tab/>
            </w:r>
            <w:r w:rsidR="006D334C">
              <w:rPr>
                <w:noProof/>
                <w:webHidden/>
              </w:rPr>
              <w:fldChar w:fldCharType="begin"/>
            </w:r>
            <w:r w:rsidR="006D334C">
              <w:rPr>
                <w:noProof/>
                <w:webHidden/>
              </w:rPr>
              <w:instrText xml:space="preserve"> PAGEREF _Toc138151883 \h </w:instrText>
            </w:r>
            <w:r w:rsidR="006D334C">
              <w:rPr>
                <w:noProof/>
                <w:webHidden/>
              </w:rPr>
            </w:r>
            <w:r w:rsidR="006D334C">
              <w:rPr>
                <w:noProof/>
                <w:webHidden/>
              </w:rPr>
              <w:fldChar w:fldCharType="separate"/>
            </w:r>
            <w:r w:rsidR="006D334C">
              <w:rPr>
                <w:noProof/>
                <w:webHidden/>
              </w:rPr>
              <w:t>92</w:t>
            </w:r>
            <w:r w:rsidR="006D334C">
              <w:rPr>
                <w:noProof/>
                <w:webHidden/>
              </w:rPr>
              <w:fldChar w:fldCharType="end"/>
            </w:r>
          </w:hyperlink>
        </w:p>
        <w:p w14:paraId="5CECB0AB" w14:textId="1A103201" w:rsidR="006D334C" w:rsidRDefault="00000000">
          <w:pPr>
            <w:pStyle w:val="TOC1"/>
            <w:rPr>
              <w:rFonts w:eastAsiaTheme="minorEastAsia"/>
              <w:noProof/>
              <w:kern w:val="2"/>
              <w:lang w:eastAsia="en-CA"/>
              <w14:ligatures w14:val="standardContextual"/>
            </w:rPr>
          </w:pPr>
          <w:hyperlink w:anchor="_Toc138151884" w:history="1">
            <w:r w:rsidR="006D334C" w:rsidRPr="001A1974">
              <w:rPr>
                <w:rStyle w:val="Hyperlink"/>
                <w:noProof/>
              </w:rPr>
              <w:t>Appendix A – Consultation Questions</w:t>
            </w:r>
            <w:r w:rsidR="006D334C">
              <w:rPr>
                <w:noProof/>
                <w:webHidden/>
              </w:rPr>
              <w:tab/>
            </w:r>
            <w:r w:rsidR="006D334C">
              <w:rPr>
                <w:noProof/>
                <w:webHidden/>
              </w:rPr>
              <w:fldChar w:fldCharType="begin"/>
            </w:r>
            <w:r w:rsidR="006D334C">
              <w:rPr>
                <w:noProof/>
                <w:webHidden/>
              </w:rPr>
              <w:instrText xml:space="preserve"> PAGEREF _Toc138151884 \h </w:instrText>
            </w:r>
            <w:r w:rsidR="006D334C">
              <w:rPr>
                <w:noProof/>
                <w:webHidden/>
              </w:rPr>
            </w:r>
            <w:r w:rsidR="006D334C">
              <w:rPr>
                <w:noProof/>
                <w:webHidden/>
              </w:rPr>
              <w:fldChar w:fldCharType="separate"/>
            </w:r>
            <w:r w:rsidR="006D334C">
              <w:rPr>
                <w:noProof/>
                <w:webHidden/>
              </w:rPr>
              <w:t>93</w:t>
            </w:r>
            <w:r w:rsidR="006D334C">
              <w:rPr>
                <w:noProof/>
                <w:webHidden/>
              </w:rPr>
              <w:fldChar w:fldCharType="end"/>
            </w:r>
          </w:hyperlink>
        </w:p>
        <w:p w14:paraId="7F4277C3" w14:textId="73E01500" w:rsidR="006D334C" w:rsidRDefault="00000000">
          <w:pPr>
            <w:pStyle w:val="TOC1"/>
            <w:rPr>
              <w:rFonts w:eastAsiaTheme="minorEastAsia"/>
              <w:noProof/>
              <w:kern w:val="2"/>
              <w:lang w:eastAsia="en-CA"/>
              <w14:ligatures w14:val="standardContextual"/>
            </w:rPr>
          </w:pPr>
          <w:hyperlink w:anchor="_Toc138151885" w:history="1">
            <w:r w:rsidR="006D334C" w:rsidRPr="001A1974">
              <w:rPr>
                <w:rStyle w:val="Hyperlink"/>
                <w:noProof/>
              </w:rPr>
              <w:t>Appendix B – Definitions</w:t>
            </w:r>
            <w:r w:rsidR="006D334C">
              <w:rPr>
                <w:noProof/>
                <w:webHidden/>
              </w:rPr>
              <w:tab/>
            </w:r>
            <w:r w:rsidR="006D334C">
              <w:rPr>
                <w:noProof/>
                <w:webHidden/>
              </w:rPr>
              <w:fldChar w:fldCharType="begin"/>
            </w:r>
            <w:r w:rsidR="006D334C">
              <w:rPr>
                <w:noProof/>
                <w:webHidden/>
              </w:rPr>
              <w:instrText xml:space="preserve"> PAGEREF _Toc138151885 \h </w:instrText>
            </w:r>
            <w:r w:rsidR="006D334C">
              <w:rPr>
                <w:noProof/>
                <w:webHidden/>
              </w:rPr>
            </w:r>
            <w:r w:rsidR="006D334C">
              <w:rPr>
                <w:noProof/>
                <w:webHidden/>
              </w:rPr>
              <w:fldChar w:fldCharType="separate"/>
            </w:r>
            <w:r w:rsidR="006D334C">
              <w:rPr>
                <w:noProof/>
                <w:webHidden/>
              </w:rPr>
              <w:t>97</w:t>
            </w:r>
            <w:r w:rsidR="006D334C">
              <w:rPr>
                <w:noProof/>
                <w:webHidden/>
              </w:rPr>
              <w:fldChar w:fldCharType="end"/>
            </w:r>
          </w:hyperlink>
        </w:p>
        <w:p w14:paraId="33F97431" w14:textId="11ED73B9" w:rsidR="006D334C" w:rsidRDefault="00000000">
          <w:pPr>
            <w:pStyle w:val="TOC1"/>
            <w:rPr>
              <w:rFonts w:eastAsiaTheme="minorEastAsia"/>
              <w:noProof/>
              <w:kern w:val="2"/>
              <w:lang w:eastAsia="en-CA"/>
              <w14:ligatures w14:val="standardContextual"/>
            </w:rPr>
          </w:pPr>
          <w:hyperlink w:anchor="_Toc138151886" w:history="1">
            <w:r w:rsidR="006D334C" w:rsidRPr="001A1974">
              <w:rPr>
                <w:rStyle w:val="Hyperlink"/>
                <w:noProof/>
              </w:rPr>
              <w:t>Endnotes</w:t>
            </w:r>
            <w:r w:rsidR="006D334C">
              <w:rPr>
                <w:noProof/>
                <w:webHidden/>
              </w:rPr>
              <w:tab/>
            </w:r>
            <w:r w:rsidR="006D334C">
              <w:rPr>
                <w:noProof/>
                <w:webHidden/>
              </w:rPr>
              <w:fldChar w:fldCharType="begin"/>
            </w:r>
            <w:r w:rsidR="006D334C">
              <w:rPr>
                <w:noProof/>
                <w:webHidden/>
              </w:rPr>
              <w:instrText xml:space="preserve"> PAGEREF _Toc138151886 \h </w:instrText>
            </w:r>
            <w:r w:rsidR="006D334C">
              <w:rPr>
                <w:noProof/>
                <w:webHidden/>
              </w:rPr>
            </w:r>
            <w:r w:rsidR="006D334C">
              <w:rPr>
                <w:noProof/>
                <w:webHidden/>
              </w:rPr>
              <w:fldChar w:fldCharType="separate"/>
            </w:r>
            <w:r w:rsidR="006D334C">
              <w:rPr>
                <w:noProof/>
                <w:webHidden/>
              </w:rPr>
              <w:t>99</w:t>
            </w:r>
            <w:r w:rsidR="006D334C">
              <w:rPr>
                <w:noProof/>
                <w:webHidden/>
              </w:rPr>
              <w:fldChar w:fldCharType="end"/>
            </w:r>
          </w:hyperlink>
        </w:p>
        <w:p w14:paraId="18079CFC" w14:textId="03EB5B7D" w:rsidR="00196E4C" w:rsidRDefault="00196E4C">
          <w:r>
            <w:rPr>
              <w:b/>
              <w:bCs/>
              <w:noProof/>
            </w:rPr>
            <w:fldChar w:fldCharType="end"/>
          </w:r>
        </w:p>
      </w:sdtContent>
    </w:sdt>
    <w:p w14:paraId="447743E6" w14:textId="77777777" w:rsidR="00FA60D9" w:rsidRDefault="00FA60D9">
      <w:r>
        <w:br w:type="page"/>
      </w:r>
    </w:p>
    <w:p w14:paraId="7E9BCCBC" w14:textId="77777777" w:rsidR="00FA60D9" w:rsidRDefault="00FA60D9" w:rsidP="00FA60D9">
      <w:pPr>
        <w:pStyle w:val="Heading1"/>
      </w:pPr>
      <w:bookmarkStart w:id="1" w:name="_Toc138151817"/>
      <w:r>
        <w:lastRenderedPageBreak/>
        <w:t>List of Acronyms</w:t>
      </w:r>
      <w:bookmarkEnd w:id="1"/>
    </w:p>
    <w:p w14:paraId="440864AC" w14:textId="7ECB1D10" w:rsidR="00FA60D9" w:rsidRDefault="00FA60D9" w:rsidP="00FA60D9">
      <w:pPr>
        <w:pStyle w:val="Heading1"/>
      </w:pPr>
    </w:p>
    <w:p w14:paraId="1D6A6ACE" w14:textId="3C5AC886" w:rsidR="0030520F" w:rsidRDefault="0030520F" w:rsidP="00FA60D9">
      <w:r>
        <w:t>AIDA</w:t>
      </w:r>
      <w:r>
        <w:tab/>
      </w:r>
      <w:r>
        <w:tab/>
        <w:t xml:space="preserve">Federal </w:t>
      </w:r>
      <w:r w:rsidRPr="0030520F">
        <w:rPr>
          <w:i/>
          <w:iCs/>
        </w:rPr>
        <w:t>Artificial Intelligence and Data Act</w:t>
      </w:r>
    </w:p>
    <w:p w14:paraId="66DF9C2A" w14:textId="0B0A18E9" w:rsidR="00E575DB" w:rsidRDefault="00E575DB" w:rsidP="00FA60D9">
      <w:r>
        <w:t>ALI</w:t>
      </w:r>
      <w:r>
        <w:tab/>
      </w:r>
      <w:r>
        <w:tab/>
        <w:t>American Law Institute</w:t>
      </w:r>
    </w:p>
    <w:p w14:paraId="5764FF0D" w14:textId="516270AE" w:rsidR="00E575DB" w:rsidRDefault="00FA60D9" w:rsidP="00FA60D9">
      <w:pPr>
        <w:rPr>
          <w:i/>
          <w:iCs/>
        </w:rPr>
      </w:pPr>
      <w:r>
        <w:t>CPA</w:t>
      </w:r>
      <w:r>
        <w:tab/>
      </w:r>
      <w:r>
        <w:tab/>
      </w:r>
      <w:r w:rsidR="00E575DB">
        <w:t xml:space="preserve">Ontario </w:t>
      </w:r>
      <w:r w:rsidRPr="008546ED">
        <w:rPr>
          <w:i/>
          <w:iCs/>
        </w:rPr>
        <w:t>Consumer Protection Act</w:t>
      </w:r>
    </w:p>
    <w:p w14:paraId="1D983C9F" w14:textId="2E7D6A63" w:rsidR="0030520F" w:rsidRPr="0030520F" w:rsidRDefault="0030520F" w:rsidP="00FA60D9">
      <w:r>
        <w:t>CPPA</w:t>
      </w:r>
      <w:r>
        <w:tab/>
      </w:r>
      <w:r>
        <w:tab/>
        <w:t xml:space="preserve">Federal </w:t>
      </w:r>
      <w:r w:rsidRPr="0030520F">
        <w:rPr>
          <w:i/>
          <w:iCs/>
        </w:rPr>
        <w:t>Consumer Privacy Protection Act</w:t>
      </w:r>
    </w:p>
    <w:p w14:paraId="0F23A384" w14:textId="30A520A7" w:rsidR="00BD51DA" w:rsidRDefault="00BD51DA" w:rsidP="00FA60D9">
      <w:r>
        <w:t>DAU</w:t>
      </w:r>
      <w:r>
        <w:tab/>
      </w:r>
      <w:r>
        <w:tab/>
        <w:t>Daily Active Users</w:t>
      </w:r>
    </w:p>
    <w:p w14:paraId="543D2CA3" w14:textId="6D0FB870" w:rsidR="00E575DB" w:rsidRDefault="00E575DB" w:rsidP="00FA60D9">
      <w:pPr>
        <w:rPr>
          <w:i/>
          <w:iCs/>
        </w:rPr>
      </w:pPr>
      <w:r>
        <w:t>DMA</w:t>
      </w:r>
      <w:r>
        <w:tab/>
      </w:r>
      <w:r>
        <w:tab/>
        <w:t xml:space="preserve">European Union </w:t>
      </w:r>
      <w:r w:rsidRPr="00E575DB">
        <w:rPr>
          <w:i/>
          <w:iCs/>
        </w:rPr>
        <w:t>Digital Markets Act</w:t>
      </w:r>
    </w:p>
    <w:p w14:paraId="405431CE" w14:textId="687E0B71" w:rsidR="0065636E" w:rsidRDefault="0065636E" w:rsidP="00FA60D9">
      <w:r w:rsidRPr="0065636E">
        <w:t>DPWRA</w:t>
      </w:r>
      <w:r w:rsidRPr="0065636E">
        <w:tab/>
      </w:r>
      <w:r>
        <w:rPr>
          <w:i/>
          <w:iCs/>
        </w:rPr>
        <w:tab/>
      </w:r>
      <w:r w:rsidRPr="0065636E">
        <w:t xml:space="preserve">Ontario </w:t>
      </w:r>
      <w:r w:rsidRPr="0065636E">
        <w:rPr>
          <w:i/>
          <w:iCs/>
        </w:rPr>
        <w:t>Digital Platform Workers’ Rights Act</w:t>
      </w:r>
    </w:p>
    <w:p w14:paraId="1CC49DA3" w14:textId="16C665D4" w:rsidR="00E575DB" w:rsidRDefault="00E575DB" w:rsidP="00FA60D9">
      <w:pPr>
        <w:rPr>
          <w:i/>
          <w:iCs/>
        </w:rPr>
      </w:pPr>
      <w:r>
        <w:t>DSA</w:t>
      </w:r>
      <w:r>
        <w:tab/>
      </w:r>
      <w:r>
        <w:tab/>
        <w:t xml:space="preserve">European Union </w:t>
      </w:r>
      <w:r w:rsidRPr="00E575DB">
        <w:rPr>
          <w:i/>
          <w:iCs/>
        </w:rPr>
        <w:t>Digital Services Act</w:t>
      </w:r>
    </w:p>
    <w:p w14:paraId="77D44F59" w14:textId="14DC8CBE" w:rsidR="00F51B94" w:rsidRDefault="00F51B94" w:rsidP="00FA60D9">
      <w:r>
        <w:t>FTC</w:t>
      </w:r>
      <w:r>
        <w:tab/>
      </w:r>
      <w:r>
        <w:tab/>
      </w:r>
      <w:r w:rsidRPr="00F51B94">
        <w:t>United States Federal Trade Commission</w:t>
      </w:r>
    </w:p>
    <w:p w14:paraId="5DC277FF" w14:textId="07237F39" w:rsidR="0030520F" w:rsidRPr="0030520F" w:rsidRDefault="0030520F" w:rsidP="00FA60D9">
      <w:r>
        <w:t>GDPR</w:t>
      </w:r>
      <w:r>
        <w:tab/>
      </w:r>
      <w:r>
        <w:tab/>
        <w:t xml:space="preserve">European Union </w:t>
      </w:r>
      <w:r w:rsidRPr="0030520F">
        <w:rPr>
          <w:i/>
          <w:iCs/>
        </w:rPr>
        <w:t>General Data Protection Regulation</w:t>
      </w:r>
    </w:p>
    <w:p w14:paraId="4EBD1D1D" w14:textId="48899E8C" w:rsidR="002B75B1" w:rsidRDefault="002B75B1" w:rsidP="00FA60D9">
      <w:r>
        <w:t>LCO</w:t>
      </w:r>
      <w:r>
        <w:tab/>
      </w:r>
      <w:r>
        <w:tab/>
        <w:t>Law Commission of Ontario</w:t>
      </w:r>
    </w:p>
    <w:p w14:paraId="37E442C5" w14:textId="089F16E2" w:rsidR="000375F3" w:rsidRDefault="000375F3" w:rsidP="008546ED">
      <w:r>
        <w:t>OECD</w:t>
      </w:r>
      <w:r>
        <w:tab/>
      </w:r>
      <w:r>
        <w:tab/>
      </w:r>
      <w:r w:rsidRPr="000375F3">
        <w:t xml:space="preserve">Organization </w:t>
      </w:r>
      <w:r>
        <w:t>for</w:t>
      </w:r>
      <w:r w:rsidRPr="000375F3">
        <w:t xml:space="preserve"> Economic Cooperation and Development</w:t>
      </w:r>
    </w:p>
    <w:p w14:paraId="01C9415E" w14:textId="66B689CF" w:rsidR="0030520F" w:rsidRDefault="0030520F" w:rsidP="008546ED">
      <w:r>
        <w:t>PIPEDA</w:t>
      </w:r>
      <w:r>
        <w:tab/>
      </w:r>
      <w:r>
        <w:tab/>
      </w:r>
      <w:r w:rsidRPr="0030520F">
        <w:rPr>
          <w:i/>
          <w:iCs/>
        </w:rPr>
        <w:t>Personal Information Protection and Electronic Documents Act</w:t>
      </w:r>
    </w:p>
    <w:p w14:paraId="11FF75A2" w14:textId="3EF0D33B" w:rsidR="00FA60D9" w:rsidRDefault="00FA60D9" w:rsidP="008546ED">
      <w:r>
        <w:t>ToS</w:t>
      </w:r>
      <w:r>
        <w:tab/>
      </w:r>
      <w:r>
        <w:tab/>
        <w:t xml:space="preserve">Terms of </w:t>
      </w:r>
      <w:r w:rsidR="00481BDE">
        <w:t>Service</w:t>
      </w:r>
      <w:r w:rsidR="009F4FD8">
        <w:t xml:space="preserve"> consumer contracts</w:t>
      </w:r>
    </w:p>
    <w:p w14:paraId="2E3EFC9B" w14:textId="1D4FB11B" w:rsidR="00B951EA" w:rsidRPr="00FA60D9" w:rsidRDefault="00B951EA" w:rsidP="008546ED">
      <w:r>
        <w:t>UCPD</w:t>
      </w:r>
      <w:r>
        <w:tab/>
      </w:r>
      <w:r>
        <w:tab/>
        <w:t xml:space="preserve">European Union </w:t>
      </w:r>
      <w:r w:rsidRPr="00B951EA">
        <w:rPr>
          <w:i/>
          <w:iCs/>
        </w:rPr>
        <w:t>Unfair Commercial Practices Directive</w:t>
      </w:r>
    </w:p>
    <w:p w14:paraId="0B57609E" w14:textId="2526293A" w:rsidR="00196E4C" w:rsidRDefault="00196E4C" w:rsidP="00FA60D9">
      <w:r>
        <w:br w:type="page"/>
      </w:r>
    </w:p>
    <w:p w14:paraId="4DB3B50D" w14:textId="77777777" w:rsidR="00336822" w:rsidRDefault="00336822" w:rsidP="00336822"/>
    <w:p w14:paraId="7E831407" w14:textId="6DFFBB12" w:rsidR="00943449" w:rsidRDefault="00336822" w:rsidP="00943449">
      <w:pPr>
        <w:pStyle w:val="Heading1"/>
        <w:numPr>
          <w:ilvl w:val="0"/>
          <w:numId w:val="1"/>
        </w:numPr>
      </w:pPr>
      <w:bookmarkStart w:id="2" w:name="_Toc113832378"/>
      <w:bookmarkStart w:id="3" w:name="_Toc138151818"/>
      <w:r>
        <w:t>Introduction</w:t>
      </w:r>
      <w:bookmarkEnd w:id="2"/>
      <w:bookmarkEnd w:id="3"/>
    </w:p>
    <w:p w14:paraId="1648E640" w14:textId="77777777" w:rsidR="00894DBA" w:rsidRDefault="00894DBA" w:rsidP="00894DBA">
      <w:pPr>
        <w:pStyle w:val="Heading2"/>
      </w:pPr>
    </w:p>
    <w:p w14:paraId="1BCBE201" w14:textId="791D0ABE" w:rsidR="00943449" w:rsidRDefault="00943449" w:rsidP="007A41A0">
      <w:pPr>
        <w:pStyle w:val="Heading2"/>
        <w:numPr>
          <w:ilvl w:val="1"/>
          <w:numId w:val="1"/>
        </w:numPr>
      </w:pPr>
      <w:bookmarkStart w:id="4" w:name="_Toc138151819"/>
      <w:r>
        <w:t>The LCO’s Consumer Protection in the Digital Marketplace Project</w:t>
      </w:r>
      <w:bookmarkEnd w:id="4"/>
      <w:r>
        <w:t xml:space="preserve"> </w:t>
      </w:r>
    </w:p>
    <w:p w14:paraId="77A9F7A8" w14:textId="77777777" w:rsidR="00943449" w:rsidRDefault="00943449" w:rsidP="00943449">
      <w:pPr>
        <w:spacing w:after="0"/>
      </w:pPr>
    </w:p>
    <w:p w14:paraId="4E8EEA2E" w14:textId="5D77759D" w:rsidR="00943449" w:rsidRDefault="00943449" w:rsidP="00943449">
      <w:pPr>
        <w:spacing w:after="0"/>
      </w:pPr>
      <w:r w:rsidRPr="001F4AE5">
        <w:t>Th</w:t>
      </w:r>
      <w:r w:rsidR="009F1DED">
        <w:t>is</w:t>
      </w:r>
      <w:r w:rsidR="00066495">
        <w:t xml:space="preserve"> is</w:t>
      </w:r>
      <w:r w:rsidR="009F1DED">
        <w:t xml:space="preserve"> the Consultation Paper for the </w:t>
      </w:r>
      <w:r>
        <w:t>Law Commission of Ontario</w:t>
      </w:r>
      <w:r w:rsidRPr="001F4AE5">
        <w:t xml:space="preserve">’s </w:t>
      </w:r>
      <w:r>
        <w:t xml:space="preserve">(LCO) </w:t>
      </w:r>
      <w:r w:rsidR="009F1DED">
        <w:t>Consumer Protection in the Digital Marketplace project.</w:t>
      </w:r>
      <w:r w:rsidR="009E0094">
        <w:t xml:space="preserve"> </w:t>
      </w:r>
      <w:r w:rsidR="009F1DED">
        <w:t xml:space="preserve">This project </w:t>
      </w:r>
      <w:r w:rsidRPr="001F4AE5">
        <w:t xml:space="preserve">considers legal strategies and law reform options to improve consumer protection in </w:t>
      </w:r>
      <w:r w:rsidRPr="001A0A7A">
        <w:rPr>
          <w:b/>
          <w:bCs/>
          <w:color w:val="C00000"/>
        </w:rPr>
        <w:t>terms of service</w:t>
      </w:r>
      <w:r w:rsidRPr="001A0A7A">
        <w:rPr>
          <w:color w:val="C00000"/>
        </w:rPr>
        <w:t xml:space="preserve"> </w:t>
      </w:r>
      <w:r w:rsidRPr="001F4AE5">
        <w:t>(ToS) contracts</w:t>
      </w:r>
      <w:r w:rsidR="00CE6246">
        <w:t xml:space="preserve"> for digital products and services.</w:t>
      </w:r>
    </w:p>
    <w:p w14:paraId="5BBAD42E" w14:textId="77777777" w:rsidR="00943449" w:rsidRDefault="00943449" w:rsidP="00943449">
      <w:pPr>
        <w:spacing w:after="0"/>
      </w:pPr>
    </w:p>
    <w:p w14:paraId="57C3631C" w14:textId="5F1CE074" w:rsidR="001A0A7A" w:rsidRPr="00AC2D61" w:rsidRDefault="001A0A7A" w:rsidP="001A0A7A">
      <w:r w:rsidRPr="007D4397">
        <w:rPr>
          <w:b/>
          <w:bCs/>
          <w:highlight w:val="lightGray"/>
        </w:rPr>
        <w:t>SIDEBAR</w:t>
      </w:r>
      <w:r w:rsidRPr="00AC2D61">
        <w:rPr>
          <w:highlight w:val="lightGray"/>
        </w:rPr>
        <w:t xml:space="preserve">: </w:t>
      </w:r>
      <w:r w:rsidRPr="00232F5E">
        <w:rPr>
          <w:b/>
          <w:bCs/>
          <w:highlight w:val="lightGray"/>
        </w:rPr>
        <w:t>Definitions</w:t>
      </w:r>
      <w:r w:rsidRPr="00AC2D61">
        <w:rPr>
          <w:highlight w:val="lightGray"/>
        </w:rPr>
        <w:t xml:space="preserve">. A list of all terms introduced in </w:t>
      </w:r>
      <w:r w:rsidRPr="00AC2D61">
        <w:rPr>
          <w:b/>
          <w:bCs/>
          <w:color w:val="C00000"/>
          <w:highlight w:val="lightGray"/>
        </w:rPr>
        <w:t>red text</w:t>
      </w:r>
      <w:r w:rsidRPr="00AC2D61">
        <w:rPr>
          <w:color w:val="C00000"/>
          <w:highlight w:val="lightGray"/>
        </w:rPr>
        <w:t xml:space="preserve"> </w:t>
      </w:r>
      <w:r w:rsidRPr="00AC2D61">
        <w:rPr>
          <w:highlight w:val="lightGray"/>
        </w:rPr>
        <w:t xml:space="preserve">can be found </w:t>
      </w:r>
      <w:r w:rsidRPr="00A0110A">
        <w:rPr>
          <w:highlight w:val="lightGray"/>
        </w:rPr>
        <w:t xml:space="preserve">in </w:t>
      </w:r>
      <w:r w:rsidRPr="008546ED">
        <w:rPr>
          <w:highlight w:val="lightGray"/>
        </w:rPr>
        <w:t>Appendix B – Definitions</w:t>
      </w:r>
      <w:r w:rsidRPr="00AC2D61">
        <w:rPr>
          <w:highlight w:val="lightGray"/>
        </w:rPr>
        <w:t xml:space="preserve">. Key legal </w:t>
      </w:r>
      <w:r>
        <w:rPr>
          <w:highlight w:val="lightGray"/>
        </w:rPr>
        <w:t xml:space="preserve">consumer </w:t>
      </w:r>
      <w:r w:rsidRPr="00AC2D61">
        <w:rPr>
          <w:highlight w:val="lightGray"/>
        </w:rPr>
        <w:t xml:space="preserve">contracting </w:t>
      </w:r>
      <w:r w:rsidR="003C0FBF">
        <w:rPr>
          <w:highlight w:val="lightGray"/>
        </w:rPr>
        <w:t>terms</w:t>
      </w:r>
      <w:r w:rsidRPr="00AC2D61">
        <w:rPr>
          <w:highlight w:val="lightGray"/>
        </w:rPr>
        <w:t xml:space="preserve"> like </w:t>
      </w:r>
      <w:r w:rsidRPr="00AC2D61">
        <w:rPr>
          <w:b/>
          <w:bCs/>
          <w:highlight w:val="lightGray"/>
        </w:rPr>
        <w:t>disclosure</w:t>
      </w:r>
      <w:r w:rsidRPr="00AC2D61">
        <w:rPr>
          <w:highlight w:val="lightGray"/>
        </w:rPr>
        <w:t xml:space="preserve">, </w:t>
      </w:r>
      <w:r w:rsidRPr="00AC2D61">
        <w:rPr>
          <w:b/>
          <w:bCs/>
          <w:highlight w:val="lightGray"/>
        </w:rPr>
        <w:t>deception</w:t>
      </w:r>
      <w:r>
        <w:rPr>
          <w:highlight w:val="lightGray"/>
        </w:rPr>
        <w:t xml:space="preserve"> and </w:t>
      </w:r>
      <w:r w:rsidRPr="00AC2D61">
        <w:rPr>
          <w:b/>
          <w:bCs/>
          <w:highlight w:val="lightGray"/>
        </w:rPr>
        <w:t>unconscionability</w:t>
      </w:r>
      <w:r>
        <w:rPr>
          <w:highlight w:val="lightGray"/>
        </w:rPr>
        <w:t xml:space="preserve"> </w:t>
      </w:r>
      <w:r w:rsidRPr="00AC2D61">
        <w:rPr>
          <w:highlight w:val="lightGray"/>
        </w:rPr>
        <w:t xml:space="preserve">are introduced in section </w:t>
      </w:r>
      <w:r w:rsidRPr="008546ED">
        <w:rPr>
          <w:highlight w:val="lightGray"/>
        </w:rPr>
        <w:t>3.1.2</w:t>
      </w:r>
      <w:r w:rsidRPr="00AC2D61">
        <w:rPr>
          <w:highlight w:val="lightGray"/>
        </w:rPr>
        <w:t>.</w:t>
      </w:r>
    </w:p>
    <w:p w14:paraId="296AD103" w14:textId="6F426BCF" w:rsidR="00943449" w:rsidRDefault="00943449" w:rsidP="00943449">
      <w:r>
        <w:t>ToS</w:t>
      </w:r>
      <w:r w:rsidR="00A70B13">
        <w:t xml:space="preserve">, </w:t>
      </w:r>
      <w:r>
        <w:t xml:space="preserve">“click consent” </w:t>
      </w:r>
      <w:r w:rsidR="00A70B13">
        <w:t xml:space="preserve">and other types of standard form </w:t>
      </w:r>
      <w:r>
        <w:t xml:space="preserve">contracts are ubiquitous features </w:t>
      </w:r>
      <w:r w:rsidRPr="00F808A4">
        <w:t xml:space="preserve">of the </w:t>
      </w:r>
      <w:r w:rsidRPr="004F5DE2">
        <w:rPr>
          <w:b/>
          <w:bCs/>
          <w:color w:val="C00000"/>
        </w:rPr>
        <w:t>digital marketplace</w:t>
      </w:r>
      <w:r w:rsidRPr="00F808A4">
        <w:t xml:space="preserve">. Hardly </w:t>
      </w:r>
      <w:r>
        <w:t xml:space="preserve">a day goes by that consumers </w:t>
      </w:r>
      <w:r w:rsidR="00386C26">
        <w:t xml:space="preserve">in </w:t>
      </w:r>
      <w:r w:rsidR="00AF3F7C">
        <w:t xml:space="preserve">Ontario </w:t>
      </w:r>
      <w:r>
        <w:t>are</w:t>
      </w:r>
      <w:r w:rsidR="00AF3F7C">
        <w:t xml:space="preserve"> not </w:t>
      </w:r>
      <w:r>
        <w:t xml:space="preserve">asked to </w:t>
      </w:r>
      <w:bookmarkStart w:id="5" w:name="_Hlk138060483"/>
      <w:r>
        <w:t>click, tap, scan, or otherwise confirm “I ACCEPT” when presented with a</w:t>
      </w:r>
      <w:r w:rsidR="009F1DED">
        <w:t xml:space="preserve"> </w:t>
      </w:r>
      <w:r>
        <w:t>contract for a</w:t>
      </w:r>
      <w:r w:rsidR="009F1DED">
        <w:t xml:space="preserve">n online </w:t>
      </w:r>
      <w:r>
        <w:t>product or service.</w:t>
      </w:r>
      <w:bookmarkEnd w:id="5"/>
      <w:r w:rsidR="00AF3F7C">
        <w:t xml:space="preserve"> </w:t>
      </w:r>
    </w:p>
    <w:p w14:paraId="0561D038" w14:textId="45005381" w:rsidR="00AF3F7C" w:rsidRDefault="00AF3F7C" w:rsidP="00AF3F7C">
      <w:r>
        <w:t>ToS contracts have many advantages:</w:t>
      </w:r>
      <w:r w:rsidR="009E0094">
        <w:t xml:space="preserve"> </w:t>
      </w:r>
      <w:r w:rsidR="00BC2D53">
        <w:t>t</w:t>
      </w:r>
      <w:r>
        <w:t>hey are often fast, consistent, efficient, and transparent.</w:t>
      </w:r>
      <w:r w:rsidR="009E0094">
        <w:t xml:space="preserve"> </w:t>
      </w:r>
      <w:r>
        <w:t>These attributes make ToS or standard form contracts ideal for high-volume, routine consumer transactions of many kinds.</w:t>
      </w:r>
    </w:p>
    <w:p w14:paraId="29EE8935" w14:textId="63198067" w:rsidR="001C1465" w:rsidRDefault="00AF3F7C" w:rsidP="00943449">
      <w:r>
        <w:t xml:space="preserve">In recent years, however, many ToS contracts have been criticized by consumers, businesses, courts, and governments due to their length, </w:t>
      </w:r>
      <w:r w:rsidR="001A0A7A">
        <w:t xml:space="preserve">complexity, </w:t>
      </w:r>
      <w:r>
        <w:t xml:space="preserve">opacity, </w:t>
      </w:r>
      <w:r w:rsidR="001C1465">
        <w:t xml:space="preserve">and inclusion of terms which may be confusing, deceptive, </w:t>
      </w:r>
      <w:r w:rsidR="004F5DE2">
        <w:t>misleading,</w:t>
      </w:r>
      <w:r w:rsidR="001A0A7A">
        <w:t xml:space="preserve"> or unfair</w:t>
      </w:r>
      <w:r w:rsidR="001C1465">
        <w:t>.</w:t>
      </w:r>
      <w:r w:rsidR="009E0094">
        <w:t xml:space="preserve"> </w:t>
      </w:r>
      <w:r w:rsidR="001C1465">
        <w:t xml:space="preserve">These criticisms are particularly acute for ToS contracts in the digital marketplace, where </w:t>
      </w:r>
      <w:r w:rsidR="001A0A7A">
        <w:t xml:space="preserve">frequent and routine transactions are governed by </w:t>
      </w:r>
      <w:r w:rsidR="001C1465">
        <w:t>new technology, contracting arrangements, and business practices</w:t>
      </w:r>
      <w:r w:rsidR="001A0A7A">
        <w:t xml:space="preserve"> which</w:t>
      </w:r>
      <w:r w:rsidR="001C1465">
        <w:t xml:space="preserve"> have been shown to undermine traditional consumer protections.</w:t>
      </w:r>
      <w:r w:rsidR="009E0094">
        <w:t xml:space="preserve"> </w:t>
      </w:r>
    </w:p>
    <w:p w14:paraId="37923B7B" w14:textId="1B8BF649" w:rsidR="00943449" w:rsidRPr="00386C26" w:rsidRDefault="00943449" w:rsidP="00943449">
      <w:pPr>
        <w:ind w:left="720"/>
        <w:rPr>
          <w:b/>
          <w:bCs/>
          <w:i/>
          <w:iCs/>
        </w:rPr>
      </w:pPr>
      <w:r w:rsidRPr="00386C26">
        <w:rPr>
          <w:b/>
          <w:bCs/>
          <w:highlight w:val="lightGray"/>
        </w:rPr>
        <w:t xml:space="preserve">QUOTE BOX: “Every day, we click the “I Agree” button when we sign up for online services, but we often have no idea what we’re consenting to—and no option to use the service if we don’t click that button.” – Government of Ontario, </w:t>
      </w:r>
      <w:r w:rsidRPr="00386C26">
        <w:rPr>
          <w:b/>
          <w:bCs/>
          <w:i/>
          <w:iCs/>
          <w:highlight w:val="lightGray"/>
        </w:rPr>
        <w:t>Building a Digital Ontario.</w:t>
      </w:r>
      <w:r w:rsidR="00BC26C0" w:rsidRPr="00386C26">
        <w:rPr>
          <w:rStyle w:val="EndnoteReference"/>
          <w:b/>
          <w:bCs/>
          <w:highlight w:val="lightGray"/>
        </w:rPr>
        <w:endnoteReference w:id="1"/>
      </w:r>
    </w:p>
    <w:p w14:paraId="380ADC6D" w14:textId="32299D16" w:rsidR="00097A25" w:rsidRDefault="001F6C84" w:rsidP="00097A25">
      <w:r w:rsidRPr="007A41A0">
        <w:t>I</w:t>
      </w:r>
      <w:r w:rsidR="00943449" w:rsidRPr="00C5276B">
        <w:t>n broad terms, th</w:t>
      </w:r>
      <w:r w:rsidRPr="007A41A0">
        <w:t xml:space="preserve">e LCO’s </w:t>
      </w:r>
      <w:r w:rsidR="00943449" w:rsidRPr="00C5276B">
        <w:t xml:space="preserve">project considers </w:t>
      </w:r>
      <w:r w:rsidRPr="007A41A0">
        <w:t xml:space="preserve">if or how </w:t>
      </w:r>
      <w:r w:rsidR="001C1465" w:rsidRPr="007A41A0">
        <w:t xml:space="preserve">Ontario’s </w:t>
      </w:r>
      <w:r w:rsidR="001C1465" w:rsidRPr="007A41A0">
        <w:rPr>
          <w:i/>
          <w:iCs/>
        </w:rPr>
        <w:t>Consumer Protection Act</w:t>
      </w:r>
      <w:r w:rsidR="001C1465" w:rsidRPr="007A41A0">
        <w:t xml:space="preserve"> </w:t>
      </w:r>
      <w:r w:rsidR="009F1DED" w:rsidRPr="00C5276B">
        <w:t xml:space="preserve">should be updated to </w:t>
      </w:r>
      <w:r w:rsidRPr="007A41A0">
        <w:t xml:space="preserve">better protect consumers in </w:t>
      </w:r>
      <w:r w:rsidR="00943449" w:rsidRPr="00C5276B">
        <w:t xml:space="preserve">the digital marketplace. More specifically, </w:t>
      </w:r>
      <w:r w:rsidR="001C1465" w:rsidRPr="00C5276B">
        <w:t xml:space="preserve">the project considers </w:t>
      </w:r>
      <w:r w:rsidRPr="00C5276B">
        <w:t>how to update traditional consumer protections such as n</w:t>
      </w:r>
      <w:r w:rsidR="001C1465" w:rsidRPr="00C5276B">
        <w:t>otice and disclosure</w:t>
      </w:r>
      <w:r w:rsidRPr="00C5276B">
        <w:t xml:space="preserve"> requirements, d</w:t>
      </w:r>
      <w:r w:rsidR="001C1465" w:rsidRPr="00C5276B">
        <w:t>eception</w:t>
      </w:r>
      <w:r w:rsidR="001C1465">
        <w:t xml:space="preserve"> and unconscionability</w:t>
      </w:r>
      <w:r>
        <w:t xml:space="preserve"> rules, and consumer enforcement </w:t>
      </w:r>
      <w:r w:rsidR="004F5DE2">
        <w:t>in light of the</w:t>
      </w:r>
      <w:r>
        <w:t xml:space="preserve"> new, complex, and expansive range of consumer risks in the digital economy.</w:t>
      </w:r>
      <w:r w:rsidR="00097A25" w:rsidRPr="00097A25">
        <w:t xml:space="preserve"> </w:t>
      </w:r>
    </w:p>
    <w:p w14:paraId="3ECBC0BD" w14:textId="3DE0FE9F" w:rsidR="001F6C84" w:rsidRDefault="00BE699C" w:rsidP="007A41A0">
      <w:r>
        <w:t>T</w:t>
      </w:r>
      <w:r w:rsidR="00097A25">
        <w:t>he LCO’s research also suggests an emerging consensus around key law reform principles and proposals</w:t>
      </w:r>
      <w:r>
        <w:t xml:space="preserve"> that form the basis of our Consultation Paper</w:t>
      </w:r>
      <w:r w:rsidR="00097A25">
        <w:t>.</w:t>
      </w:r>
      <w:r>
        <w:t xml:space="preserve"> These a</w:t>
      </w:r>
      <w:r w:rsidR="001C1465">
        <w:t>re sometimes described as being part of a “new consumer agenda”</w:t>
      </w:r>
      <w:r w:rsidR="00C5276B">
        <w:t xml:space="preserve"> which has gained significant momentum in the United States, European Union, and UK.</w:t>
      </w:r>
      <w:r w:rsidR="00C5276B">
        <w:rPr>
          <w:rStyle w:val="EndnoteReference"/>
        </w:rPr>
        <w:endnoteReference w:id="2"/>
      </w:r>
      <w:r w:rsidR="004B385A">
        <w:t xml:space="preserve"> </w:t>
      </w:r>
      <w:r>
        <w:t xml:space="preserve">The LCO believes that </w:t>
      </w:r>
      <w:r w:rsidR="004B385A">
        <w:t xml:space="preserve">Ontarians need the opportunity to be heard in this discussion. The trans-national nature of digital marketplace services and products mean </w:t>
      </w:r>
      <w:r>
        <w:t xml:space="preserve">regulatory </w:t>
      </w:r>
      <w:r w:rsidR="004B385A">
        <w:t xml:space="preserve">activities in other jurisdictions will have a </w:t>
      </w:r>
      <w:r>
        <w:t xml:space="preserve">spill-over </w:t>
      </w:r>
      <w:r w:rsidR="004B385A">
        <w:t>regulatory effect on Ontario – unless Ontario makes choices</w:t>
      </w:r>
      <w:r>
        <w:t xml:space="preserve"> for itself</w:t>
      </w:r>
      <w:r w:rsidR="004B385A">
        <w:t xml:space="preserve">. </w:t>
      </w:r>
    </w:p>
    <w:p w14:paraId="144C2486" w14:textId="40F0A4FE" w:rsidR="00F55F8D" w:rsidRPr="00386C26" w:rsidRDefault="00F55F8D" w:rsidP="00F55F8D">
      <w:r w:rsidRPr="00386C26">
        <w:rPr>
          <w:b/>
          <w:bCs/>
          <w:highlight w:val="lightGray"/>
        </w:rPr>
        <w:lastRenderedPageBreak/>
        <w:t>SIDEBAR</w:t>
      </w:r>
      <w:r w:rsidRPr="00386C26">
        <w:rPr>
          <w:highlight w:val="lightGray"/>
        </w:rPr>
        <w:t xml:space="preserve">: What is the “digital marketplace”? The “digital marketplace” is the broad and inclusive term adopted by the LCO for this project. It reflects an emerging international approach on how to reconcile and modernize </w:t>
      </w:r>
      <w:r>
        <w:rPr>
          <w:highlight w:val="lightGray"/>
        </w:rPr>
        <w:t>core</w:t>
      </w:r>
      <w:r w:rsidRPr="00386C26">
        <w:rPr>
          <w:highlight w:val="lightGray"/>
        </w:rPr>
        <w:t xml:space="preserve"> consumer protection concepts in the era of digital transactions.</w:t>
      </w:r>
      <w:r w:rsidRPr="00386C26">
        <w:rPr>
          <w:rStyle w:val="EndnoteReference"/>
          <w:highlight w:val="lightGray"/>
        </w:rPr>
        <w:endnoteReference w:id="3"/>
      </w:r>
      <w:r w:rsidRPr="00386C26">
        <w:rPr>
          <w:highlight w:val="lightGray"/>
        </w:rPr>
        <w:t xml:space="preserve"> Ontario’s </w:t>
      </w:r>
      <w:r w:rsidRPr="00386C26">
        <w:rPr>
          <w:i/>
          <w:iCs/>
          <w:highlight w:val="lightGray"/>
        </w:rPr>
        <w:t>Consumer Protection Act</w:t>
      </w:r>
      <w:r w:rsidRPr="00386C26">
        <w:rPr>
          <w:highlight w:val="lightGray"/>
        </w:rPr>
        <w:t xml:space="preserve"> has a very broad mandate covering most consumer contracts. But </w:t>
      </w:r>
      <w:r w:rsidR="00105E60">
        <w:rPr>
          <w:highlight w:val="lightGray"/>
        </w:rPr>
        <w:t xml:space="preserve">many </w:t>
      </w:r>
      <w:r w:rsidRPr="00386C26">
        <w:rPr>
          <w:highlight w:val="lightGray"/>
        </w:rPr>
        <w:t xml:space="preserve">consumers now conduct these transactions in the “digital marketplace,” either directly with service and product suppliers or through digital intermediaries, and almost always under contractual </w:t>
      </w:r>
      <w:r>
        <w:rPr>
          <w:highlight w:val="lightGray"/>
        </w:rPr>
        <w:t>ToS</w:t>
      </w:r>
      <w:r w:rsidRPr="00386C26">
        <w:rPr>
          <w:highlight w:val="lightGray"/>
        </w:rPr>
        <w:t>. For the CPA to remain relevant it must continue to effectively provide core consumer rights</w:t>
      </w:r>
      <w:r w:rsidR="00105E60">
        <w:rPr>
          <w:highlight w:val="lightGray"/>
        </w:rPr>
        <w:t>.</w:t>
      </w:r>
      <w:r w:rsidRPr="00386C26">
        <w:rPr>
          <w:highlight w:val="lightGray"/>
        </w:rPr>
        <w:t xml:space="preserve"> </w:t>
      </w:r>
    </w:p>
    <w:p w14:paraId="36799B7F" w14:textId="1975D70D" w:rsidR="00996630" w:rsidRPr="007A41A0" w:rsidRDefault="00996630" w:rsidP="00943449">
      <w:r w:rsidRPr="007A41A0">
        <w:t>The</w:t>
      </w:r>
      <w:r w:rsidR="00F57328">
        <w:t xml:space="preserve">se and other factors mark the LCO’s project as </w:t>
      </w:r>
      <w:r w:rsidRPr="007A41A0">
        <w:t>particularly timely.</w:t>
      </w:r>
      <w:r w:rsidR="009E0094">
        <w:t xml:space="preserve"> </w:t>
      </w:r>
    </w:p>
    <w:p w14:paraId="64334BB0" w14:textId="50211D81" w:rsidR="00996630" w:rsidRDefault="00996630" w:rsidP="00996630">
      <w:pPr>
        <w:spacing w:before="100" w:beforeAutospacing="1" w:after="100" w:afterAutospacing="1"/>
      </w:pPr>
      <w:bookmarkStart w:id="6" w:name="_Hlk138065618"/>
      <w:r w:rsidRPr="00A33D12">
        <w:t xml:space="preserve">Ontario’s </w:t>
      </w:r>
      <w:r w:rsidRPr="00684B75">
        <w:rPr>
          <w:rFonts w:cs="Times New Roman"/>
          <w:i/>
          <w:iCs/>
          <w:szCs w:val="24"/>
          <w:lang w:val="en-US"/>
        </w:rPr>
        <w:t>Consumer Protection Act</w:t>
      </w:r>
      <w:r w:rsidRPr="00A33D12">
        <w:rPr>
          <w:rFonts w:cs="Times New Roman"/>
          <w:szCs w:val="24"/>
          <w:lang w:val="en-US"/>
        </w:rPr>
        <w:t xml:space="preserve"> (CPA) was enacted in 2002</w:t>
      </w:r>
      <w:r w:rsidRPr="00FD2F08">
        <w:rPr>
          <w:rFonts w:cs="Times New Roman"/>
          <w:szCs w:val="24"/>
          <w:lang w:val="en-US"/>
        </w:rPr>
        <w:t xml:space="preserve"> and has not </w:t>
      </w:r>
      <w:r w:rsidRPr="00A33D12">
        <w:rPr>
          <w:rFonts w:cs="Times New Roman"/>
          <w:szCs w:val="24"/>
          <w:lang w:val="en-US"/>
        </w:rPr>
        <w:t xml:space="preserve">been </w:t>
      </w:r>
      <w:r w:rsidRPr="00A33D12">
        <w:t>substantially amended in 17 years.</w:t>
      </w:r>
      <w:r w:rsidRPr="00A33D12">
        <w:rPr>
          <w:rStyle w:val="EndnoteReference"/>
        </w:rPr>
        <w:endnoteReference w:id="4"/>
      </w:r>
      <w:r w:rsidRPr="00A33D12">
        <w:t xml:space="preserve"> </w:t>
      </w:r>
      <w:bookmarkEnd w:id="6"/>
      <w:r>
        <w:t>Since then, Ontario’s digital economy has grown substantially.</w:t>
      </w:r>
      <w:r w:rsidR="009E0094">
        <w:t xml:space="preserve"> </w:t>
      </w:r>
      <w:r>
        <w:t>Ontario’s “digital marketplace” relies on many new contracting arrangements and marketplace practices that did not exist when the CPA was last updated.</w:t>
      </w:r>
    </w:p>
    <w:p w14:paraId="36735EA9" w14:textId="6C769EA8" w:rsidR="00996630" w:rsidRDefault="00996630" w:rsidP="00996630">
      <w:bookmarkStart w:id="7" w:name="_Hlk138065461"/>
      <w:r>
        <w:t>Significantly, the Government of Ontario appears committed to consumer protection reform.</w:t>
      </w:r>
      <w:r w:rsidR="009E0094">
        <w:t xml:space="preserve"> </w:t>
      </w:r>
      <w:r>
        <w:t>The provincial government of Ontario has acknowledged that more must be done “to ensure that the laws governing the marketplace are in tune with our times</w:t>
      </w:r>
      <w:r w:rsidR="003455CD">
        <w:t>.</w:t>
      </w:r>
      <w:r>
        <w:t>”</w:t>
      </w:r>
      <w:r w:rsidR="003455CD">
        <w:rPr>
          <w:rStyle w:val="EndnoteReference"/>
        </w:rPr>
        <w:endnoteReference w:id="5"/>
      </w:r>
      <w:r w:rsidR="003455CD">
        <w:t xml:space="preserve"> </w:t>
      </w:r>
      <w:r w:rsidR="00EF6B21">
        <w:t xml:space="preserve">And further that there is </w:t>
      </w:r>
      <w:r w:rsidR="003455CD">
        <w:t>need</w:t>
      </w:r>
      <w:r>
        <w:t xml:space="preserve"> to “</w:t>
      </w:r>
      <w:r w:rsidRPr="00E3233B">
        <w:t>strengthen protection for consumers, adapt to changing technology and marketplace innovations, and streamline and clarify requirements to improve consumer and business understanding and compliance</w:t>
      </w:r>
      <w:r>
        <w:t>.”</w:t>
      </w:r>
      <w:r>
        <w:rPr>
          <w:rStyle w:val="EndnoteReference"/>
        </w:rPr>
        <w:endnoteReference w:id="6"/>
      </w:r>
      <w:bookmarkEnd w:id="7"/>
    </w:p>
    <w:p w14:paraId="496F94FD" w14:textId="0A8AF027" w:rsidR="00996630" w:rsidRDefault="00996630" w:rsidP="00996630">
      <w:bookmarkStart w:id="10" w:name="_Hlk138065715"/>
      <w:r>
        <w:t>In May 2023, the provincial government concluded consultations on a range of important CPA reforms.</w:t>
      </w:r>
      <w:r w:rsidR="009E0094">
        <w:t xml:space="preserve"> </w:t>
      </w:r>
      <w:r>
        <w:t xml:space="preserve">The provincial government’s 2023 Consultation Paper includes </w:t>
      </w:r>
      <w:r w:rsidR="00EF6B21">
        <w:t>several proposed</w:t>
      </w:r>
      <w:r>
        <w:t xml:space="preserve"> update</w:t>
      </w:r>
      <w:r w:rsidR="00EF6B21">
        <w:t>s</w:t>
      </w:r>
      <w:r>
        <w:t xml:space="preserve"> </w:t>
      </w:r>
      <w:r w:rsidR="00EF6B21">
        <w:t xml:space="preserve">to </w:t>
      </w:r>
      <w:r>
        <w:t>the CPA.</w:t>
      </w:r>
      <w:r w:rsidR="009E0094">
        <w:t xml:space="preserve"> </w:t>
      </w:r>
      <w:r>
        <w:t>The LCO commends the province for this initiative.</w:t>
      </w:r>
      <w:r w:rsidR="009E0094">
        <w:t xml:space="preserve"> </w:t>
      </w:r>
      <w:r w:rsidR="00EF6B21">
        <w:t>However</w:t>
      </w:r>
      <w:r>
        <w:t>, the LCO believes that the provincial government’s proposed reforms do not consider or address many consumer protection issues specific to the digital marketplace</w:t>
      </w:r>
      <w:bookmarkEnd w:id="10"/>
      <w:r>
        <w:t xml:space="preserve">, including the complexity of online ToS contracts; issues relating to online disclosure, notice and consent; </w:t>
      </w:r>
      <w:r w:rsidR="004B0D31">
        <w:t xml:space="preserve">deceptive </w:t>
      </w:r>
      <w:r>
        <w:t>“</w:t>
      </w:r>
      <w:r w:rsidRPr="00EF6B21">
        <w:rPr>
          <w:b/>
          <w:bCs/>
          <w:color w:val="C00000"/>
        </w:rPr>
        <w:t>dark pattern</w:t>
      </w:r>
      <w:r>
        <w:t>”</w:t>
      </w:r>
      <w:r w:rsidR="00BB1C27">
        <w:t xml:space="preserve"> </w:t>
      </w:r>
      <w:r w:rsidR="004B0D31">
        <w:t>sign-up and consent practices</w:t>
      </w:r>
      <w:r>
        <w:t>; online consumer remedies; etc.</w:t>
      </w:r>
      <w:r w:rsidR="009E0094">
        <w:t xml:space="preserve"> </w:t>
      </w:r>
    </w:p>
    <w:p w14:paraId="64B709DE" w14:textId="0640472A" w:rsidR="00C5276B" w:rsidRDefault="00C5276B" w:rsidP="00C5276B">
      <w:r>
        <w:t>T</w:t>
      </w:r>
      <w:r w:rsidR="0057152C">
        <w:t xml:space="preserve">he LCO’s project reflects our view that the </w:t>
      </w:r>
      <w:r>
        <w:t xml:space="preserve">provincial </w:t>
      </w:r>
      <w:r w:rsidR="0057152C">
        <w:t>government proposals should be expanded to address the needs of consumers and businesses in</w:t>
      </w:r>
      <w:r w:rsidR="70F11EC3">
        <w:t xml:space="preserve"> the</w:t>
      </w:r>
      <w:r w:rsidR="0057152C">
        <w:t xml:space="preserve"> modern digital marketplace. </w:t>
      </w:r>
      <w:r>
        <w:t>This is necessary to ensure provincial consumer protection laws remain relevant and accessible for Ontario’s consumers and businesses.</w:t>
      </w:r>
      <w:r w:rsidR="006A61CD">
        <w:t xml:space="preserve"> </w:t>
      </w:r>
    </w:p>
    <w:p w14:paraId="556E2FEB" w14:textId="05E37260" w:rsidR="00580CC6" w:rsidRDefault="00580CC6" w:rsidP="00580CC6">
      <w:r>
        <w:t>The LCO is mindful that not all ToS are opaque and inscrutable. Many terms strike a fair bargain between transactional expediency and consumer clarity. Many transactions also take place where consumers can foresee risks, benefits, and make a reasonably informed decision.</w:t>
      </w:r>
      <w:r w:rsidR="009E0094">
        <w:t xml:space="preserve"> </w:t>
      </w:r>
      <w:r>
        <w:t>Nevertheless, we have concluded there is an urgent need for law reform.</w:t>
      </w:r>
      <w:r w:rsidR="009E0094">
        <w:t xml:space="preserve"> </w:t>
      </w:r>
    </w:p>
    <w:p w14:paraId="26B1063F" w14:textId="74815CE3" w:rsidR="00DA7658" w:rsidRDefault="00DA7658" w:rsidP="00DA7658">
      <w:bookmarkStart w:id="11" w:name="_Hlk138066479"/>
      <w:r>
        <w:t>The LCO’s project will conclude with an independent, evidence-based, and comprehensive analysis of these issues. The LCO’s Final Report will recommend reforms to laws, policies, and/or practices where it is appropriate to do so.</w:t>
      </w:r>
      <w:bookmarkEnd w:id="11"/>
    </w:p>
    <w:p w14:paraId="51F34EB7" w14:textId="547E2E20" w:rsidR="003250E6" w:rsidRDefault="003250E6" w:rsidP="00F7121F"/>
    <w:p w14:paraId="6D85BE78" w14:textId="77777777" w:rsidR="00FC7D2C" w:rsidRDefault="00FC7D2C" w:rsidP="00F7121F"/>
    <w:p w14:paraId="0E8EB9F0" w14:textId="77777777" w:rsidR="00FC7D2C" w:rsidRDefault="00FC7D2C" w:rsidP="00F7121F"/>
    <w:p w14:paraId="1AA21A96" w14:textId="07BC612A" w:rsidR="00943449" w:rsidRPr="00512FA5" w:rsidRDefault="00943449" w:rsidP="007A41A0">
      <w:pPr>
        <w:pStyle w:val="Heading2"/>
        <w:numPr>
          <w:ilvl w:val="1"/>
          <w:numId w:val="1"/>
        </w:numPr>
      </w:pPr>
      <w:bookmarkStart w:id="12" w:name="_Toc138151820"/>
      <w:r w:rsidRPr="00512FA5">
        <w:lastRenderedPageBreak/>
        <w:t>About the LCO</w:t>
      </w:r>
      <w:bookmarkEnd w:id="12"/>
      <w:r w:rsidRPr="00512FA5">
        <w:t xml:space="preserve"> </w:t>
      </w:r>
    </w:p>
    <w:p w14:paraId="24595CEF" w14:textId="77777777" w:rsidR="006F6114" w:rsidRDefault="006F6114" w:rsidP="007A41A0"/>
    <w:p w14:paraId="2FC314DE" w14:textId="1DCC9C2F" w:rsidR="00943449" w:rsidRPr="0005325C" w:rsidRDefault="00943449" w:rsidP="007A41A0">
      <w:bookmarkStart w:id="13" w:name="_Hlk138066500"/>
      <w:r w:rsidRPr="0005325C">
        <w:t>The Law Commission of Ontario (LCO) is Ontario’s leading law reform agency.</w:t>
      </w:r>
      <w:r w:rsidR="009E0094">
        <w:t xml:space="preserve"> </w:t>
      </w:r>
      <w:r w:rsidRPr="0005325C">
        <w:t>The LCO provides independent, balanced, and authoritative advice on complex and important legal policy issues.</w:t>
      </w:r>
      <w:r w:rsidR="009E0094">
        <w:t xml:space="preserve"> </w:t>
      </w:r>
      <w:r w:rsidRPr="0005325C">
        <w:t>Through this work, the LCO promotes access to justice, evidence-based law reform</w:t>
      </w:r>
      <w:r w:rsidR="00AF2F60">
        <w:t>,</w:t>
      </w:r>
      <w:r w:rsidRPr="0005325C">
        <w:t xml:space="preserve"> and public debate.</w:t>
      </w:r>
      <w:r w:rsidR="009E0094">
        <w:t xml:space="preserve"> </w:t>
      </w:r>
      <w:bookmarkEnd w:id="13"/>
    </w:p>
    <w:p w14:paraId="6A04432A" w14:textId="3A0F20FB" w:rsidR="00943449" w:rsidRDefault="00943449" w:rsidP="00943449">
      <w:r w:rsidRPr="0005325C">
        <w:t>The LCO evaluates laws impartially, transparently, and broadly.</w:t>
      </w:r>
      <w:r w:rsidR="009E0094">
        <w:t xml:space="preserve"> </w:t>
      </w:r>
      <w:r w:rsidRPr="0005325C">
        <w:t>The LCO’s analysis is informed by legal analysis; multi-disciplinary research; contemporary social, demographic, and economic conditions; and the impact of technology.</w:t>
      </w:r>
    </w:p>
    <w:p w14:paraId="3B92A11B" w14:textId="175CB795" w:rsidR="007967B3" w:rsidRPr="002B53EB" w:rsidRDefault="00F808A4" w:rsidP="00943449">
      <w:r w:rsidRPr="002B53EB">
        <w:t>This is the latest in a series of LCO projects and reports considering the impact of technology on Ontario’s justice system.</w:t>
      </w:r>
      <w:r w:rsidR="009E0094" w:rsidRPr="002B53EB">
        <w:t xml:space="preserve"> </w:t>
      </w:r>
      <w:r w:rsidR="00DA7658" w:rsidRPr="002B53EB">
        <w:t xml:space="preserve">An abbreviated list of </w:t>
      </w:r>
      <w:r w:rsidR="007967B3" w:rsidRPr="002B53EB">
        <w:t xml:space="preserve">LCO </w:t>
      </w:r>
      <w:r w:rsidR="00DA7658" w:rsidRPr="002B53EB">
        <w:t>“digital rights” projects and reports include</w:t>
      </w:r>
      <w:r w:rsidR="007967B3" w:rsidRPr="002B53EB">
        <w:t>:</w:t>
      </w:r>
    </w:p>
    <w:p w14:paraId="00ED399D" w14:textId="77777777" w:rsidR="00DA7658" w:rsidRPr="002B53EB" w:rsidRDefault="00000000" w:rsidP="00470F77">
      <w:pPr>
        <w:pStyle w:val="ListParagraph"/>
        <w:numPr>
          <w:ilvl w:val="0"/>
          <w:numId w:val="71"/>
        </w:numPr>
        <w:rPr>
          <w:rStyle w:val="Hyperlink"/>
        </w:rPr>
      </w:pPr>
      <w:hyperlink r:id="rId20" w:history="1">
        <w:r w:rsidR="00DA7658" w:rsidRPr="002B53EB">
          <w:rPr>
            <w:rStyle w:val="Hyperlink"/>
          </w:rPr>
          <w:t>Artificial Intelligence in the Criminal Justice System</w:t>
        </w:r>
      </w:hyperlink>
    </w:p>
    <w:p w14:paraId="4E6F6692" w14:textId="77777777" w:rsidR="00DA7658" w:rsidRPr="002B53EB" w:rsidRDefault="00000000" w:rsidP="00470F77">
      <w:pPr>
        <w:pStyle w:val="ListParagraph"/>
        <w:numPr>
          <w:ilvl w:val="0"/>
          <w:numId w:val="71"/>
        </w:numPr>
      </w:pPr>
      <w:hyperlink r:id="rId21" w:history="1">
        <w:r w:rsidR="00DA7658" w:rsidRPr="002B53EB">
          <w:rPr>
            <w:rStyle w:val="Hyperlink"/>
          </w:rPr>
          <w:t>AI in the Civil/Administrative Justice System</w:t>
        </w:r>
      </w:hyperlink>
    </w:p>
    <w:p w14:paraId="503984E9" w14:textId="665A354E" w:rsidR="00273F01" w:rsidRPr="002B53EB" w:rsidRDefault="00000000" w:rsidP="00470F77">
      <w:pPr>
        <w:pStyle w:val="ListParagraph"/>
        <w:numPr>
          <w:ilvl w:val="0"/>
          <w:numId w:val="71"/>
        </w:numPr>
        <w:rPr>
          <w:rStyle w:val="Hyperlink"/>
          <w:color w:val="auto"/>
          <w:u w:val="none"/>
        </w:rPr>
      </w:pPr>
      <w:hyperlink r:id="rId22" w:history="1">
        <w:r w:rsidR="00273F01" w:rsidRPr="002B53EB">
          <w:rPr>
            <w:rStyle w:val="Hyperlink"/>
          </w:rPr>
          <w:t>Accountable AI: Final Report</w:t>
        </w:r>
      </w:hyperlink>
      <w:r w:rsidR="00DA7658" w:rsidRPr="002B53EB">
        <w:rPr>
          <w:rStyle w:val="Hyperlink"/>
        </w:rPr>
        <w:t xml:space="preserve"> (2022)</w:t>
      </w:r>
    </w:p>
    <w:p w14:paraId="7BEB4F4D" w14:textId="77777777" w:rsidR="00DA7658" w:rsidRPr="002B53EB" w:rsidRDefault="00000000" w:rsidP="00470F77">
      <w:pPr>
        <w:pStyle w:val="ListParagraph"/>
        <w:numPr>
          <w:ilvl w:val="0"/>
          <w:numId w:val="71"/>
        </w:numPr>
      </w:pPr>
      <w:hyperlink r:id="rId23" w:history="1">
        <w:r w:rsidR="00DA7658" w:rsidRPr="002B53EB">
          <w:rPr>
            <w:rStyle w:val="Hyperlink"/>
          </w:rPr>
          <w:t>Regulating AI: Critical Issues and Choices</w:t>
        </w:r>
      </w:hyperlink>
      <w:r w:rsidR="00DA7658" w:rsidRPr="002B53EB">
        <w:t xml:space="preserve"> (2021)</w:t>
      </w:r>
    </w:p>
    <w:p w14:paraId="0D4E408D" w14:textId="77777777" w:rsidR="00DA7658" w:rsidRPr="002B53EB" w:rsidRDefault="00000000" w:rsidP="00470F77">
      <w:pPr>
        <w:pStyle w:val="ListParagraph"/>
        <w:numPr>
          <w:ilvl w:val="0"/>
          <w:numId w:val="71"/>
        </w:numPr>
      </w:pPr>
      <w:hyperlink r:id="rId24" w:history="1">
        <w:r w:rsidR="00DA7658" w:rsidRPr="002B53EB">
          <w:rPr>
            <w:rStyle w:val="Hyperlink"/>
          </w:rPr>
          <w:t>Defamation Law in the Internet Age</w:t>
        </w:r>
      </w:hyperlink>
      <w:r w:rsidR="00DA7658" w:rsidRPr="002B53EB">
        <w:t xml:space="preserve"> (2020)</w:t>
      </w:r>
    </w:p>
    <w:p w14:paraId="46C7C24F" w14:textId="2B82DE80" w:rsidR="00DA7658" w:rsidRPr="002B53EB" w:rsidRDefault="00DA7658" w:rsidP="007A41A0">
      <w:r w:rsidRPr="002B53EB">
        <w:t xml:space="preserve">The LCO is also undertaking projects </w:t>
      </w:r>
      <w:r w:rsidR="005B4ADA" w:rsidRPr="002B53EB">
        <w:t>addressing:</w:t>
      </w:r>
    </w:p>
    <w:p w14:paraId="416420C9" w14:textId="26D1D37A" w:rsidR="007967B3" w:rsidRPr="002B53EB" w:rsidRDefault="00000000" w:rsidP="00470F77">
      <w:pPr>
        <w:pStyle w:val="ListParagraph"/>
        <w:numPr>
          <w:ilvl w:val="0"/>
          <w:numId w:val="26"/>
        </w:numPr>
      </w:pPr>
      <w:hyperlink r:id="rId25" w:history="1">
        <w:r w:rsidR="00273F01" w:rsidRPr="002B53EB">
          <w:rPr>
            <w:rStyle w:val="Hyperlink"/>
          </w:rPr>
          <w:t>Environmental Accountability: Rights, Responsibilities and Access to Justice</w:t>
        </w:r>
      </w:hyperlink>
    </w:p>
    <w:p w14:paraId="1A018BB0" w14:textId="0BC36851" w:rsidR="005B4ADA" w:rsidRPr="002B53EB" w:rsidRDefault="00000000" w:rsidP="00470F77">
      <w:pPr>
        <w:pStyle w:val="ListParagraph"/>
        <w:numPr>
          <w:ilvl w:val="0"/>
          <w:numId w:val="26"/>
        </w:numPr>
      </w:pPr>
      <w:hyperlink r:id="rId26" w:history="1">
        <w:r w:rsidR="005B4ADA" w:rsidRPr="002B53EB">
          <w:rPr>
            <w:rStyle w:val="Hyperlink"/>
          </w:rPr>
          <w:t>Improving Protection Orders</w:t>
        </w:r>
      </w:hyperlink>
    </w:p>
    <w:p w14:paraId="5AAAC69C" w14:textId="3FC23F42" w:rsidR="00273F01" w:rsidRPr="002B53EB" w:rsidRDefault="00000000" w:rsidP="00470F77">
      <w:pPr>
        <w:pStyle w:val="ListParagraph"/>
        <w:numPr>
          <w:ilvl w:val="0"/>
          <w:numId w:val="26"/>
        </w:numPr>
      </w:pPr>
      <w:hyperlink r:id="rId27" w:history="1">
        <w:r w:rsidR="00273F01" w:rsidRPr="002B53EB">
          <w:rPr>
            <w:rStyle w:val="Hyperlink"/>
          </w:rPr>
          <w:t>Last Stages of Life for First Nation, Métis and Inuit Peoples: Preliminary Recommendations for Law Reform</w:t>
        </w:r>
      </w:hyperlink>
      <w:r w:rsidR="00EA0949" w:rsidRPr="002B53EB">
        <w:t>.</w:t>
      </w:r>
    </w:p>
    <w:p w14:paraId="2D4643B9" w14:textId="00AE24E1" w:rsidR="00943449" w:rsidRPr="0005325C" w:rsidRDefault="00943449" w:rsidP="00943449">
      <w:bookmarkStart w:id="14" w:name="_Hlk138066526"/>
      <w:r w:rsidRPr="0005325C">
        <w:t>The LCO is located at Osgoode Hall Law School, York University, Toronto.</w:t>
      </w:r>
      <w:r w:rsidR="009E0094">
        <w:t xml:space="preserve"> </w:t>
      </w:r>
      <w:bookmarkEnd w:id="14"/>
    </w:p>
    <w:p w14:paraId="736E33C0" w14:textId="3FED2B69" w:rsidR="006F6114" w:rsidRDefault="00943449" w:rsidP="006F6114">
      <w:r w:rsidRPr="0005325C">
        <w:t xml:space="preserve">More information about the LCO is available at </w:t>
      </w:r>
      <w:hyperlink r:id="rId28" w:history="1">
        <w:r w:rsidRPr="0005325C">
          <w:rPr>
            <w:rStyle w:val="Hyperlink"/>
          </w:rPr>
          <w:t>www.lco-cdo.org</w:t>
        </w:r>
      </w:hyperlink>
      <w:r w:rsidR="006F6114">
        <w:t>.</w:t>
      </w:r>
    </w:p>
    <w:p w14:paraId="08A73763" w14:textId="77777777" w:rsidR="00894DBA" w:rsidRDefault="00894DBA" w:rsidP="006F6114"/>
    <w:p w14:paraId="41329FE0" w14:textId="27F45544" w:rsidR="00983BE6" w:rsidRPr="002D20E5" w:rsidRDefault="0066550A" w:rsidP="007A41A0">
      <w:pPr>
        <w:pStyle w:val="Heading2"/>
        <w:numPr>
          <w:ilvl w:val="1"/>
          <w:numId w:val="1"/>
        </w:numPr>
      </w:pPr>
      <w:bookmarkStart w:id="15" w:name="_Toc138151821"/>
      <w:r w:rsidRPr="002D20E5">
        <w:t>Catalysts for Reform</w:t>
      </w:r>
      <w:bookmarkEnd w:id="15"/>
    </w:p>
    <w:p w14:paraId="27526355" w14:textId="6225A9C5" w:rsidR="002D20E5" w:rsidRDefault="002D20E5" w:rsidP="002D20E5">
      <w:pPr>
        <w:spacing w:before="100" w:beforeAutospacing="1" w:after="100" w:afterAutospacing="1"/>
      </w:pPr>
      <w:r>
        <w:t xml:space="preserve">Ontario’s </w:t>
      </w:r>
      <w:r w:rsidR="002B53EB" w:rsidRPr="002B53EB">
        <w:rPr>
          <w:rFonts w:cs="Times New Roman"/>
          <w:szCs w:val="24"/>
          <w:lang w:val="en-US"/>
        </w:rPr>
        <w:t>CPA</w:t>
      </w:r>
      <w:r>
        <w:rPr>
          <w:rFonts w:cs="Times New Roman"/>
          <w:szCs w:val="24"/>
          <w:lang w:val="en-US"/>
        </w:rPr>
        <w:t xml:space="preserve"> was enacted </w:t>
      </w:r>
      <w:r w:rsidR="00AF2F60">
        <w:rPr>
          <w:rFonts w:cs="Times New Roman"/>
          <w:szCs w:val="24"/>
          <w:lang w:val="en-US"/>
        </w:rPr>
        <w:t>in 2002</w:t>
      </w:r>
      <w:r w:rsidRPr="00AE4246">
        <w:rPr>
          <w:rStyle w:val="EndnoteReference"/>
          <w:rFonts w:cs="Times New Roman"/>
          <w:szCs w:val="24"/>
          <w:lang w:val="en-US"/>
        </w:rPr>
        <w:endnoteReference w:id="7"/>
      </w:r>
      <w:r>
        <w:rPr>
          <w:rFonts w:cs="Times New Roman"/>
          <w:i/>
          <w:iCs/>
          <w:szCs w:val="24"/>
          <w:lang w:val="en-US"/>
        </w:rPr>
        <w:t xml:space="preserve"> </w:t>
      </w:r>
      <w:r w:rsidR="00A47A5D">
        <w:rPr>
          <w:rFonts w:cs="Times New Roman"/>
          <w:szCs w:val="24"/>
          <w:lang w:val="en-US"/>
        </w:rPr>
        <w:t xml:space="preserve">and has not </w:t>
      </w:r>
      <w:r w:rsidR="00A47A5D">
        <w:t>been substantially amended in 17 years.</w:t>
      </w:r>
      <w:r w:rsidR="00A47A5D">
        <w:rPr>
          <w:rStyle w:val="EndnoteReference"/>
        </w:rPr>
        <w:endnoteReference w:id="8"/>
      </w:r>
      <w:r w:rsidR="00A47A5D">
        <w:t xml:space="preserve"> </w:t>
      </w:r>
    </w:p>
    <w:p w14:paraId="563042B0" w14:textId="59EED809" w:rsidR="009955F6" w:rsidRDefault="00F808A4" w:rsidP="00ED42F3">
      <w:pPr>
        <w:spacing w:after="0"/>
      </w:pPr>
      <w:r>
        <w:t xml:space="preserve">Since then, </w:t>
      </w:r>
      <w:r w:rsidR="002C14DA">
        <w:t>Ontario</w:t>
      </w:r>
      <w:r>
        <w:t xml:space="preserve">’s </w:t>
      </w:r>
      <w:r w:rsidR="00AC4D9B">
        <w:t xml:space="preserve">online or digital </w:t>
      </w:r>
      <w:r>
        <w:t>economy has grown substantially.</w:t>
      </w:r>
      <w:r w:rsidR="009E0094">
        <w:t xml:space="preserve"> </w:t>
      </w:r>
      <w:r w:rsidR="002C14DA">
        <w:t>Th</w:t>
      </w:r>
      <w:r>
        <w:t xml:space="preserve">e </w:t>
      </w:r>
      <w:r w:rsidR="002C14DA">
        <w:t xml:space="preserve">“digital marketplace” </w:t>
      </w:r>
      <w:r w:rsidR="00BC6FF9">
        <w:t xml:space="preserve">now facilitates a multitude of consumer transactions which </w:t>
      </w:r>
      <w:r w:rsidR="002C14DA">
        <w:t>rel</w:t>
      </w:r>
      <w:r w:rsidR="00BC6FF9">
        <w:t>y</w:t>
      </w:r>
      <w:r w:rsidR="002C14DA">
        <w:t xml:space="preserve"> </w:t>
      </w:r>
      <w:r>
        <w:t xml:space="preserve">on new </w:t>
      </w:r>
      <w:r w:rsidR="002C14DA">
        <w:t>contracting arrangements</w:t>
      </w:r>
      <w:r>
        <w:t xml:space="preserve">, </w:t>
      </w:r>
      <w:r w:rsidR="00022D98">
        <w:t xml:space="preserve">technologies, </w:t>
      </w:r>
      <w:r w:rsidR="002C14DA">
        <w:t xml:space="preserve">business models, and </w:t>
      </w:r>
      <w:r w:rsidR="00022D98">
        <w:t>marketplace practices</w:t>
      </w:r>
      <w:r w:rsidR="00AC4D9B">
        <w:t>.</w:t>
      </w:r>
      <w:r w:rsidR="009E0094">
        <w:t xml:space="preserve"> </w:t>
      </w:r>
      <w:r w:rsidR="00AC4D9B">
        <w:t>Many, if not most, of these arrangements and practices are not addressed in Ontario’s CPA.</w:t>
      </w:r>
    </w:p>
    <w:p w14:paraId="6A63F019" w14:textId="77777777" w:rsidR="00A47A5D" w:rsidRDefault="00A47A5D" w:rsidP="00A47A5D">
      <w:pPr>
        <w:rPr>
          <w:b/>
          <w:bCs/>
          <w:highlight w:val="lightGray"/>
        </w:rPr>
      </w:pPr>
    </w:p>
    <w:p w14:paraId="28199284" w14:textId="17FD459A" w:rsidR="00A47A5D" w:rsidRPr="00386C26" w:rsidRDefault="00A47A5D" w:rsidP="00A47A5D">
      <w:r w:rsidRPr="00386C26">
        <w:rPr>
          <w:b/>
          <w:bCs/>
          <w:highlight w:val="lightGray"/>
        </w:rPr>
        <w:t>SIDEBAR</w:t>
      </w:r>
      <w:r w:rsidRPr="00386C26">
        <w:rPr>
          <w:highlight w:val="lightGray"/>
        </w:rPr>
        <w:t>: A survey conducted in April 2021 identified 155 online marketplaces for goods with over one million monthly visitors.</w:t>
      </w:r>
      <w:r w:rsidRPr="00386C26">
        <w:rPr>
          <w:rStyle w:val="EndnoteReference"/>
          <w:highlight w:val="lightGray"/>
        </w:rPr>
        <w:endnoteReference w:id="9"/>
      </w:r>
    </w:p>
    <w:p w14:paraId="25970EF9" w14:textId="147B417E" w:rsidR="00ED42F3" w:rsidRDefault="00ED42F3" w:rsidP="00ED42F3">
      <w:pPr>
        <w:spacing w:after="0"/>
      </w:pPr>
    </w:p>
    <w:p w14:paraId="07C730D1" w14:textId="141EF68C" w:rsidR="00DE0055" w:rsidRDefault="004B24D7" w:rsidP="00DE0055">
      <w:pPr>
        <w:spacing w:after="0"/>
      </w:pPr>
      <w:r>
        <w:t>As mentioned above, t</w:t>
      </w:r>
      <w:r w:rsidR="00BC1743">
        <w:t>he Government of Ontario appears committed to consumer protection reform.</w:t>
      </w:r>
      <w:r w:rsidR="009E0094">
        <w:t xml:space="preserve"> </w:t>
      </w:r>
      <w:r w:rsidR="00F55FAF">
        <w:t>Government c</w:t>
      </w:r>
      <w:r w:rsidR="00DE0055">
        <w:t>onsultations conducted in May 2023 propose</w:t>
      </w:r>
      <w:r w:rsidR="00A70B13">
        <w:t>d</w:t>
      </w:r>
      <w:r w:rsidR="00DE0055">
        <w:t xml:space="preserve"> a</w:t>
      </w:r>
      <w:r w:rsidR="00BC1743">
        <w:t xml:space="preserve"> range of important CPA reforms. The LCO commends the province for this initiative.</w:t>
      </w:r>
      <w:r w:rsidR="009E0094">
        <w:t xml:space="preserve"> </w:t>
      </w:r>
      <w:r w:rsidR="00BC1743">
        <w:t xml:space="preserve">That said, the LCO believes that the provincial government’s </w:t>
      </w:r>
      <w:r w:rsidR="00BC1743">
        <w:lastRenderedPageBreak/>
        <w:t>proposals do not go far enough.</w:t>
      </w:r>
      <w:r w:rsidR="009E0094">
        <w:t xml:space="preserve"> </w:t>
      </w:r>
      <w:r w:rsidR="00BC1743">
        <w:t>In our view, comprehensive consumer protection reform must address a broad range of complex issues specific to the digital marketplace.</w:t>
      </w:r>
      <w:r w:rsidR="009E0094">
        <w:t xml:space="preserve"> </w:t>
      </w:r>
      <w:r w:rsidR="00AC4D9B">
        <w:t>This is necessary to ensure consumer protection laws remain relevant and accessible for Ontario’s consumers and online businesses.</w:t>
      </w:r>
      <w:r w:rsidR="00DE0055" w:rsidRPr="00DE0055">
        <w:t xml:space="preserve"> </w:t>
      </w:r>
    </w:p>
    <w:p w14:paraId="7F3F0478" w14:textId="77777777" w:rsidR="00DE0055" w:rsidRDefault="00DE0055" w:rsidP="00DE0055">
      <w:pPr>
        <w:spacing w:after="0"/>
      </w:pPr>
    </w:p>
    <w:p w14:paraId="63C30251" w14:textId="06CED159" w:rsidR="00DE0055" w:rsidRDefault="00DE0055" w:rsidP="00DE0055">
      <w:pPr>
        <w:spacing w:after="0"/>
      </w:pPr>
      <w:r>
        <w:t>The section below summarizes the major catalysts driving the LCO’s project.</w:t>
      </w:r>
    </w:p>
    <w:p w14:paraId="2BB8007C" w14:textId="4B3CB790" w:rsidR="00BC1743" w:rsidRDefault="00BC1743" w:rsidP="00DE0055"/>
    <w:p w14:paraId="2E148DE5" w14:textId="177C9104" w:rsidR="008E49B7" w:rsidRPr="00386C26" w:rsidRDefault="008E49B7" w:rsidP="008E49B7">
      <w:r w:rsidRPr="00386C26">
        <w:rPr>
          <w:b/>
          <w:bCs/>
          <w:highlight w:val="lightGray"/>
        </w:rPr>
        <w:t>SIDEBAR</w:t>
      </w:r>
      <w:r w:rsidRPr="00386C26">
        <w:rPr>
          <w:highlight w:val="lightGray"/>
        </w:rPr>
        <w:t xml:space="preserve">: </w:t>
      </w:r>
      <w:r w:rsidR="00105E60">
        <w:rPr>
          <w:b/>
          <w:bCs/>
          <w:highlight w:val="lightGray"/>
        </w:rPr>
        <w:t>W</w:t>
      </w:r>
      <w:r w:rsidRPr="00BB106B">
        <w:rPr>
          <w:b/>
          <w:bCs/>
          <w:highlight w:val="lightGray"/>
        </w:rPr>
        <w:t xml:space="preserve">hat </w:t>
      </w:r>
      <w:r w:rsidR="00105E60" w:rsidRPr="00BB106B">
        <w:rPr>
          <w:b/>
          <w:bCs/>
          <w:highlight w:val="lightGray"/>
        </w:rPr>
        <w:t xml:space="preserve">Are Consumers Concerned </w:t>
      </w:r>
      <w:r w:rsidR="00105E60">
        <w:rPr>
          <w:b/>
          <w:bCs/>
          <w:highlight w:val="lightGray"/>
        </w:rPr>
        <w:t xml:space="preserve">About? </w:t>
      </w:r>
      <w:r w:rsidRPr="00386C26">
        <w:rPr>
          <w:highlight w:val="lightGray"/>
        </w:rPr>
        <w:t>In 2021</w:t>
      </w:r>
      <w:r w:rsidR="5C8C8C02" w:rsidRPr="00386C26">
        <w:rPr>
          <w:highlight w:val="lightGray"/>
        </w:rPr>
        <w:t>,</w:t>
      </w:r>
      <w:r w:rsidRPr="00386C26">
        <w:rPr>
          <w:highlight w:val="lightGray"/>
        </w:rPr>
        <w:t xml:space="preserve"> the Organization for Economic Cooperation and Development </w:t>
      </w:r>
      <w:r w:rsidR="00BB106B">
        <w:rPr>
          <w:highlight w:val="lightGray"/>
        </w:rPr>
        <w:t xml:space="preserve">(OECD) </w:t>
      </w:r>
      <w:r w:rsidRPr="00386C26">
        <w:rPr>
          <w:highlight w:val="lightGray"/>
        </w:rPr>
        <w:t xml:space="preserve">surveyed 28 countries and 15 leading </w:t>
      </w:r>
      <w:r w:rsidR="00DC2763" w:rsidRPr="00386C26">
        <w:rPr>
          <w:highlight w:val="lightGray"/>
        </w:rPr>
        <w:t xml:space="preserve">companies about issues with </w:t>
      </w:r>
      <w:r w:rsidR="00A70B13">
        <w:rPr>
          <w:highlight w:val="lightGray"/>
        </w:rPr>
        <w:t xml:space="preserve">the </w:t>
      </w:r>
      <w:r w:rsidRPr="00386C26">
        <w:rPr>
          <w:highlight w:val="lightGray"/>
        </w:rPr>
        <w:t xml:space="preserve">digital marketplace. </w:t>
      </w:r>
      <w:r w:rsidR="00DC2763" w:rsidRPr="00386C26">
        <w:rPr>
          <w:highlight w:val="lightGray"/>
        </w:rPr>
        <w:t>L</w:t>
      </w:r>
      <w:r w:rsidRPr="00386C26">
        <w:rPr>
          <w:highlight w:val="lightGray"/>
        </w:rPr>
        <w:t xml:space="preserve">eading causes of consumer complaints </w:t>
      </w:r>
      <w:r w:rsidR="00DC2763" w:rsidRPr="00386C26">
        <w:rPr>
          <w:highlight w:val="lightGray"/>
        </w:rPr>
        <w:t xml:space="preserve">in the digital marketplace </w:t>
      </w:r>
      <w:r w:rsidRPr="00386C26">
        <w:rPr>
          <w:highlight w:val="lightGray"/>
        </w:rPr>
        <w:t>includ</w:t>
      </w:r>
      <w:r w:rsidR="00BC1743">
        <w:rPr>
          <w:highlight w:val="lightGray"/>
        </w:rPr>
        <w:t>ed</w:t>
      </w:r>
      <w:r w:rsidR="00BB106B">
        <w:rPr>
          <w:highlight w:val="lightGray"/>
        </w:rPr>
        <w:t xml:space="preserve"> </w:t>
      </w:r>
      <w:r w:rsidR="00BB106B" w:rsidRPr="00386C26">
        <w:rPr>
          <w:highlight w:val="lightGray"/>
        </w:rPr>
        <w:t>“misleading marketing practices</w:t>
      </w:r>
      <w:r w:rsidR="00BB106B">
        <w:rPr>
          <w:highlight w:val="lightGray"/>
        </w:rPr>
        <w:t>,</w:t>
      </w:r>
      <w:r w:rsidR="00BB106B" w:rsidRPr="00386C26">
        <w:rPr>
          <w:highlight w:val="lightGray"/>
        </w:rPr>
        <w:t xml:space="preserve">” “dispute resolution or lack thereof” </w:t>
      </w:r>
      <w:r w:rsidR="00BB106B">
        <w:rPr>
          <w:highlight w:val="lightGray"/>
        </w:rPr>
        <w:t>and</w:t>
      </w:r>
      <w:r w:rsidR="00BC1743">
        <w:rPr>
          <w:highlight w:val="lightGray"/>
        </w:rPr>
        <w:t xml:space="preserve"> </w:t>
      </w:r>
      <w:r w:rsidRPr="00386C26">
        <w:rPr>
          <w:highlight w:val="lightGray"/>
        </w:rPr>
        <w:t>“unfair terms and conditions</w:t>
      </w:r>
      <w:r w:rsidR="00BB106B">
        <w:rPr>
          <w:highlight w:val="lightGray"/>
        </w:rPr>
        <w:t>.</w:t>
      </w:r>
      <w:r w:rsidRPr="00386C26">
        <w:rPr>
          <w:highlight w:val="lightGray"/>
        </w:rPr>
        <w:t>”</w:t>
      </w:r>
      <w:r w:rsidRPr="00386C26">
        <w:rPr>
          <w:rStyle w:val="EndnoteReference"/>
          <w:highlight w:val="lightGray"/>
        </w:rPr>
        <w:endnoteReference w:id="10"/>
      </w:r>
    </w:p>
    <w:p w14:paraId="76AB0617" w14:textId="77777777" w:rsidR="003E39D2" w:rsidRPr="003E39D2" w:rsidRDefault="003E39D2" w:rsidP="007A41A0">
      <w:pPr>
        <w:spacing w:after="0"/>
      </w:pPr>
    </w:p>
    <w:p w14:paraId="7911883D" w14:textId="0D880063" w:rsidR="00177A44" w:rsidRPr="007A41A0" w:rsidRDefault="003B7AA0" w:rsidP="003B7AA0">
      <w:pPr>
        <w:pStyle w:val="Heading3"/>
      </w:pPr>
      <w:bookmarkStart w:id="16" w:name="_Toc138151822"/>
      <w:r>
        <w:t>1.3.1</w:t>
      </w:r>
      <w:r>
        <w:tab/>
      </w:r>
      <w:r w:rsidR="00645740" w:rsidRPr="007A41A0">
        <w:t xml:space="preserve">Digital </w:t>
      </w:r>
      <w:r w:rsidR="005D0E77" w:rsidRPr="007A41A0">
        <w:t xml:space="preserve">ToS </w:t>
      </w:r>
      <w:r w:rsidR="00177A44" w:rsidRPr="007A41A0">
        <w:t xml:space="preserve">Contracts </w:t>
      </w:r>
      <w:r w:rsidR="000C2E0F" w:rsidRPr="007A41A0">
        <w:t xml:space="preserve">May </w:t>
      </w:r>
      <w:r w:rsidR="00771D0A" w:rsidRPr="007A41A0">
        <w:t xml:space="preserve">Undermine </w:t>
      </w:r>
      <w:r w:rsidR="00177A44" w:rsidRPr="007A41A0">
        <w:t>Traditional Consumer Protection</w:t>
      </w:r>
      <w:r w:rsidR="00771D0A" w:rsidRPr="007A41A0">
        <w:t>s</w:t>
      </w:r>
      <w:r w:rsidR="00177A44" w:rsidRPr="007A41A0">
        <w:t xml:space="preserve"> </w:t>
      </w:r>
      <w:r w:rsidR="00771D0A" w:rsidRPr="007A41A0">
        <w:t xml:space="preserve">and </w:t>
      </w:r>
      <w:r w:rsidR="00177A44" w:rsidRPr="007A41A0">
        <w:t>Principles</w:t>
      </w:r>
      <w:bookmarkEnd w:id="16"/>
      <w:r w:rsidR="00177A44" w:rsidRPr="007A41A0">
        <w:t xml:space="preserve"> </w:t>
      </w:r>
    </w:p>
    <w:p w14:paraId="21736CDC" w14:textId="77777777" w:rsidR="00AC4D9B" w:rsidRDefault="00AC4D9B" w:rsidP="007A41A0">
      <w:pPr>
        <w:spacing w:after="0"/>
        <w:rPr>
          <w:bCs/>
        </w:rPr>
      </w:pPr>
    </w:p>
    <w:p w14:paraId="074EF0F2" w14:textId="27D4CDAE" w:rsidR="00C354D5" w:rsidRDefault="00C354D5" w:rsidP="00ED42F3">
      <w:pPr>
        <w:rPr>
          <w:b/>
          <w:bCs/>
        </w:rPr>
      </w:pPr>
      <w:r>
        <w:rPr>
          <w:b/>
          <w:bCs/>
        </w:rPr>
        <w:t xml:space="preserve">Consumer Consent May Be Illusory </w:t>
      </w:r>
    </w:p>
    <w:p w14:paraId="3635B1B8" w14:textId="7D1C7029" w:rsidR="00B564DC" w:rsidRDefault="00A025D3" w:rsidP="00B564DC">
      <w:r>
        <w:rPr>
          <w:lang w:val="en-US"/>
        </w:rPr>
        <w:t xml:space="preserve">Academic research and practical experience demonstrate that </w:t>
      </w:r>
      <w:r w:rsidR="00C74838">
        <w:rPr>
          <w:lang w:val="en-US"/>
        </w:rPr>
        <w:t>ToS</w:t>
      </w:r>
      <w:r>
        <w:rPr>
          <w:lang w:val="en-US"/>
        </w:rPr>
        <w:t xml:space="preserve"> contracts are </w:t>
      </w:r>
      <w:r w:rsidR="00022D98">
        <w:rPr>
          <w:lang w:val="en-US"/>
        </w:rPr>
        <w:t xml:space="preserve">often </w:t>
      </w:r>
      <w:r>
        <w:rPr>
          <w:lang w:val="en-US"/>
        </w:rPr>
        <w:t xml:space="preserve">long, </w:t>
      </w:r>
      <w:r w:rsidR="003B24B3">
        <w:rPr>
          <w:lang w:val="en-US"/>
        </w:rPr>
        <w:t xml:space="preserve">not read and/or </w:t>
      </w:r>
      <w:r w:rsidR="00022D98">
        <w:rPr>
          <w:lang w:val="en-US"/>
        </w:rPr>
        <w:t>inaccessible</w:t>
      </w:r>
      <w:r w:rsidR="00512FA5">
        <w:rPr>
          <w:lang w:val="en-US"/>
        </w:rPr>
        <w:t xml:space="preserve"> to many consumers</w:t>
      </w:r>
      <w:r w:rsidR="00512FA5">
        <w:rPr>
          <w:bCs/>
        </w:rPr>
        <w:t>.</w:t>
      </w:r>
      <w:r w:rsidR="00D70FA2">
        <w:rPr>
          <w:bCs/>
        </w:rPr>
        <w:t xml:space="preserve"> </w:t>
      </w:r>
      <w:r w:rsidR="00B564DC">
        <w:t xml:space="preserve">As a result, consumer consent to </w:t>
      </w:r>
      <w:r w:rsidR="00512FA5">
        <w:t xml:space="preserve">digital ToS </w:t>
      </w:r>
      <w:r w:rsidR="00B564DC">
        <w:t xml:space="preserve">may </w:t>
      </w:r>
      <w:r w:rsidR="00512FA5">
        <w:t xml:space="preserve">often </w:t>
      </w:r>
      <w:r w:rsidR="00B564DC">
        <w:t xml:space="preserve">be illusory. </w:t>
      </w:r>
    </w:p>
    <w:p w14:paraId="2FC7715E" w14:textId="4707D2C6" w:rsidR="001A75F1" w:rsidRDefault="001A75F1" w:rsidP="00B564DC">
      <w:pPr>
        <w:rPr>
          <w:b/>
          <w:bCs/>
          <w:highlight w:val="lightGray"/>
        </w:rPr>
      </w:pPr>
      <w:r w:rsidRPr="00386C26">
        <w:rPr>
          <w:b/>
          <w:bCs/>
          <w:highlight w:val="lightGray"/>
        </w:rPr>
        <w:t xml:space="preserve">SIDE BAR: Quick Facts </w:t>
      </w:r>
      <w:r w:rsidR="00105E60">
        <w:rPr>
          <w:b/>
          <w:bCs/>
          <w:highlight w:val="lightGray"/>
        </w:rPr>
        <w:t>A</w:t>
      </w:r>
      <w:r w:rsidRPr="00386C26">
        <w:rPr>
          <w:b/>
          <w:bCs/>
          <w:highlight w:val="lightGray"/>
        </w:rPr>
        <w:t>bout ToS Contracts</w:t>
      </w:r>
    </w:p>
    <w:p w14:paraId="74733905" w14:textId="5DE44D99" w:rsidR="00105E60" w:rsidRPr="008546ED" w:rsidRDefault="00105E60" w:rsidP="00B564DC">
      <w:pPr>
        <w:rPr>
          <w:highlight w:val="lightGray"/>
        </w:rPr>
      </w:pPr>
      <w:r w:rsidRPr="008546ED">
        <w:rPr>
          <w:highlight w:val="lightGray"/>
        </w:rPr>
        <w:t>According to research:</w:t>
      </w:r>
    </w:p>
    <w:p w14:paraId="49F97AE8" w14:textId="77777777" w:rsidR="00064378" w:rsidRPr="00386C26" w:rsidRDefault="00064378" w:rsidP="00470F77">
      <w:pPr>
        <w:pStyle w:val="ListParagraph"/>
        <w:numPr>
          <w:ilvl w:val="0"/>
          <w:numId w:val="27"/>
        </w:numPr>
        <w:rPr>
          <w:b/>
          <w:bCs/>
          <w:highlight w:val="lightGray"/>
        </w:rPr>
      </w:pPr>
      <w:bookmarkStart w:id="17" w:name="_Hlk138060664"/>
      <w:r w:rsidRPr="00386C26">
        <w:rPr>
          <w:highlight w:val="lightGray"/>
        </w:rPr>
        <w:t>91% of adults and 97% of younger adults (18-34) accept legal terms and services without reading them.</w:t>
      </w:r>
      <w:bookmarkStart w:id="18" w:name="_Hlk138060644"/>
      <w:r w:rsidRPr="00386C26">
        <w:rPr>
          <w:rStyle w:val="EndnoteReference"/>
          <w:highlight w:val="lightGray"/>
        </w:rPr>
        <w:endnoteReference w:id="11"/>
      </w:r>
      <w:bookmarkEnd w:id="17"/>
      <w:bookmarkEnd w:id="18"/>
    </w:p>
    <w:p w14:paraId="197924C4" w14:textId="122DD5C4" w:rsidR="00621018" w:rsidRPr="00386C26" w:rsidRDefault="21980798" w:rsidP="00470F77">
      <w:pPr>
        <w:pStyle w:val="ListParagraph"/>
        <w:numPr>
          <w:ilvl w:val="0"/>
          <w:numId w:val="27"/>
        </w:numPr>
        <w:rPr>
          <w:b/>
          <w:bCs/>
          <w:highlight w:val="lightGray"/>
        </w:rPr>
      </w:pPr>
      <w:r w:rsidRPr="00386C26">
        <w:rPr>
          <w:highlight w:val="lightGray"/>
        </w:rPr>
        <w:t>T</w:t>
      </w:r>
      <w:r w:rsidR="00621018" w:rsidRPr="00386C26">
        <w:rPr>
          <w:highlight w:val="lightGray"/>
        </w:rPr>
        <w:t>he average American consumer would need over 250 hours to read through all the ToS they agree to in a year.</w:t>
      </w:r>
      <w:r w:rsidR="00621018" w:rsidRPr="00386C26">
        <w:rPr>
          <w:rStyle w:val="EndnoteReference"/>
          <w:highlight w:val="lightGray"/>
        </w:rPr>
        <w:endnoteReference w:id="12"/>
      </w:r>
      <w:r w:rsidR="00621018" w:rsidRPr="00386C26">
        <w:rPr>
          <w:highlight w:val="lightGray"/>
        </w:rPr>
        <w:t xml:space="preserve"> </w:t>
      </w:r>
    </w:p>
    <w:p w14:paraId="0EE83DE1" w14:textId="036E7FE5" w:rsidR="00621018" w:rsidRPr="00386C26" w:rsidRDefault="00621018" w:rsidP="00470F77">
      <w:pPr>
        <w:pStyle w:val="ListParagraph"/>
        <w:numPr>
          <w:ilvl w:val="0"/>
          <w:numId w:val="27"/>
        </w:numPr>
        <w:rPr>
          <w:b/>
          <w:bCs/>
          <w:highlight w:val="lightGray"/>
        </w:rPr>
      </w:pPr>
      <w:bookmarkStart w:id="19" w:name="_Hlk138060739"/>
      <w:r w:rsidRPr="00386C26">
        <w:rPr>
          <w:highlight w:val="lightGray"/>
        </w:rPr>
        <w:t>ToS have become so sophisticated that an average consumer require</w:t>
      </w:r>
      <w:r w:rsidR="00CA6287" w:rsidRPr="00386C26">
        <w:rPr>
          <w:highlight w:val="lightGray"/>
        </w:rPr>
        <w:t>s</w:t>
      </w:r>
      <w:r w:rsidRPr="00386C26">
        <w:rPr>
          <w:highlight w:val="lightGray"/>
        </w:rPr>
        <w:t xml:space="preserve"> </w:t>
      </w:r>
      <w:r w:rsidR="00064378" w:rsidRPr="00386C26">
        <w:rPr>
          <w:highlight w:val="lightGray"/>
        </w:rPr>
        <w:t xml:space="preserve">a minimum of </w:t>
      </w:r>
      <w:r w:rsidRPr="00386C26">
        <w:rPr>
          <w:highlight w:val="lightGray"/>
        </w:rPr>
        <w:t>14 years of education to comprehend the</w:t>
      </w:r>
      <w:r w:rsidR="00105E60">
        <w:rPr>
          <w:highlight w:val="lightGray"/>
        </w:rPr>
        <w:t>m</w:t>
      </w:r>
      <w:bookmarkEnd w:id="19"/>
      <w:r w:rsidRPr="00386C26">
        <w:rPr>
          <w:highlight w:val="lightGray"/>
        </w:rPr>
        <w:t>.</w:t>
      </w:r>
      <w:r w:rsidRPr="00386C26">
        <w:rPr>
          <w:rStyle w:val="EndnoteReference"/>
          <w:highlight w:val="lightGray"/>
        </w:rPr>
        <w:endnoteReference w:id="13"/>
      </w:r>
      <w:r w:rsidRPr="00386C26">
        <w:rPr>
          <w:highlight w:val="lightGray"/>
        </w:rPr>
        <w:t xml:space="preserve"> </w:t>
      </w:r>
    </w:p>
    <w:p w14:paraId="0260C19B" w14:textId="3AF9C759" w:rsidR="00147A2C" w:rsidRPr="00386C26" w:rsidRDefault="00147A2C" w:rsidP="00470F77">
      <w:pPr>
        <w:pStyle w:val="ListParagraph"/>
        <w:numPr>
          <w:ilvl w:val="0"/>
          <w:numId w:val="27"/>
        </w:numPr>
        <w:rPr>
          <w:b/>
          <w:bCs/>
          <w:highlight w:val="lightGray"/>
        </w:rPr>
      </w:pPr>
      <w:r w:rsidRPr="00386C26">
        <w:rPr>
          <w:highlight w:val="lightGray"/>
        </w:rPr>
        <w:t xml:space="preserve">Changes to ToS in the digital marketplace happen more frequently </w:t>
      </w:r>
      <w:r w:rsidR="002A0C78">
        <w:rPr>
          <w:highlight w:val="lightGray"/>
        </w:rPr>
        <w:t xml:space="preserve">(and unilaterally) </w:t>
      </w:r>
      <w:r w:rsidRPr="00386C26">
        <w:rPr>
          <w:highlight w:val="lightGray"/>
        </w:rPr>
        <w:t xml:space="preserve">than consumers can be reasonably expected to </w:t>
      </w:r>
      <w:r w:rsidR="00A70B13">
        <w:rPr>
          <w:highlight w:val="lightGray"/>
        </w:rPr>
        <w:t>understand</w:t>
      </w:r>
      <w:r w:rsidRPr="00386C26">
        <w:rPr>
          <w:highlight w:val="lightGray"/>
        </w:rPr>
        <w:t xml:space="preserve">. </w:t>
      </w:r>
      <w:r w:rsidR="00570F5F">
        <w:rPr>
          <w:highlight w:val="lightGray"/>
        </w:rPr>
        <w:t xml:space="preserve">Services like </w:t>
      </w:r>
      <w:r w:rsidR="000C67A4">
        <w:rPr>
          <w:highlight w:val="lightGray"/>
        </w:rPr>
        <w:t xml:space="preserve">the website </w:t>
      </w:r>
      <w:r w:rsidR="000C67A4" w:rsidRPr="008546ED">
        <w:rPr>
          <w:i/>
          <w:iCs/>
          <w:highlight w:val="lightGray"/>
        </w:rPr>
        <w:t>Terms of Service; Didn’t Read</w:t>
      </w:r>
      <w:r w:rsidR="000C67A4">
        <w:rPr>
          <w:highlight w:val="lightGray"/>
        </w:rPr>
        <w:t xml:space="preserve"> </w:t>
      </w:r>
      <w:r w:rsidR="00570F5F">
        <w:rPr>
          <w:highlight w:val="lightGray"/>
        </w:rPr>
        <w:t>show how frequently and consequentially changes can be made – yet consumers are often unaware of such changes or don’t read them</w:t>
      </w:r>
      <w:r w:rsidRPr="00386C26">
        <w:rPr>
          <w:highlight w:val="lightGray"/>
        </w:rPr>
        <w:t>.</w:t>
      </w:r>
      <w:r w:rsidRPr="00386C26">
        <w:rPr>
          <w:rStyle w:val="EndnoteReference"/>
          <w:highlight w:val="lightGray"/>
        </w:rPr>
        <w:endnoteReference w:id="14"/>
      </w:r>
    </w:p>
    <w:p w14:paraId="1FF9E8F4" w14:textId="77777777" w:rsidR="00AC4D9B" w:rsidRDefault="00AC4D9B" w:rsidP="00A025D3">
      <w:pPr>
        <w:rPr>
          <w:b/>
          <w:bCs/>
          <w:lang w:val="en-US"/>
        </w:rPr>
      </w:pPr>
    </w:p>
    <w:p w14:paraId="6C526BF3" w14:textId="14D08E90" w:rsidR="00A025D3" w:rsidRPr="00A025D3" w:rsidRDefault="00A56BD6" w:rsidP="00A025D3">
      <w:pPr>
        <w:rPr>
          <w:b/>
          <w:bCs/>
          <w:lang w:val="en-US"/>
        </w:rPr>
      </w:pPr>
      <w:r>
        <w:rPr>
          <w:b/>
          <w:bCs/>
          <w:lang w:val="en-US"/>
        </w:rPr>
        <w:t xml:space="preserve">Digital </w:t>
      </w:r>
      <w:r w:rsidR="00177A44">
        <w:rPr>
          <w:b/>
          <w:bCs/>
          <w:lang w:val="en-US"/>
        </w:rPr>
        <w:t xml:space="preserve">Notice and </w:t>
      </w:r>
      <w:r w:rsidR="00A025D3" w:rsidRPr="00A025D3">
        <w:rPr>
          <w:b/>
          <w:bCs/>
          <w:lang w:val="en-US"/>
        </w:rPr>
        <w:t xml:space="preserve">Disclosure </w:t>
      </w:r>
      <w:r w:rsidR="00177A44">
        <w:rPr>
          <w:b/>
          <w:bCs/>
          <w:lang w:val="en-US"/>
        </w:rPr>
        <w:t xml:space="preserve">May </w:t>
      </w:r>
      <w:r w:rsidR="00A025D3" w:rsidRPr="00A025D3">
        <w:rPr>
          <w:b/>
          <w:bCs/>
          <w:lang w:val="en-US"/>
        </w:rPr>
        <w:t>No</w:t>
      </w:r>
      <w:r w:rsidR="00F9657E">
        <w:rPr>
          <w:b/>
          <w:bCs/>
          <w:lang w:val="en-US"/>
        </w:rPr>
        <w:t>t</w:t>
      </w:r>
      <w:r w:rsidR="00A025D3" w:rsidRPr="00A025D3">
        <w:rPr>
          <w:b/>
          <w:bCs/>
          <w:lang w:val="en-US"/>
        </w:rPr>
        <w:t xml:space="preserve"> </w:t>
      </w:r>
      <w:r w:rsidR="003B24B3">
        <w:rPr>
          <w:b/>
          <w:bCs/>
          <w:lang w:val="en-US"/>
        </w:rPr>
        <w:t>Protect</w:t>
      </w:r>
      <w:r w:rsidR="00F9657E">
        <w:rPr>
          <w:b/>
          <w:bCs/>
          <w:lang w:val="en-US"/>
        </w:rPr>
        <w:t xml:space="preserve"> </w:t>
      </w:r>
      <w:r w:rsidR="003B24B3">
        <w:rPr>
          <w:b/>
          <w:bCs/>
          <w:lang w:val="en-US"/>
        </w:rPr>
        <w:t xml:space="preserve">Consumer </w:t>
      </w:r>
      <w:r w:rsidR="00A025D3" w:rsidRPr="00A025D3">
        <w:rPr>
          <w:b/>
          <w:bCs/>
          <w:lang w:val="en-US"/>
        </w:rPr>
        <w:t>Interests</w:t>
      </w:r>
    </w:p>
    <w:p w14:paraId="1A8A2FA3" w14:textId="1ED5535D" w:rsidR="00022D98" w:rsidRDefault="00AC4D9B" w:rsidP="005D0E77">
      <w:pPr>
        <w:spacing w:after="0"/>
      </w:pPr>
      <w:r>
        <w:t xml:space="preserve">It is </w:t>
      </w:r>
      <w:r w:rsidR="00C354D5">
        <w:t xml:space="preserve">increasingly clear that many </w:t>
      </w:r>
      <w:r w:rsidR="00ED42F3">
        <w:t xml:space="preserve">“traditional” consumer </w:t>
      </w:r>
      <w:r>
        <w:t xml:space="preserve">protection strategies </w:t>
      </w:r>
      <w:r w:rsidR="00ED42F3">
        <w:t>–</w:t>
      </w:r>
      <w:r w:rsidR="002761D6">
        <w:t xml:space="preserve"> </w:t>
      </w:r>
      <w:r>
        <w:t xml:space="preserve">including consumer </w:t>
      </w:r>
      <w:r w:rsidR="00ED42F3">
        <w:t>notice</w:t>
      </w:r>
      <w:r w:rsidR="00DB5AE8">
        <w:t xml:space="preserve"> and </w:t>
      </w:r>
      <w:r w:rsidR="00ED42F3">
        <w:t>disclosure</w:t>
      </w:r>
      <w:r w:rsidR="00C354D5">
        <w:t xml:space="preserve"> – </w:t>
      </w:r>
      <w:r>
        <w:t xml:space="preserve">do not effectively </w:t>
      </w:r>
      <w:r w:rsidR="00ED42F3">
        <w:t>protect</w:t>
      </w:r>
      <w:r>
        <w:t xml:space="preserve"> </w:t>
      </w:r>
      <w:r w:rsidR="00ED42F3">
        <w:t>consumer interests</w:t>
      </w:r>
      <w:r w:rsidR="00C354D5">
        <w:t xml:space="preserve"> in the digital marketplace</w:t>
      </w:r>
      <w:r w:rsidR="00ED42F3">
        <w:t>.</w:t>
      </w:r>
      <w:r w:rsidR="00ED42F3">
        <w:rPr>
          <w:rStyle w:val="EndnoteReference"/>
        </w:rPr>
        <w:endnoteReference w:id="15"/>
      </w:r>
      <w:r w:rsidR="009E0094">
        <w:t xml:space="preserve"> </w:t>
      </w:r>
      <w:r w:rsidR="00147A2C">
        <w:t xml:space="preserve">ToS contracts may </w:t>
      </w:r>
      <w:r w:rsidR="00BF591D">
        <w:t xml:space="preserve">also </w:t>
      </w:r>
      <w:r w:rsidR="00147A2C">
        <w:t>change frequently</w:t>
      </w:r>
      <w:r w:rsidR="00561DFC">
        <w:t xml:space="preserve"> and unilaterally</w:t>
      </w:r>
      <w:r>
        <w:t xml:space="preserve">, </w:t>
      </w:r>
      <w:r w:rsidR="00147A2C">
        <w:t>further</w:t>
      </w:r>
      <w:r>
        <w:t xml:space="preserve"> </w:t>
      </w:r>
      <w:r w:rsidR="00147A2C">
        <w:t>limit</w:t>
      </w:r>
      <w:r>
        <w:t>ing</w:t>
      </w:r>
      <w:r w:rsidR="00147A2C">
        <w:t xml:space="preserve"> meaningful notice to consumers.</w:t>
      </w:r>
      <w:r w:rsidR="00147A2C">
        <w:rPr>
          <w:rStyle w:val="EndnoteReference"/>
        </w:rPr>
        <w:endnoteReference w:id="16"/>
      </w:r>
      <w:r w:rsidR="00417D48" w:rsidRPr="00417D48">
        <w:t xml:space="preserve"> </w:t>
      </w:r>
      <w:r w:rsidR="00417D48">
        <w:t>Cumulatively, consumers may face hundreds of changes across dozens of ToS for products and services.</w:t>
      </w:r>
      <w:r w:rsidR="00417D48">
        <w:rPr>
          <w:rStyle w:val="EndnoteReference"/>
        </w:rPr>
        <w:endnoteReference w:id="17"/>
      </w:r>
    </w:p>
    <w:p w14:paraId="55B461FA" w14:textId="77777777" w:rsidR="005D0E77" w:rsidRPr="005D0E77" w:rsidRDefault="005D0E77" w:rsidP="005D0E77">
      <w:pPr>
        <w:spacing w:after="0"/>
      </w:pPr>
    </w:p>
    <w:p w14:paraId="2AFDDABF" w14:textId="1B29DB38" w:rsidR="00022D98" w:rsidRPr="00022D98" w:rsidRDefault="00C354D5" w:rsidP="00022D98">
      <w:pPr>
        <w:rPr>
          <w:b/>
          <w:bCs/>
          <w:lang w:val="en-US"/>
        </w:rPr>
      </w:pPr>
      <w:r>
        <w:rPr>
          <w:b/>
          <w:bCs/>
          <w:lang w:val="en-US"/>
        </w:rPr>
        <w:t xml:space="preserve">Consumers </w:t>
      </w:r>
      <w:r w:rsidR="00F9657E">
        <w:rPr>
          <w:b/>
          <w:bCs/>
          <w:lang w:val="en-US"/>
        </w:rPr>
        <w:t xml:space="preserve">May </w:t>
      </w:r>
      <w:r>
        <w:rPr>
          <w:b/>
          <w:bCs/>
          <w:lang w:val="en-US"/>
        </w:rPr>
        <w:t xml:space="preserve">Have </w:t>
      </w:r>
      <w:r w:rsidR="00022D98" w:rsidRPr="00225973">
        <w:rPr>
          <w:b/>
          <w:bCs/>
          <w:lang w:val="en-US"/>
        </w:rPr>
        <w:t xml:space="preserve">Little or No Ability to Negotiate </w:t>
      </w:r>
    </w:p>
    <w:p w14:paraId="670FB467" w14:textId="47AD92F6" w:rsidR="00022D98" w:rsidRDefault="00022D98" w:rsidP="00022D98">
      <w:pPr>
        <w:spacing w:after="0"/>
      </w:pPr>
      <w:r>
        <w:lastRenderedPageBreak/>
        <w:t xml:space="preserve">ToS contracts </w:t>
      </w:r>
      <w:r w:rsidR="00C0742E">
        <w:t xml:space="preserve">are </w:t>
      </w:r>
      <w:r>
        <w:t xml:space="preserve">often </w:t>
      </w:r>
      <w:r w:rsidR="00C0742E">
        <w:t>presented to</w:t>
      </w:r>
      <w:r w:rsidR="3F0B2D40">
        <w:t xml:space="preserve"> </w:t>
      </w:r>
      <w:r>
        <w:t>consumers w</w:t>
      </w:r>
      <w:r w:rsidR="2C41F4A0">
        <w:t xml:space="preserve">ho have </w:t>
      </w:r>
      <w:r>
        <w:t xml:space="preserve">little practical choice but to “take it or leave it” with few </w:t>
      </w:r>
      <w:r w:rsidR="2D9864BE">
        <w:t xml:space="preserve">other </w:t>
      </w:r>
      <w:r>
        <w:t>options.</w:t>
      </w:r>
      <w:r w:rsidR="00417D48">
        <w:rPr>
          <w:rStyle w:val="EndnoteReference"/>
        </w:rPr>
        <w:endnoteReference w:id="18"/>
      </w:r>
      <w:r w:rsidR="009E0094">
        <w:t xml:space="preserve"> </w:t>
      </w:r>
      <w:r w:rsidR="00417D48">
        <w:t xml:space="preserve">Consumers </w:t>
      </w:r>
      <w:r w:rsidR="008117FA">
        <w:t xml:space="preserve">also frequently encounter </w:t>
      </w:r>
      <w:r w:rsidR="00417D48">
        <w:t>circumstances</w:t>
      </w:r>
      <w:r w:rsidR="00C249FA">
        <w:t xml:space="preserve"> that </w:t>
      </w:r>
      <w:r w:rsidR="00A70B13">
        <w:t xml:space="preserve">induce </w:t>
      </w:r>
      <w:r w:rsidR="00C249FA">
        <w:t>acceptance of a ToS</w:t>
      </w:r>
      <w:r w:rsidR="00417D48">
        <w:t xml:space="preserve">, such </w:t>
      </w:r>
      <w:r w:rsidR="003A7D75">
        <w:t xml:space="preserve">as mandated digital services </w:t>
      </w:r>
      <w:r w:rsidR="00C249FA">
        <w:t>in the workplace, at school,</w:t>
      </w:r>
      <w:r w:rsidR="003A7D75">
        <w:t xml:space="preserve"> or to access government services</w:t>
      </w:r>
      <w:r w:rsidR="00417D48">
        <w:t>.</w:t>
      </w:r>
      <w:r w:rsidR="00417D48">
        <w:rPr>
          <w:rStyle w:val="EndnoteReference"/>
        </w:rPr>
        <w:endnoteReference w:id="19"/>
      </w:r>
      <w:r w:rsidR="00417D48">
        <w:t xml:space="preserve"> Proprietary digital formats and “free to use” platforms can also “lock-in” consumers to </w:t>
      </w:r>
      <w:r w:rsidR="00BF591D">
        <w:t xml:space="preserve">specific </w:t>
      </w:r>
      <w:r w:rsidR="00C249FA">
        <w:t xml:space="preserve">products and </w:t>
      </w:r>
      <w:r w:rsidR="00417D48">
        <w:t>services.</w:t>
      </w:r>
      <w:r w:rsidR="00417D48">
        <w:rPr>
          <w:rStyle w:val="EndnoteReference"/>
        </w:rPr>
        <w:endnoteReference w:id="20"/>
      </w:r>
      <w:r w:rsidR="00417D48">
        <w:t xml:space="preserve"> </w:t>
      </w:r>
      <w:r w:rsidR="00F92A4F">
        <w:t>C</w:t>
      </w:r>
      <w:r w:rsidR="00417D48">
        <w:t xml:space="preserve">onsumers </w:t>
      </w:r>
      <w:r w:rsidR="00F92A4F">
        <w:t xml:space="preserve">often </w:t>
      </w:r>
      <w:r w:rsidR="00A70B13">
        <w:t xml:space="preserve">lack </w:t>
      </w:r>
      <w:r w:rsidR="651B73FB">
        <w:t xml:space="preserve">the </w:t>
      </w:r>
      <w:r w:rsidR="00417D48">
        <w:t>effective means to review or negotiate contractual terms and conditions</w:t>
      </w:r>
      <w:r w:rsidR="006B5D88">
        <w:t xml:space="preserve"> and </w:t>
      </w:r>
      <w:r w:rsidR="00C249FA">
        <w:t>perceive</w:t>
      </w:r>
      <w:r w:rsidR="006B5D88">
        <w:t xml:space="preserve"> little incentive to file </w:t>
      </w:r>
      <w:r w:rsidR="00F92A4F">
        <w:t xml:space="preserve">consumer </w:t>
      </w:r>
      <w:r w:rsidR="006B5D88">
        <w:t>complaints.</w:t>
      </w:r>
      <w:r w:rsidR="006B5D88">
        <w:rPr>
          <w:rStyle w:val="EndnoteReference"/>
        </w:rPr>
        <w:endnoteReference w:id="21"/>
      </w:r>
    </w:p>
    <w:p w14:paraId="6088BFFD" w14:textId="77777777" w:rsidR="00022D98" w:rsidRDefault="00022D98" w:rsidP="00022D98">
      <w:pPr>
        <w:spacing w:after="0"/>
      </w:pPr>
    </w:p>
    <w:p w14:paraId="480FB85C" w14:textId="74DD05D4" w:rsidR="00022D98" w:rsidRPr="00177A44" w:rsidRDefault="00F55EB7" w:rsidP="00177A44">
      <w:pPr>
        <w:rPr>
          <w:b/>
          <w:bCs/>
          <w:lang w:val="en-US"/>
        </w:rPr>
      </w:pPr>
      <w:r>
        <w:rPr>
          <w:b/>
          <w:bCs/>
          <w:lang w:val="en-US"/>
        </w:rPr>
        <w:t xml:space="preserve">Deceptive </w:t>
      </w:r>
      <w:r w:rsidR="001F04D6">
        <w:rPr>
          <w:b/>
          <w:bCs/>
          <w:lang w:val="en-US"/>
        </w:rPr>
        <w:t>“</w:t>
      </w:r>
      <w:r w:rsidR="00022D98" w:rsidRPr="00225973">
        <w:rPr>
          <w:b/>
          <w:bCs/>
          <w:lang w:val="en-US"/>
        </w:rPr>
        <w:t>Dark Pattern</w:t>
      </w:r>
      <w:r w:rsidR="00AC4D9B">
        <w:rPr>
          <w:b/>
          <w:bCs/>
          <w:lang w:val="en-US"/>
        </w:rPr>
        <w:t>s</w:t>
      </w:r>
      <w:r w:rsidR="001F04D6">
        <w:rPr>
          <w:b/>
          <w:bCs/>
          <w:lang w:val="en-US"/>
        </w:rPr>
        <w:t xml:space="preserve">” </w:t>
      </w:r>
      <w:r w:rsidR="00F9657E">
        <w:rPr>
          <w:b/>
          <w:bCs/>
          <w:lang w:val="en-US"/>
        </w:rPr>
        <w:t xml:space="preserve">May </w:t>
      </w:r>
      <w:r w:rsidR="00D900BC">
        <w:rPr>
          <w:b/>
          <w:bCs/>
          <w:lang w:val="en-US"/>
        </w:rPr>
        <w:t>Undermine Notice and Consent</w:t>
      </w:r>
    </w:p>
    <w:p w14:paraId="31F46CF4" w14:textId="68EBC9BF" w:rsidR="006E019D" w:rsidRDefault="00022D98" w:rsidP="006D6430">
      <w:pPr>
        <w:spacing w:after="0"/>
      </w:pPr>
      <w:r>
        <w:t xml:space="preserve">“Dark patterns” </w:t>
      </w:r>
      <w:r w:rsidR="00AC4D9B">
        <w:t xml:space="preserve">are </w:t>
      </w:r>
      <w:r w:rsidR="002D133E">
        <w:t xml:space="preserve">subtle or invisible (“dark”) </w:t>
      </w:r>
      <w:r w:rsidR="00C03100">
        <w:t xml:space="preserve">design practices used in </w:t>
      </w:r>
      <w:r w:rsidR="00526464">
        <w:t>contract</w:t>
      </w:r>
      <w:r w:rsidR="00C03100">
        <w:t>s</w:t>
      </w:r>
      <w:r w:rsidR="00526464">
        <w:t xml:space="preserve">, </w:t>
      </w:r>
      <w:r w:rsidR="00EC2938">
        <w:t>software</w:t>
      </w:r>
      <w:r w:rsidR="00526464">
        <w:t>,</w:t>
      </w:r>
      <w:r w:rsidR="00EC2938">
        <w:t xml:space="preserve"> and user interface</w:t>
      </w:r>
      <w:r w:rsidR="00C03100">
        <w:t>s</w:t>
      </w:r>
      <w:r w:rsidR="00EC2938">
        <w:t xml:space="preserve"> </w:t>
      </w:r>
      <w:r w:rsidR="00C03100">
        <w:t>to</w:t>
      </w:r>
      <w:r w:rsidR="00EC2938">
        <w:t xml:space="preserve"> </w:t>
      </w:r>
      <w:r w:rsidR="002D133E">
        <w:t xml:space="preserve">“pattern” or </w:t>
      </w:r>
      <w:r w:rsidR="00EC2938">
        <w:t>“steer, deceive, coerce, or manipulate consumers into making choices that often are not in their best interests.”</w:t>
      </w:r>
      <w:r w:rsidR="00961840">
        <w:rPr>
          <w:rStyle w:val="EndnoteReference"/>
        </w:rPr>
        <w:endnoteReference w:id="22"/>
      </w:r>
      <w:r w:rsidR="009E0094">
        <w:t xml:space="preserve"> </w:t>
      </w:r>
      <w:r w:rsidR="006E019D">
        <w:t>“</w:t>
      </w:r>
      <w:r w:rsidR="00AC4D9B">
        <w:t>D</w:t>
      </w:r>
      <w:r w:rsidR="006E019D">
        <w:t xml:space="preserve">ark pattern” software and user interface design </w:t>
      </w:r>
      <w:r w:rsidR="00AC4D9B">
        <w:t xml:space="preserve">may </w:t>
      </w:r>
      <w:r w:rsidR="006E019D">
        <w:t>include</w:t>
      </w:r>
      <w:r w:rsidR="006D6430">
        <w:t xml:space="preserve"> “frictionless” </w:t>
      </w:r>
      <w:r w:rsidR="00AD4807" w:rsidRPr="0054628E">
        <w:t xml:space="preserve">sign-up practices that minimize </w:t>
      </w:r>
      <w:r w:rsidR="00AD4807">
        <w:t>notice of risks to the consumer</w:t>
      </w:r>
      <w:r w:rsidR="006D6430">
        <w:t xml:space="preserve">; </w:t>
      </w:r>
      <w:r w:rsidR="006E019D">
        <w:t>consent boxes and user settings checked by default</w:t>
      </w:r>
      <w:r w:rsidR="006D6430">
        <w:t xml:space="preserve">; </w:t>
      </w:r>
      <w:r w:rsidR="00AC4D9B">
        <w:t xml:space="preserve">unclear preference </w:t>
      </w:r>
      <w:r w:rsidR="00D46ABC">
        <w:t>options</w:t>
      </w:r>
      <w:r w:rsidR="00AC4D9B">
        <w:t xml:space="preserve">; and </w:t>
      </w:r>
      <w:r w:rsidR="006D6430">
        <w:t>settings buried deep within multi-layered menus or websites</w:t>
      </w:r>
      <w:r w:rsidR="006033B8">
        <w:t>.</w:t>
      </w:r>
      <w:r w:rsidR="00356D54" w:rsidRPr="00356D54">
        <w:rPr>
          <w:rStyle w:val="EndnoteReference"/>
        </w:rPr>
        <w:t xml:space="preserve"> </w:t>
      </w:r>
      <w:r w:rsidR="00356D54">
        <w:rPr>
          <w:rStyle w:val="EndnoteReference"/>
        </w:rPr>
        <w:endnoteReference w:id="23"/>
      </w:r>
    </w:p>
    <w:p w14:paraId="10D2C11C" w14:textId="77777777" w:rsidR="006E019D" w:rsidRDefault="006E019D" w:rsidP="006E019D">
      <w:pPr>
        <w:spacing w:after="0"/>
      </w:pPr>
    </w:p>
    <w:p w14:paraId="0ADAA955" w14:textId="59701781" w:rsidR="006E019D" w:rsidRDefault="00D46ABC" w:rsidP="00C23CD5">
      <w:pPr>
        <w:spacing w:after="0"/>
      </w:pPr>
      <w:r>
        <w:t xml:space="preserve">Research demonstrates </w:t>
      </w:r>
      <w:r w:rsidR="0FDB715A">
        <w:t xml:space="preserve">that </w:t>
      </w:r>
      <w:r w:rsidR="002D133E">
        <w:t>d</w:t>
      </w:r>
      <w:r w:rsidR="00437547">
        <w:t xml:space="preserve">ark patterns </w:t>
      </w:r>
      <w:r w:rsidR="002D133E">
        <w:t>are very effective at “subverting or impairing consumer autonomy, decision-making or choice”</w:t>
      </w:r>
      <w:r w:rsidR="002D133E">
        <w:rPr>
          <w:rStyle w:val="EndnoteReference"/>
        </w:rPr>
        <w:endnoteReference w:id="24"/>
      </w:r>
      <w:r w:rsidR="00255AA6">
        <w:t xml:space="preserve"> and can undermine consumer protection practices.</w:t>
      </w:r>
      <w:r w:rsidR="002D133E">
        <w:t xml:space="preserve"> </w:t>
      </w:r>
    </w:p>
    <w:p w14:paraId="5E4C6087" w14:textId="77777777" w:rsidR="00FB5218" w:rsidRDefault="00FB5218" w:rsidP="00C23CD5">
      <w:pPr>
        <w:spacing w:after="0"/>
      </w:pPr>
    </w:p>
    <w:p w14:paraId="7113CCE8" w14:textId="6FC00F10" w:rsidR="00581698" w:rsidRPr="00386C26" w:rsidRDefault="00581698" w:rsidP="00581698">
      <w:pPr>
        <w:spacing w:after="0"/>
      </w:pPr>
      <w:r w:rsidRPr="00386C26">
        <w:rPr>
          <w:b/>
          <w:bCs/>
          <w:highlight w:val="lightGray"/>
        </w:rPr>
        <w:t>SIDEBAR</w:t>
      </w:r>
      <w:r w:rsidRPr="00386C26">
        <w:rPr>
          <w:highlight w:val="lightGray"/>
        </w:rPr>
        <w:t xml:space="preserve">: </w:t>
      </w:r>
      <w:r w:rsidR="00105E60">
        <w:rPr>
          <w:b/>
          <w:bCs/>
          <w:highlight w:val="lightGray"/>
        </w:rPr>
        <w:t>D</w:t>
      </w:r>
      <w:r w:rsidRPr="00581698">
        <w:rPr>
          <w:b/>
          <w:bCs/>
          <w:highlight w:val="lightGray"/>
        </w:rPr>
        <w:t xml:space="preserve">ark pattern </w:t>
      </w:r>
      <w:r w:rsidR="00105E60">
        <w:rPr>
          <w:b/>
          <w:bCs/>
          <w:highlight w:val="lightGray"/>
        </w:rPr>
        <w:t>D</w:t>
      </w:r>
      <w:r w:rsidRPr="00581698">
        <w:rPr>
          <w:b/>
          <w:bCs/>
          <w:highlight w:val="lightGray"/>
        </w:rPr>
        <w:t>esign.</w:t>
      </w:r>
      <w:r>
        <w:rPr>
          <w:highlight w:val="lightGray"/>
        </w:rPr>
        <w:t xml:space="preserve"> A</w:t>
      </w:r>
      <w:r w:rsidRPr="00386C26">
        <w:rPr>
          <w:highlight w:val="lightGray"/>
        </w:rPr>
        <w:t xml:space="preserve"> 2019 </w:t>
      </w:r>
      <w:r w:rsidR="00105E60">
        <w:rPr>
          <w:highlight w:val="lightGray"/>
        </w:rPr>
        <w:t xml:space="preserve">survey </w:t>
      </w:r>
      <w:r w:rsidRPr="00386C26">
        <w:rPr>
          <w:highlight w:val="lightGray"/>
        </w:rPr>
        <w:t>of 1</w:t>
      </w:r>
      <w:r w:rsidR="00105E60">
        <w:rPr>
          <w:highlight w:val="lightGray"/>
        </w:rPr>
        <w:t>,</w:t>
      </w:r>
      <w:r w:rsidRPr="00386C26">
        <w:rPr>
          <w:highlight w:val="lightGray"/>
        </w:rPr>
        <w:t>760 retail websites and apps</w:t>
      </w:r>
      <w:r>
        <w:rPr>
          <w:highlight w:val="lightGray"/>
        </w:rPr>
        <w:t xml:space="preserve"> determined that</w:t>
      </w:r>
      <w:r w:rsidRPr="00386C26">
        <w:rPr>
          <w:highlight w:val="lightGray"/>
        </w:rPr>
        <w:t xml:space="preserve"> 429 (24%) </w:t>
      </w:r>
      <w:r>
        <w:rPr>
          <w:highlight w:val="lightGray"/>
        </w:rPr>
        <w:t>deployed</w:t>
      </w:r>
      <w:r w:rsidRPr="00386C26">
        <w:rPr>
          <w:highlight w:val="lightGray"/>
        </w:rPr>
        <w:t xml:space="preserve"> potential dark patterns</w:t>
      </w:r>
      <w:r>
        <w:rPr>
          <w:highlight w:val="lightGray"/>
        </w:rPr>
        <w:t>,</w:t>
      </w:r>
      <w:r w:rsidRPr="00386C26">
        <w:rPr>
          <w:highlight w:val="lightGray"/>
        </w:rPr>
        <w:t xml:space="preserve"> i.e.</w:t>
      </w:r>
      <w:r>
        <w:rPr>
          <w:highlight w:val="lightGray"/>
        </w:rPr>
        <w:t>,</w:t>
      </w:r>
      <w:r w:rsidRPr="00386C26">
        <w:rPr>
          <w:highlight w:val="lightGray"/>
        </w:rPr>
        <w:t xml:space="preserve"> user interface designs that can lead consumers to make decisions that may not be in their best interests.</w:t>
      </w:r>
      <w:r w:rsidRPr="00386C26">
        <w:rPr>
          <w:rStyle w:val="EndnoteReference"/>
          <w:highlight w:val="lightGray"/>
        </w:rPr>
        <w:endnoteReference w:id="25"/>
      </w:r>
      <w:r w:rsidRPr="00386C26">
        <w:rPr>
          <w:highlight w:val="lightGray"/>
        </w:rPr>
        <w:t xml:space="preserve"> </w:t>
      </w:r>
      <w:r w:rsidR="00105E60">
        <w:rPr>
          <w:highlight w:val="lightGray"/>
        </w:rPr>
        <w:t xml:space="preserve">Several </w:t>
      </w:r>
      <w:r w:rsidRPr="00386C26">
        <w:rPr>
          <w:highlight w:val="lightGray"/>
        </w:rPr>
        <w:t>studies suggest the practice is widespread. For instance, dark patterns have been found on 80% of children’s apps, 95% of the most popular apps on leading app stores, and all 105 of the most popular online services in the Google</w:t>
      </w:r>
      <w:r>
        <w:rPr>
          <w:highlight w:val="lightGray"/>
        </w:rPr>
        <w:t xml:space="preserve"> </w:t>
      </w:r>
      <w:r w:rsidRPr="00386C26">
        <w:rPr>
          <w:highlight w:val="lightGray"/>
        </w:rPr>
        <w:t>Play Store that featured both an app and website.</w:t>
      </w:r>
      <w:r w:rsidRPr="00386C26">
        <w:rPr>
          <w:rStyle w:val="EndnoteReference"/>
          <w:highlight w:val="lightGray"/>
        </w:rPr>
        <w:endnoteReference w:id="26"/>
      </w:r>
      <w:r w:rsidRPr="00386C26">
        <w:rPr>
          <w:highlight w:val="lightGray"/>
        </w:rPr>
        <w:t xml:space="preserve"> The practice is </w:t>
      </w:r>
      <w:r>
        <w:rPr>
          <w:highlight w:val="lightGray"/>
        </w:rPr>
        <w:t xml:space="preserve">also </w:t>
      </w:r>
      <w:r w:rsidRPr="00386C26">
        <w:rPr>
          <w:highlight w:val="lightGray"/>
        </w:rPr>
        <w:t>lucrative. One study of an event ticket reseller found consumers spent 20% more on tickets if hidden fees were not disclosed until the final step in completing the transaction.</w:t>
      </w:r>
      <w:r w:rsidRPr="00386C26">
        <w:rPr>
          <w:rStyle w:val="EndnoteReference"/>
          <w:highlight w:val="lightGray"/>
        </w:rPr>
        <w:endnoteReference w:id="27"/>
      </w:r>
    </w:p>
    <w:p w14:paraId="0E03FBED" w14:textId="77777777" w:rsidR="00581698" w:rsidRDefault="00581698" w:rsidP="00C23CD5">
      <w:pPr>
        <w:spacing w:after="0"/>
        <w:rPr>
          <w:highlight w:val="lightGray"/>
        </w:rPr>
      </w:pPr>
    </w:p>
    <w:p w14:paraId="7057E1DA" w14:textId="18E33634" w:rsidR="00FB5218" w:rsidRDefault="00FB5218" w:rsidP="00C23CD5">
      <w:pPr>
        <w:spacing w:after="0"/>
      </w:pPr>
      <w:r w:rsidRPr="002E1735">
        <w:rPr>
          <w:highlight w:val="lightGray"/>
        </w:rPr>
        <w:t xml:space="preserve">SIDEBAR: </w:t>
      </w:r>
      <w:r w:rsidR="00105E60">
        <w:rPr>
          <w:b/>
          <w:bCs/>
          <w:highlight w:val="lightGray"/>
        </w:rPr>
        <w:t>D</w:t>
      </w:r>
      <w:r w:rsidRPr="002E1735">
        <w:rPr>
          <w:b/>
          <w:bCs/>
          <w:highlight w:val="lightGray"/>
        </w:rPr>
        <w:t xml:space="preserve">ark </w:t>
      </w:r>
      <w:r w:rsidR="00105E60">
        <w:rPr>
          <w:b/>
          <w:bCs/>
          <w:highlight w:val="lightGray"/>
        </w:rPr>
        <w:t>P</w:t>
      </w:r>
      <w:r w:rsidRPr="002E1735">
        <w:rPr>
          <w:b/>
          <w:bCs/>
          <w:highlight w:val="lightGray"/>
        </w:rPr>
        <w:t>attern</w:t>
      </w:r>
      <w:r w:rsidR="002E1735" w:rsidRPr="002E1735">
        <w:rPr>
          <w:b/>
          <w:bCs/>
          <w:highlight w:val="lightGray"/>
        </w:rPr>
        <w:t xml:space="preserve"> </w:t>
      </w:r>
      <w:r w:rsidR="00105E60">
        <w:rPr>
          <w:b/>
          <w:bCs/>
          <w:highlight w:val="lightGray"/>
        </w:rPr>
        <w:t>R</w:t>
      </w:r>
      <w:r w:rsidR="002E1735" w:rsidRPr="002E1735">
        <w:rPr>
          <w:b/>
          <w:bCs/>
          <w:highlight w:val="lightGray"/>
        </w:rPr>
        <w:t>egulation</w:t>
      </w:r>
      <w:r w:rsidRPr="002E1735">
        <w:rPr>
          <w:highlight w:val="lightGray"/>
        </w:rPr>
        <w:t xml:space="preserve">. The United States Federal Trade Commission </w:t>
      </w:r>
      <w:r w:rsidR="002E1735" w:rsidRPr="002E1735">
        <w:rPr>
          <w:highlight w:val="lightGray"/>
        </w:rPr>
        <w:t xml:space="preserve">(FTC) </w:t>
      </w:r>
      <w:r w:rsidRPr="002E1735">
        <w:rPr>
          <w:highlight w:val="lightGray"/>
        </w:rPr>
        <w:t xml:space="preserve">recently developed policy guidance on dark patterns and began landmark enforcement measures. The policy </w:t>
      </w:r>
      <w:r w:rsidR="00105E60">
        <w:rPr>
          <w:highlight w:val="lightGray"/>
        </w:rPr>
        <w:t xml:space="preserve">stated </w:t>
      </w:r>
      <w:r w:rsidRPr="002E1735">
        <w:rPr>
          <w:highlight w:val="lightGray"/>
        </w:rPr>
        <w:t xml:space="preserve">that dark patterns </w:t>
      </w:r>
      <w:r w:rsidR="002E1735" w:rsidRPr="002E1735">
        <w:rPr>
          <w:highlight w:val="lightGray"/>
        </w:rPr>
        <w:t xml:space="preserve">practices </w:t>
      </w:r>
      <w:r w:rsidR="00105E60">
        <w:rPr>
          <w:highlight w:val="lightGray"/>
        </w:rPr>
        <w:t xml:space="preserve">are </w:t>
      </w:r>
      <w:r w:rsidRPr="002E1735">
        <w:rPr>
          <w:highlight w:val="lightGray"/>
        </w:rPr>
        <w:t>“designed to trick, trap, and mislead consumers” through tactics that include “disguised ads, difficult-to-cancel subscriptions, buried key terms, and tricks to obtain consumer data.”</w:t>
      </w:r>
      <w:r w:rsidRPr="002E1735">
        <w:rPr>
          <w:rStyle w:val="EndnoteReference"/>
          <w:highlight w:val="lightGray"/>
        </w:rPr>
        <w:endnoteReference w:id="28"/>
      </w:r>
      <w:r w:rsidRPr="002E1735">
        <w:rPr>
          <w:highlight w:val="lightGray"/>
        </w:rPr>
        <w:t xml:space="preserve"> </w:t>
      </w:r>
      <w:r w:rsidR="002E1735" w:rsidRPr="002E1735">
        <w:rPr>
          <w:highlight w:val="lightGray"/>
        </w:rPr>
        <w:t xml:space="preserve">A subsequent 2023 </w:t>
      </w:r>
      <w:bookmarkStart w:id="21" w:name="_Hlk138064840"/>
      <w:r w:rsidR="002E1735" w:rsidRPr="002E1735">
        <w:rPr>
          <w:highlight w:val="lightGray"/>
        </w:rPr>
        <w:t xml:space="preserve">FTC investigation into the consumer ToS of </w:t>
      </w:r>
      <w:r w:rsidR="00BF591D">
        <w:rPr>
          <w:highlight w:val="lightGray"/>
        </w:rPr>
        <w:t xml:space="preserve">a </w:t>
      </w:r>
      <w:r w:rsidR="002E1735" w:rsidRPr="002E1735">
        <w:rPr>
          <w:highlight w:val="lightGray"/>
        </w:rPr>
        <w:t>leading global videogame company</w:t>
      </w:r>
      <w:r w:rsidR="00BF591D">
        <w:rPr>
          <w:highlight w:val="lightGray"/>
        </w:rPr>
        <w:t>,</w:t>
      </w:r>
      <w:r w:rsidR="002E1735" w:rsidRPr="002E1735">
        <w:rPr>
          <w:highlight w:val="lightGray"/>
        </w:rPr>
        <w:t xml:space="preserve"> Epic (developers of Fortnite)</w:t>
      </w:r>
      <w:r w:rsidR="00BF591D">
        <w:rPr>
          <w:highlight w:val="lightGray"/>
        </w:rPr>
        <w:t>,</w:t>
      </w:r>
      <w:r w:rsidR="002E1735" w:rsidRPr="002E1735">
        <w:rPr>
          <w:highlight w:val="lightGray"/>
        </w:rPr>
        <w:t xml:space="preserve"> found multiple instances of exploitative dark patterns and unfair terms. Epic’s practices tricked video gamers (including children) into unwanted charges and then punished those who raised consumer disputes (like parents) by punitively deleting gamer accounts, stranding digital assets, and threatening credit scores.</w:t>
      </w:r>
      <w:r w:rsidR="002E1735" w:rsidRPr="002E1735">
        <w:rPr>
          <w:rStyle w:val="EndnoteReference"/>
          <w:highlight w:val="lightGray"/>
        </w:rPr>
        <w:endnoteReference w:id="29"/>
      </w:r>
      <w:r w:rsidR="002E1735" w:rsidRPr="002E1735">
        <w:rPr>
          <w:highlight w:val="lightGray"/>
        </w:rPr>
        <w:t xml:space="preserve"> The </w:t>
      </w:r>
      <w:r w:rsidR="00D54CFB">
        <w:rPr>
          <w:highlight w:val="lightGray"/>
        </w:rPr>
        <w:t xml:space="preserve">FTC </w:t>
      </w:r>
      <w:r w:rsidR="002E1735" w:rsidRPr="002E1735">
        <w:rPr>
          <w:highlight w:val="lightGray"/>
        </w:rPr>
        <w:t>investigation resulted in fines and penalties totalling $US</w:t>
      </w:r>
      <w:r w:rsidR="084C8A5D" w:rsidRPr="002E1735">
        <w:rPr>
          <w:highlight w:val="lightGray"/>
        </w:rPr>
        <w:t xml:space="preserve"> </w:t>
      </w:r>
      <w:r w:rsidR="002E1735" w:rsidRPr="002E1735">
        <w:rPr>
          <w:highlight w:val="lightGray"/>
        </w:rPr>
        <w:t>520 million</w:t>
      </w:r>
      <w:bookmarkEnd w:id="21"/>
      <w:r w:rsidR="002E1735" w:rsidRPr="002E1735">
        <w:rPr>
          <w:highlight w:val="lightGray"/>
        </w:rPr>
        <w:t xml:space="preserve"> for</w:t>
      </w:r>
      <w:r w:rsidR="00D54CFB">
        <w:rPr>
          <w:highlight w:val="lightGray"/>
        </w:rPr>
        <w:t xml:space="preserve"> Epic’s use of</w:t>
      </w:r>
      <w:r w:rsidR="002E1735" w:rsidRPr="002E1735">
        <w:rPr>
          <w:highlight w:val="lightGray"/>
        </w:rPr>
        <w:t xml:space="preserve"> exploitative dark patterns, </w:t>
      </w:r>
      <w:r w:rsidR="00D54CFB">
        <w:rPr>
          <w:highlight w:val="lightGray"/>
        </w:rPr>
        <w:t>unfair</w:t>
      </w:r>
      <w:r w:rsidR="002E1735" w:rsidRPr="002E1735">
        <w:rPr>
          <w:highlight w:val="lightGray"/>
        </w:rPr>
        <w:t xml:space="preserve"> terms</w:t>
      </w:r>
      <w:r w:rsidR="00D54CFB">
        <w:rPr>
          <w:highlight w:val="lightGray"/>
        </w:rPr>
        <w:t xml:space="preserve">, </w:t>
      </w:r>
      <w:r w:rsidR="002E1735" w:rsidRPr="002E1735">
        <w:rPr>
          <w:highlight w:val="lightGray"/>
        </w:rPr>
        <w:t xml:space="preserve">and </w:t>
      </w:r>
      <w:r w:rsidR="00D54CFB">
        <w:rPr>
          <w:highlight w:val="lightGray"/>
        </w:rPr>
        <w:t>exploitation of child privacy.</w:t>
      </w:r>
      <w:r w:rsidR="002E1735" w:rsidRPr="002E1735">
        <w:rPr>
          <w:rStyle w:val="EndnoteReference"/>
          <w:highlight w:val="lightGray"/>
        </w:rPr>
        <w:endnoteReference w:id="30"/>
      </w:r>
      <w:r w:rsidR="002E1735" w:rsidRPr="002E1735">
        <w:rPr>
          <w:highlight w:val="lightGray"/>
        </w:rPr>
        <w:t xml:space="preserve"> The amount includes $US</w:t>
      </w:r>
      <w:r w:rsidR="230E07D2" w:rsidRPr="002E1735">
        <w:rPr>
          <w:highlight w:val="lightGray"/>
        </w:rPr>
        <w:t xml:space="preserve"> </w:t>
      </w:r>
      <w:r w:rsidR="002E1735" w:rsidRPr="002E1735">
        <w:rPr>
          <w:highlight w:val="lightGray"/>
        </w:rPr>
        <w:t>245</w:t>
      </w:r>
      <w:r w:rsidR="78177BEB" w:rsidRPr="002E1735">
        <w:rPr>
          <w:highlight w:val="lightGray"/>
        </w:rPr>
        <w:t xml:space="preserve"> million</w:t>
      </w:r>
      <w:r w:rsidR="002E1735" w:rsidRPr="002E1735">
        <w:rPr>
          <w:highlight w:val="lightGray"/>
        </w:rPr>
        <w:t xml:space="preserve"> to refund consumers.</w:t>
      </w:r>
      <w:r w:rsidR="002E1735" w:rsidRPr="002E1735">
        <w:rPr>
          <w:rStyle w:val="EndnoteReference"/>
          <w:highlight w:val="lightGray"/>
        </w:rPr>
        <w:endnoteReference w:id="31"/>
      </w:r>
    </w:p>
    <w:p w14:paraId="5FF481B3" w14:textId="77777777" w:rsidR="00022D98" w:rsidRDefault="00022D98" w:rsidP="00022D98">
      <w:pPr>
        <w:spacing w:after="0"/>
      </w:pPr>
    </w:p>
    <w:p w14:paraId="76CB8A81" w14:textId="31773198" w:rsidR="00022D98" w:rsidRPr="00177A44" w:rsidRDefault="00A56BD6" w:rsidP="00177A44">
      <w:pPr>
        <w:rPr>
          <w:b/>
          <w:bCs/>
          <w:lang w:val="en-US"/>
        </w:rPr>
      </w:pPr>
      <w:r>
        <w:rPr>
          <w:b/>
          <w:bCs/>
          <w:lang w:val="en-US"/>
        </w:rPr>
        <w:t xml:space="preserve">Consumers Using </w:t>
      </w:r>
      <w:r w:rsidR="00405FDD">
        <w:rPr>
          <w:b/>
          <w:bCs/>
          <w:lang w:val="en-US"/>
        </w:rPr>
        <w:t xml:space="preserve">No-Cost and Low-Cost Services </w:t>
      </w:r>
      <w:r>
        <w:rPr>
          <w:b/>
          <w:bCs/>
          <w:lang w:val="en-US"/>
        </w:rPr>
        <w:t>M</w:t>
      </w:r>
      <w:r w:rsidR="00405FDD">
        <w:rPr>
          <w:b/>
          <w:bCs/>
          <w:lang w:val="en-US"/>
        </w:rPr>
        <w:t xml:space="preserve">ay </w:t>
      </w:r>
      <w:r>
        <w:rPr>
          <w:b/>
          <w:bCs/>
          <w:lang w:val="en-US"/>
        </w:rPr>
        <w:t>Not Be Protected</w:t>
      </w:r>
    </w:p>
    <w:p w14:paraId="3FD5E321" w14:textId="0F92732D" w:rsidR="00022D98" w:rsidRDefault="00BA17F5" w:rsidP="00771D0A">
      <w:pPr>
        <w:spacing w:after="0"/>
        <w:rPr>
          <w:lang w:val="en-US"/>
        </w:rPr>
      </w:pPr>
      <w:r>
        <w:rPr>
          <w:lang w:val="en-US"/>
        </w:rPr>
        <w:t xml:space="preserve">Many digital services are provided on a low-cost or no-cost basis to the consumer. </w:t>
      </w:r>
      <w:r w:rsidR="0048128A">
        <w:rPr>
          <w:lang w:val="en-US"/>
        </w:rPr>
        <w:t xml:space="preserve">Such business models may avoid the regulation and scrutiny of consumer law as they fall </w:t>
      </w:r>
      <w:r w:rsidR="00405FDD">
        <w:rPr>
          <w:lang w:val="en-US"/>
        </w:rPr>
        <w:t xml:space="preserve">short of monetary thresholds that trigger </w:t>
      </w:r>
      <w:r w:rsidR="0048128A">
        <w:rPr>
          <w:lang w:val="en-US"/>
        </w:rPr>
        <w:t xml:space="preserve">legislative </w:t>
      </w:r>
      <w:r w:rsidR="00A70B13">
        <w:rPr>
          <w:lang w:val="en-US"/>
        </w:rPr>
        <w:t>oversight</w:t>
      </w:r>
      <w:r w:rsidR="00405FDD">
        <w:rPr>
          <w:lang w:val="en-US"/>
        </w:rPr>
        <w:t>.</w:t>
      </w:r>
      <w:r w:rsidR="00873F4E">
        <w:rPr>
          <w:rStyle w:val="EndnoteReference"/>
          <w:lang w:val="en-US"/>
        </w:rPr>
        <w:endnoteReference w:id="32"/>
      </w:r>
      <w:r w:rsidR="00873F4E">
        <w:rPr>
          <w:lang w:val="en-US"/>
        </w:rPr>
        <w:t xml:space="preserve"> </w:t>
      </w:r>
      <w:r w:rsidR="00405FDD">
        <w:rPr>
          <w:lang w:val="en-US"/>
        </w:rPr>
        <w:t xml:space="preserve">These services </w:t>
      </w:r>
      <w:r w:rsidR="00D445EA">
        <w:rPr>
          <w:lang w:val="en-US"/>
        </w:rPr>
        <w:t xml:space="preserve">may also </w:t>
      </w:r>
      <w:r w:rsidR="00405FDD">
        <w:rPr>
          <w:lang w:val="en-US"/>
        </w:rPr>
        <w:t xml:space="preserve">rely on business models that monetize users </w:t>
      </w:r>
      <w:r w:rsidR="00405FDD">
        <w:rPr>
          <w:lang w:val="en-US"/>
        </w:rPr>
        <w:lastRenderedPageBreak/>
        <w:t>through data harvesting, user profiling, and targeted content or advertisements</w:t>
      </w:r>
      <w:r w:rsidR="00DD6A7F">
        <w:rPr>
          <w:lang w:val="en-US"/>
        </w:rPr>
        <w:t xml:space="preserve"> – practices which are often unseen and unknown to consumers.</w:t>
      </w:r>
    </w:p>
    <w:p w14:paraId="2CCEF75C" w14:textId="77777777" w:rsidR="00771D0A" w:rsidRDefault="00771D0A" w:rsidP="00022D98">
      <w:pPr>
        <w:spacing w:after="0"/>
        <w:rPr>
          <w:b/>
          <w:bCs/>
          <w:lang w:val="en-US"/>
        </w:rPr>
      </w:pPr>
    </w:p>
    <w:p w14:paraId="0B772D1A" w14:textId="2501427D" w:rsidR="00022D98" w:rsidRPr="00B41AF4" w:rsidRDefault="00F9657E" w:rsidP="00022D98">
      <w:pPr>
        <w:spacing w:after="0"/>
        <w:rPr>
          <w:b/>
          <w:bCs/>
          <w:lang w:val="en-US"/>
        </w:rPr>
      </w:pPr>
      <w:r>
        <w:rPr>
          <w:b/>
          <w:bCs/>
          <w:lang w:val="en-US"/>
        </w:rPr>
        <w:t xml:space="preserve">ToS May </w:t>
      </w:r>
      <w:r w:rsidR="00022D98" w:rsidRPr="00B41AF4">
        <w:rPr>
          <w:b/>
          <w:bCs/>
          <w:lang w:val="en-US"/>
        </w:rPr>
        <w:t>Restrict</w:t>
      </w:r>
      <w:r>
        <w:rPr>
          <w:b/>
          <w:bCs/>
          <w:lang w:val="en-US"/>
        </w:rPr>
        <w:t xml:space="preserve"> Legal </w:t>
      </w:r>
      <w:r w:rsidR="00073774">
        <w:rPr>
          <w:b/>
          <w:bCs/>
          <w:lang w:val="en-US"/>
        </w:rPr>
        <w:t>Remedies</w:t>
      </w:r>
      <w:r>
        <w:rPr>
          <w:b/>
          <w:bCs/>
          <w:lang w:val="en-US"/>
        </w:rPr>
        <w:t xml:space="preserve"> and Access to </w:t>
      </w:r>
      <w:r w:rsidR="00022D98" w:rsidRPr="00B41AF4">
        <w:rPr>
          <w:b/>
          <w:bCs/>
          <w:lang w:val="en-US"/>
        </w:rPr>
        <w:t xml:space="preserve">Justice </w:t>
      </w:r>
    </w:p>
    <w:p w14:paraId="7609F630" w14:textId="77777777" w:rsidR="00022D98" w:rsidRDefault="00022D98" w:rsidP="00022D98">
      <w:pPr>
        <w:spacing w:after="0"/>
        <w:rPr>
          <w:lang w:val="en-US"/>
        </w:rPr>
      </w:pPr>
    </w:p>
    <w:p w14:paraId="5A66342C" w14:textId="7C7DCA72" w:rsidR="005D0E77" w:rsidRDefault="00022D98" w:rsidP="00022D98">
      <w:pPr>
        <w:spacing w:after="0"/>
        <w:rPr>
          <w:lang w:val="en-US"/>
        </w:rPr>
      </w:pPr>
      <w:r>
        <w:rPr>
          <w:lang w:val="en-US"/>
        </w:rPr>
        <w:t xml:space="preserve">Notwithstanding </w:t>
      </w:r>
      <w:r w:rsidR="008141F1">
        <w:rPr>
          <w:lang w:val="en-US"/>
        </w:rPr>
        <w:t xml:space="preserve">consumer </w:t>
      </w:r>
      <w:r>
        <w:rPr>
          <w:lang w:val="en-US"/>
        </w:rPr>
        <w:t>protection</w:t>
      </w:r>
      <w:r w:rsidR="008141F1">
        <w:rPr>
          <w:lang w:val="en-US"/>
        </w:rPr>
        <w:t xml:space="preserve"> </w:t>
      </w:r>
      <w:r>
        <w:rPr>
          <w:lang w:val="en-US"/>
        </w:rPr>
        <w:t>legislatio</w:t>
      </w:r>
      <w:r w:rsidR="00DD6A7F">
        <w:rPr>
          <w:lang w:val="en-US"/>
        </w:rPr>
        <w:t xml:space="preserve">n, </w:t>
      </w:r>
      <w:r w:rsidR="00771D0A">
        <w:rPr>
          <w:lang w:val="en-US"/>
        </w:rPr>
        <w:t xml:space="preserve">ToS may include </w:t>
      </w:r>
      <w:r w:rsidR="00DD6A7F">
        <w:rPr>
          <w:lang w:val="en-US"/>
        </w:rPr>
        <w:t>terms</w:t>
      </w:r>
      <w:r w:rsidR="00771D0A">
        <w:rPr>
          <w:lang w:val="en-US"/>
        </w:rPr>
        <w:t xml:space="preserve"> attempting to </w:t>
      </w:r>
      <w:r w:rsidR="00F9657E">
        <w:rPr>
          <w:lang w:val="en-US"/>
        </w:rPr>
        <w:t xml:space="preserve">restrict consumer’s ability to seek legal remedies. ToS </w:t>
      </w:r>
      <w:r w:rsidR="00DD6A7F">
        <w:rPr>
          <w:lang w:val="en-US"/>
        </w:rPr>
        <w:t xml:space="preserve">may </w:t>
      </w:r>
      <w:r>
        <w:rPr>
          <w:lang w:val="en-US"/>
        </w:rPr>
        <w:t xml:space="preserve">include </w:t>
      </w:r>
      <w:r w:rsidR="00F9657E">
        <w:rPr>
          <w:lang w:val="en-US"/>
        </w:rPr>
        <w:t xml:space="preserve">terms stating that </w:t>
      </w:r>
      <w:r>
        <w:rPr>
          <w:lang w:val="en-US"/>
        </w:rPr>
        <w:t xml:space="preserve">disputes </w:t>
      </w:r>
      <w:r w:rsidR="00F9657E">
        <w:rPr>
          <w:lang w:val="en-US"/>
        </w:rPr>
        <w:t>are governed by foreign laws or must be initiated in foreign jurisdiction</w:t>
      </w:r>
      <w:r w:rsidR="00DD6A7F">
        <w:rPr>
          <w:lang w:val="en-US"/>
        </w:rPr>
        <w:t xml:space="preserve">. </w:t>
      </w:r>
      <w:r w:rsidR="00F9657E">
        <w:rPr>
          <w:lang w:val="en-US"/>
        </w:rPr>
        <w:t xml:space="preserve">Many ToS also specify that disputes must </w:t>
      </w:r>
      <w:r>
        <w:rPr>
          <w:lang w:val="en-US"/>
        </w:rPr>
        <w:t>be resolved through internal dispute resolution mechanisms</w:t>
      </w:r>
      <w:r w:rsidR="00A70B13">
        <w:rPr>
          <w:lang w:val="en-US"/>
        </w:rPr>
        <w:t xml:space="preserve"> or </w:t>
      </w:r>
      <w:r>
        <w:rPr>
          <w:lang w:val="en-US"/>
        </w:rPr>
        <w:t>binding arbitration</w:t>
      </w:r>
      <w:r w:rsidR="00F9657E">
        <w:rPr>
          <w:lang w:val="en-US"/>
        </w:rPr>
        <w:t>, or that class action rights are waived</w:t>
      </w:r>
      <w:r>
        <w:rPr>
          <w:lang w:val="en-US"/>
        </w:rPr>
        <w:t>.</w:t>
      </w:r>
      <w:r w:rsidR="009E0094">
        <w:rPr>
          <w:lang w:val="en-US"/>
        </w:rPr>
        <w:t xml:space="preserve"> </w:t>
      </w:r>
    </w:p>
    <w:p w14:paraId="04004F04" w14:textId="77777777" w:rsidR="00022D98" w:rsidRPr="00C03200" w:rsidRDefault="00022D98" w:rsidP="00022D98">
      <w:pPr>
        <w:spacing w:after="0"/>
        <w:rPr>
          <w:lang w:val="en-US"/>
        </w:rPr>
      </w:pPr>
    </w:p>
    <w:p w14:paraId="1AE410B7" w14:textId="00CC7E4A" w:rsidR="00022D98" w:rsidRPr="00B41AF4" w:rsidRDefault="00022D98" w:rsidP="00022D98">
      <w:pPr>
        <w:rPr>
          <w:b/>
          <w:bCs/>
        </w:rPr>
      </w:pPr>
      <w:r w:rsidRPr="00B41AF4">
        <w:rPr>
          <w:b/>
          <w:bCs/>
        </w:rPr>
        <w:t>Consumer Protection Laws</w:t>
      </w:r>
      <w:r w:rsidR="008141F1">
        <w:rPr>
          <w:b/>
          <w:bCs/>
        </w:rPr>
        <w:t xml:space="preserve"> </w:t>
      </w:r>
      <w:r w:rsidR="00A70B13">
        <w:rPr>
          <w:b/>
          <w:bCs/>
        </w:rPr>
        <w:t xml:space="preserve">May </w:t>
      </w:r>
      <w:r w:rsidR="008141F1">
        <w:rPr>
          <w:b/>
          <w:bCs/>
        </w:rPr>
        <w:t>Conflict</w:t>
      </w:r>
      <w:r w:rsidR="00A760EF">
        <w:rPr>
          <w:b/>
          <w:bCs/>
        </w:rPr>
        <w:t xml:space="preserve"> and </w:t>
      </w:r>
      <w:r w:rsidR="008141F1">
        <w:rPr>
          <w:b/>
          <w:bCs/>
        </w:rPr>
        <w:t>Overlap with Other Laws</w:t>
      </w:r>
    </w:p>
    <w:p w14:paraId="3A62022A" w14:textId="771E2EC0" w:rsidR="00022D98" w:rsidRDefault="00A760EF" w:rsidP="00022D98">
      <w:pPr>
        <w:spacing w:after="0"/>
      </w:pPr>
      <w:r>
        <w:t>A significant proportion of consumer transactions are now conducted through digital intermediaries.</w:t>
      </w:r>
      <w:r w:rsidR="009E0094">
        <w:t xml:space="preserve"> </w:t>
      </w:r>
      <w:r w:rsidR="00D46ABC">
        <w:t xml:space="preserve">Many </w:t>
      </w:r>
      <w:r>
        <w:t>people use digital services for work, education, recreation, communication, or to find jobs and housing. A</w:t>
      </w:r>
      <w:r w:rsidR="00D46ABC">
        <w:t xml:space="preserve">s a result, </w:t>
      </w:r>
      <w:r>
        <w:t xml:space="preserve">consumer protection law </w:t>
      </w:r>
      <w:r w:rsidR="00D46ABC">
        <w:t xml:space="preserve">often overlaps with, or is in conflict with, privacy law, </w:t>
      </w:r>
      <w:r>
        <w:t xml:space="preserve">employment law, </w:t>
      </w:r>
      <w:r w:rsidR="002F719A">
        <w:t xml:space="preserve">labour law, </w:t>
      </w:r>
      <w:r>
        <w:t xml:space="preserve">competition law, human rights law, </w:t>
      </w:r>
      <w:r w:rsidR="00D46ABC">
        <w:t>and internet platform regulation</w:t>
      </w:r>
      <w:r>
        <w:t xml:space="preserve">. </w:t>
      </w:r>
    </w:p>
    <w:p w14:paraId="094B15D8" w14:textId="77777777" w:rsidR="00914D0A" w:rsidRDefault="00914D0A" w:rsidP="00022D98">
      <w:pPr>
        <w:spacing w:after="0"/>
      </w:pPr>
    </w:p>
    <w:p w14:paraId="4D6BB39B" w14:textId="24E49E1A" w:rsidR="008141F1" w:rsidRPr="007A41A0" w:rsidRDefault="003B7AA0" w:rsidP="003B7AA0">
      <w:pPr>
        <w:pStyle w:val="Heading3"/>
        <w:rPr>
          <w:lang w:val="en-US"/>
        </w:rPr>
      </w:pPr>
      <w:bookmarkStart w:id="23" w:name="_Toc138151823"/>
      <w:r>
        <w:rPr>
          <w:lang w:val="en-US"/>
        </w:rPr>
        <w:t>1.3.2</w:t>
      </w:r>
      <w:r>
        <w:rPr>
          <w:lang w:val="en-US"/>
        </w:rPr>
        <w:tab/>
      </w:r>
      <w:r w:rsidR="00E9015B" w:rsidRPr="007A41A0">
        <w:rPr>
          <w:lang w:val="en-US"/>
        </w:rPr>
        <w:t xml:space="preserve">The Need for a </w:t>
      </w:r>
      <w:r w:rsidR="00A21F3E" w:rsidRPr="007A41A0">
        <w:rPr>
          <w:lang w:val="en-US"/>
        </w:rPr>
        <w:t xml:space="preserve">Better </w:t>
      </w:r>
      <w:r w:rsidR="00B564DC" w:rsidRPr="007A41A0">
        <w:rPr>
          <w:lang w:val="en-US"/>
        </w:rPr>
        <w:t xml:space="preserve">Environment </w:t>
      </w:r>
      <w:r w:rsidR="00697C07" w:rsidRPr="007A41A0">
        <w:rPr>
          <w:lang w:val="en-US"/>
        </w:rPr>
        <w:t>for</w:t>
      </w:r>
      <w:r w:rsidR="00B564DC" w:rsidRPr="007A41A0">
        <w:rPr>
          <w:lang w:val="en-US"/>
        </w:rPr>
        <w:t xml:space="preserve"> Business</w:t>
      </w:r>
      <w:bookmarkEnd w:id="23"/>
    </w:p>
    <w:p w14:paraId="2633842D" w14:textId="77777777" w:rsidR="003E39D2" w:rsidRDefault="003E39D2" w:rsidP="004A3EEC">
      <w:pPr>
        <w:rPr>
          <w:highlight w:val="yellow"/>
          <w:lang w:val="en-US"/>
        </w:rPr>
      </w:pPr>
    </w:p>
    <w:p w14:paraId="130368D3" w14:textId="08D89777" w:rsidR="001B3286" w:rsidRDefault="001B3286" w:rsidP="001B3286">
      <w:r>
        <w:t xml:space="preserve">The 2020 and 2023 Ontario </w:t>
      </w:r>
      <w:r w:rsidR="00D30498">
        <w:t xml:space="preserve">CPA </w:t>
      </w:r>
      <w:r>
        <w:t xml:space="preserve">Consultation Papers recognize that updated consumer protection legislation </w:t>
      </w:r>
      <w:r w:rsidR="0065640F">
        <w:t>benefit</w:t>
      </w:r>
      <w:r w:rsidR="00A56BD6">
        <w:t xml:space="preserve">s both </w:t>
      </w:r>
      <w:r w:rsidR="0065640F">
        <w:t>c</w:t>
      </w:r>
      <w:r>
        <w:t>onsumer</w:t>
      </w:r>
      <w:r w:rsidR="0065640F">
        <w:t>s</w:t>
      </w:r>
      <w:r>
        <w:t xml:space="preserve"> and businesses.</w:t>
      </w:r>
      <w:r w:rsidR="00D30498">
        <w:rPr>
          <w:rStyle w:val="EndnoteReference"/>
        </w:rPr>
        <w:endnoteReference w:id="33"/>
      </w:r>
    </w:p>
    <w:p w14:paraId="21D0375B" w14:textId="098B2EB4" w:rsidR="00CB455B" w:rsidRDefault="001B3286" w:rsidP="001B3286">
      <w:pPr>
        <w:spacing w:after="0" w:line="240" w:lineRule="auto"/>
      </w:pPr>
      <w:r>
        <w:t xml:space="preserve">Consumer protection legislation establishes baseline requirements for transparency, </w:t>
      </w:r>
      <w:r w:rsidR="00FB2DA9">
        <w:t xml:space="preserve">dispute resolution, </w:t>
      </w:r>
      <w:r>
        <w:t>jurisdiction</w:t>
      </w:r>
      <w:r w:rsidR="001D2375">
        <w:t xml:space="preserve">, </w:t>
      </w:r>
      <w:r w:rsidR="00FB2DA9">
        <w:t>and regulatory compliance</w:t>
      </w:r>
      <w:r>
        <w:t xml:space="preserve">. This </w:t>
      </w:r>
      <w:r w:rsidR="001D2375">
        <w:t>fosters</w:t>
      </w:r>
      <w:r>
        <w:t xml:space="preserve"> a more competitive playing field for business</w:t>
      </w:r>
      <w:r w:rsidR="62E4E94C">
        <w:t>es</w:t>
      </w:r>
      <w:r w:rsidR="00FB2DA9">
        <w:t>, avoids a race to the bottom, and improves consumer confidence.</w:t>
      </w:r>
      <w:r>
        <w:rPr>
          <w:rStyle w:val="EndnoteReference"/>
        </w:rPr>
        <w:endnoteReference w:id="34"/>
      </w:r>
      <w:r w:rsidR="009E0094">
        <w:t xml:space="preserve"> </w:t>
      </w:r>
    </w:p>
    <w:p w14:paraId="7DFBD949" w14:textId="77777777" w:rsidR="00CB455B" w:rsidRDefault="00CB455B" w:rsidP="001B3286">
      <w:pPr>
        <w:spacing w:after="0" w:line="240" w:lineRule="auto"/>
      </w:pPr>
    </w:p>
    <w:p w14:paraId="3319B43A" w14:textId="3FB81E35" w:rsidR="00CB455B" w:rsidRDefault="00A56BD6" w:rsidP="00CB455B">
      <w:pPr>
        <w:spacing w:after="0" w:line="240" w:lineRule="auto"/>
      </w:pPr>
      <w:r>
        <w:t>Many b</w:t>
      </w:r>
      <w:r w:rsidR="001B3286" w:rsidRPr="001B3286">
        <w:t>usinesses</w:t>
      </w:r>
      <w:r w:rsidR="001B3286">
        <w:t xml:space="preserve"> </w:t>
      </w:r>
      <w:r w:rsidR="00CB455B">
        <w:t xml:space="preserve">believe consumer protection reform will assist them identify and manage legal risks, mitigate reputational </w:t>
      </w:r>
      <w:r>
        <w:t>risks</w:t>
      </w:r>
      <w:r w:rsidR="001B3286">
        <w:t xml:space="preserve">, </w:t>
      </w:r>
      <w:r w:rsidR="00CB455B">
        <w:t xml:space="preserve">improve </w:t>
      </w:r>
      <w:r w:rsidR="001B3286">
        <w:t xml:space="preserve">customer satisfaction, </w:t>
      </w:r>
      <w:r w:rsidR="00CB455B">
        <w:t xml:space="preserve">promote </w:t>
      </w:r>
      <w:r w:rsidR="001B3286">
        <w:t xml:space="preserve">fair competition, and </w:t>
      </w:r>
      <w:r w:rsidR="00CB455B">
        <w:t xml:space="preserve">promote </w:t>
      </w:r>
      <w:r w:rsidR="001B3286">
        <w:t>regulatory compliance</w:t>
      </w:r>
      <w:r>
        <w:t xml:space="preserve"> in the digital marketplace.</w:t>
      </w:r>
      <w:r w:rsidR="00DA1BFC">
        <w:rPr>
          <w:rStyle w:val="EndnoteReference"/>
        </w:rPr>
        <w:endnoteReference w:id="35"/>
      </w:r>
      <w:r w:rsidR="009E0094">
        <w:t xml:space="preserve"> </w:t>
      </w:r>
    </w:p>
    <w:p w14:paraId="38DE0CDF" w14:textId="77777777" w:rsidR="00CB455B" w:rsidRDefault="00CB455B" w:rsidP="001B3286">
      <w:pPr>
        <w:spacing w:after="0" w:line="240" w:lineRule="auto"/>
      </w:pPr>
    </w:p>
    <w:p w14:paraId="5B3B7ACF" w14:textId="671F9828" w:rsidR="00CB455B" w:rsidRDefault="002B5C7D" w:rsidP="001B3286">
      <w:pPr>
        <w:spacing w:after="0" w:line="240" w:lineRule="auto"/>
      </w:pPr>
      <w:r>
        <w:t>The O</w:t>
      </w:r>
      <w:r w:rsidR="00A56BD6">
        <w:t xml:space="preserve">rganization </w:t>
      </w:r>
      <w:r w:rsidR="005A4877">
        <w:t>for</w:t>
      </w:r>
      <w:r w:rsidR="00A56BD6">
        <w:t xml:space="preserve"> Economic Cooperation and Development (OECD) recently </w:t>
      </w:r>
      <w:r>
        <w:t>emphasize</w:t>
      </w:r>
      <w:r w:rsidR="00A70B13">
        <w:t>d</w:t>
      </w:r>
      <w:r>
        <w:t xml:space="preserve"> that regulation of certain </w:t>
      </w:r>
      <w:r w:rsidR="00A56BD6">
        <w:t xml:space="preserve">digital marketplace </w:t>
      </w:r>
      <w:r>
        <w:t xml:space="preserve">practices – like dark patterns – can lower </w:t>
      </w:r>
      <w:r w:rsidR="00A56BD6">
        <w:t xml:space="preserve">business </w:t>
      </w:r>
      <w:r>
        <w:t>risk</w:t>
      </w:r>
      <w:r w:rsidR="00A56BD6">
        <w:t>s</w:t>
      </w:r>
      <w:r>
        <w:t xml:space="preserve"> without imposing new obligations.</w:t>
      </w:r>
      <w:r>
        <w:rPr>
          <w:rStyle w:val="EndnoteReference"/>
        </w:rPr>
        <w:endnoteReference w:id="36"/>
      </w:r>
    </w:p>
    <w:p w14:paraId="2D401CD7" w14:textId="0C2871E7" w:rsidR="001B3286" w:rsidRDefault="00DA1BFC" w:rsidP="00634CA4">
      <w:pPr>
        <w:spacing w:before="120" w:after="240" w:line="240" w:lineRule="auto"/>
      </w:pPr>
      <w:r>
        <w:t xml:space="preserve">Businesses are not monolithic. </w:t>
      </w:r>
      <w:r w:rsidR="00CA4394">
        <w:t>Major entities in the digital marketplace are positioned “</w:t>
      </w:r>
      <w:r w:rsidR="00CA4394" w:rsidRPr="003F3E3F">
        <w:t>at the center of e-commerce and now serve as essential infrastructure for a host of other businesses that depend upon it</w:t>
      </w:r>
      <w:r w:rsidR="00CA4394">
        <w:t>.”</w:t>
      </w:r>
      <w:r w:rsidR="00CA4394">
        <w:rPr>
          <w:rStyle w:val="EndnoteReference"/>
        </w:rPr>
        <w:endnoteReference w:id="37"/>
      </w:r>
      <w:r w:rsidR="009E0094">
        <w:t xml:space="preserve"> </w:t>
      </w:r>
      <w:r>
        <w:t xml:space="preserve">Smaller </w:t>
      </w:r>
      <w:r w:rsidR="003E39D2">
        <w:t xml:space="preserve">businesses </w:t>
      </w:r>
      <w:r>
        <w:t xml:space="preserve">face </w:t>
      </w:r>
      <w:r w:rsidR="00E87B55">
        <w:t>potential</w:t>
      </w:r>
      <w:r>
        <w:t xml:space="preserve"> competitive disadvantage</w:t>
      </w:r>
      <w:r w:rsidR="00CB455B">
        <w:t>s</w:t>
      </w:r>
      <w:r>
        <w:t xml:space="preserve"> without </w:t>
      </w:r>
      <w:r w:rsidR="003E39D2">
        <w:t xml:space="preserve">laws </w:t>
      </w:r>
      <w:r>
        <w:t>th</w:t>
      </w:r>
      <w:r w:rsidR="00647BA7">
        <w:t>at</w:t>
      </w:r>
      <w:r>
        <w:t xml:space="preserve"> impose common requirements on all suppliers</w:t>
      </w:r>
      <w:r w:rsidR="009414B8">
        <w:t xml:space="preserve"> and business intermediaries</w:t>
      </w:r>
      <w:r>
        <w:t>.</w:t>
      </w:r>
      <w:r w:rsidR="009E0094">
        <w:t xml:space="preserve"> </w:t>
      </w:r>
      <w:r w:rsidR="003E39D2">
        <w:t xml:space="preserve">Many </w:t>
      </w:r>
      <w:r w:rsidR="00F37352">
        <w:t xml:space="preserve">businesses </w:t>
      </w:r>
      <w:r w:rsidR="003E39D2">
        <w:t xml:space="preserve">are also concerned about </w:t>
      </w:r>
      <w:r w:rsidR="00F37352">
        <w:t xml:space="preserve">unfair competition </w:t>
      </w:r>
      <w:r w:rsidR="003E39D2">
        <w:t xml:space="preserve">if regulatory </w:t>
      </w:r>
      <w:r w:rsidR="00AC2DA6">
        <w:t>obligations</w:t>
      </w:r>
      <w:r w:rsidR="003E39D2">
        <w:t xml:space="preserve"> are not </w:t>
      </w:r>
      <w:r w:rsidR="00F37352">
        <w:t>enforced on less scrupulous suppliers.</w:t>
      </w:r>
      <w:r w:rsidR="000249DE">
        <w:rPr>
          <w:rStyle w:val="EndnoteReference"/>
        </w:rPr>
        <w:endnoteReference w:id="38"/>
      </w:r>
    </w:p>
    <w:p w14:paraId="08471D33" w14:textId="0550FA75" w:rsidR="002D20E5" w:rsidRPr="007A41A0" w:rsidRDefault="003B7AA0" w:rsidP="003B7AA0">
      <w:pPr>
        <w:pStyle w:val="Heading3"/>
        <w:rPr>
          <w:lang w:val="en-US"/>
        </w:rPr>
      </w:pPr>
      <w:bookmarkStart w:id="24" w:name="_Toc138151824"/>
      <w:r>
        <w:rPr>
          <w:lang w:val="en-US"/>
        </w:rPr>
        <w:t>1.3.3</w:t>
      </w:r>
      <w:r>
        <w:rPr>
          <w:lang w:val="en-US"/>
        </w:rPr>
        <w:tab/>
      </w:r>
      <w:r w:rsidR="00177A44" w:rsidRPr="007A41A0">
        <w:rPr>
          <w:lang w:val="en-US"/>
        </w:rPr>
        <w:t xml:space="preserve">Emerging Strategies to </w:t>
      </w:r>
      <w:r w:rsidR="00AC2DA6" w:rsidRPr="007A41A0">
        <w:rPr>
          <w:lang w:val="en-US"/>
        </w:rPr>
        <w:t xml:space="preserve">Improve </w:t>
      </w:r>
      <w:r w:rsidR="00177A44" w:rsidRPr="007A41A0">
        <w:rPr>
          <w:lang w:val="en-US"/>
        </w:rPr>
        <w:t xml:space="preserve">Consumer </w:t>
      </w:r>
      <w:r w:rsidR="00AC2DA6" w:rsidRPr="007A41A0">
        <w:rPr>
          <w:lang w:val="en-US"/>
        </w:rPr>
        <w:t xml:space="preserve">Protection </w:t>
      </w:r>
      <w:r w:rsidR="00177A44" w:rsidRPr="007A41A0">
        <w:rPr>
          <w:lang w:val="en-US"/>
        </w:rPr>
        <w:t>in the Digital Marketplace</w:t>
      </w:r>
      <w:bookmarkEnd w:id="24"/>
    </w:p>
    <w:p w14:paraId="64B5F79A" w14:textId="1571F30F" w:rsidR="00BA74DF" w:rsidRDefault="00BA74DF" w:rsidP="00177A44">
      <w:pPr>
        <w:spacing w:after="0"/>
      </w:pPr>
    </w:p>
    <w:p w14:paraId="0F316D36" w14:textId="5D940233" w:rsidR="00AC2DA6" w:rsidRDefault="00AC2DA6" w:rsidP="007A41A0">
      <w:pPr>
        <w:spacing w:after="0"/>
      </w:pPr>
      <w:r>
        <w:t>Many c</w:t>
      </w:r>
      <w:r w:rsidR="00177A44">
        <w:t xml:space="preserve">onsumers </w:t>
      </w:r>
      <w:r w:rsidR="00A21F3E">
        <w:t xml:space="preserve">and businesses </w:t>
      </w:r>
      <w:r w:rsidR="00177A44">
        <w:t>around the world are facing the same</w:t>
      </w:r>
      <w:r w:rsidR="00045811">
        <w:t xml:space="preserve"> </w:t>
      </w:r>
      <w:r>
        <w:t xml:space="preserve">ToS </w:t>
      </w:r>
      <w:r w:rsidR="00177A44">
        <w:t xml:space="preserve">issues as Ontarians. </w:t>
      </w:r>
    </w:p>
    <w:p w14:paraId="3E4FBBAC" w14:textId="470AD841" w:rsidR="00446AA9" w:rsidRPr="00177A44" w:rsidRDefault="00AC2DA6" w:rsidP="007A41A0">
      <w:pPr>
        <w:spacing w:after="0"/>
      </w:pPr>
      <w:r>
        <w:t>Ontarians can learn from these experiences and draw upon the broad range of law reform options that have been implemented elsewhere.</w:t>
      </w:r>
      <w:r w:rsidR="009E0094">
        <w:t xml:space="preserve"> </w:t>
      </w:r>
      <w:r>
        <w:t>For example, many jurisdictions have m</w:t>
      </w:r>
      <w:r w:rsidR="006D50D6" w:rsidRPr="00177A44">
        <w:t>odernized consumer protection legislation and regulations</w:t>
      </w:r>
      <w:r w:rsidR="00133196">
        <w:t xml:space="preserve"> to</w:t>
      </w:r>
      <w:r w:rsidR="0056619C">
        <w:t>:</w:t>
      </w:r>
    </w:p>
    <w:p w14:paraId="484281B9" w14:textId="77777777" w:rsidR="00446AA9" w:rsidRDefault="00446AA9" w:rsidP="00446AA9">
      <w:pPr>
        <w:spacing w:after="0"/>
      </w:pPr>
    </w:p>
    <w:p w14:paraId="46104737" w14:textId="549C6D6F" w:rsidR="00446AA9" w:rsidRDefault="00AC2DA6" w:rsidP="00470F77">
      <w:pPr>
        <w:pStyle w:val="ListParagraph"/>
        <w:numPr>
          <w:ilvl w:val="0"/>
          <w:numId w:val="68"/>
        </w:numPr>
        <w:spacing w:after="0"/>
      </w:pPr>
      <w:r>
        <w:t xml:space="preserve">Update </w:t>
      </w:r>
      <w:r w:rsidR="00446AA9">
        <w:t xml:space="preserve">consumer notice and disclosure requirements for digital </w:t>
      </w:r>
      <w:r w:rsidR="00A70B13">
        <w:t>ToS</w:t>
      </w:r>
    </w:p>
    <w:p w14:paraId="7E4B927D" w14:textId="65B0B478" w:rsidR="00446AA9" w:rsidRPr="00177A44" w:rsidRDefault="00446AA9" w:rsidP="00470F77">
      <w:pPr>
        <w:pStyle w:val="ListParagraph"/>
        <w:numPr>
          <w:ilvl w:val="0"/>
          <w:numId w:val="68"/>
        </w:numPr>
        <w:spacing w:after="0"/>
      </w:pPr>
      <w:r>
        <w:t xml:space="preserve">Update lists of potentially deceptive or </w:t>
      </w:r>
      <w:r w:rsidR="009931C2">
        <w:t>unconscionable</w:t>
      </w:r>
      <w:r>
        <w:t xml:space="preserve"> contractual </w:t>
      </w:r>
      <w:r w:rsidR="00E20DE1">
        <w:t>terms</w:t>
      </w:r>
    </w:p>
    <w:p w14:paraId="3B62C1B6" w14:textId="7688238B" w:rsidR="0056619C" w:rsidRDefault="00446AA9" w:rsidP="00470F77">
      <w:pPr>
        <w:pStyle w:val="ListParagraph"/>
        <w:numPr>
          <w:ilvl w:val="0"/>
          <w:numId w:val="68"/>
        </w:numPr>
        <w:spacing w:after="0"/>
      </w:pPr>
      <w:r>
        <w:t>Address so-called “dark patterns” in online contracting that undermine consumer consent</w:t>
      </w:r>
    </w:p>
    <w:p w14:paraId="0687A84D" w14:textId="225617DC" w:rsidR="0056619C" w:rsidRDefault="0056619C" w:rsidP="00470F77">
      <w:pPr>
        <w:pStyle w:val="ListParagraph"/>
        <w:numPr>
          <w:ilvl w:val="0"/>
          <w:numId w:val="68"/>
        </w:numPr>
        <w:spacing w:after="0"/>
      </w:pPr>
      <w:r>
        <w:t>Prohibit a range of contracting practices or</w:t>
      </w:r>
      <w:r w:rsidR="1E645241">
        <w:t xml:space="preserve"> create</w:t>
      </w:r>
      <w:r>
        <w:t xml:space="preserve"> set standard terms for practices that may easily exploit consumers</w:t>
      </w:r>
    </w:p>
    <w:p w14:paraId="109B0985" w14:textId="42B4D02F" w:rsidR="00F11C83" w:rsidRDefault="0056619C" w:rsidP="00470F77">
      <w:pPr>
        <w:pStyle w:val="ListParagraph"/>
        <w:numPr>
          <w:ilvl w:val="0"/>
          <w:numId w:val="68"/>
        </w:numPr>
        <w:spacing w:after="0"/>
      </w:pPr>
      <w:r>
        <w:t>Improve oversight, accountability and access to justice, including more proactive and systemic enforcement of consumer protection legislation.</w:t>
      </w:r>
      <w:r w:rsidR="00446AA9">
        <w:t xml:space="preserve"> </w:t>
      </w:r>
    </w:p>
    <w:p w14:paraId="3667021E" w14:textId="77777777" w:rsidR="005D0E77" w:rsidRDefault="005D0E77" w:rsidP="007A41A0">
      <w:pPr>
        <w:spacing w:after="0"/>
      </w:pPr>
      <w:bookmarkStart w:id="25" w:name="_Toc113832381"/>
    </w:p>
    <w:p w14:paraId="1438AB06" w14:textId="0BA78107" w:rsidR="005D0E77" w:rsidRDefault="00DB31B4" w:rsidP="007A41A0">
      <w:pPr>
        <w:pStyle w:val="Heading2"/>
        <w:numPr>
          <w:ilvl w:val="1"/>
          <w:numId w:val="1"/>
        </w:numPr>
      </w:pPr>
      <w:bookmarkStart w:id="26" w:name="_Toc138151825"/>
      <w:r>
        <w:t xml:space="preserve">Project Focus and </w:t>
      </w:r>
      <w:r w:rsidR="00F30143">
        <w:t xml:space="preserve">Consultation </w:t>
      </w:r>
      <w:r>
        <w:t>Issues</w:t>
      </w:r>
      <w:bookmarkEnd w:id="26"/>
      <w:r>
        <w:t xml:space="preserve"> </w:t>
      </w:r>
    </w:p>
    <w:p w14:paraId="0E20A0E9" w14:textId="77777777" w:rsidR="00E8407B" w:rsidRDefault="00E8407B" w:rsidP="00DB31B4">
      <w:pPr>
        <w:spacing w:after="0"/>
      </w:pPr>
    </w:p>
    <w:p w14:paraId="5E0C5B39" w14:textId="35028BCD" w:rsidR="00DB31B4" w:rsidRDefault="00C6297F" w:rsidP="00DB31B4">
      <w:pPr>
        <w:spacing w:after="0"/>
      </w:pPr>
      <w:r>
        <w:t>Q</w:t>
      </w:r>
      <w:r w:rsidR="00DB31B4">
        <w:t>uestions about ToS contracts and the digital marketplace have a potentially very wide scope</w:t>
      </w:r>
      <w:r w:rsidR="00CB455B">
        <w:t xml:space="preserve"> and are often linked to privacy, internet </w:t>
      </w:r>
      <w:r w:rsidR="00DB31B4">
        <w:t>platform liability, employment law, competition law, privacy</w:t>
      </w:r>
      <w:r w:rsidR="00CB455B">
        <w:t>,</w:t>
      </w:r>
      <w:r w:rsidR="00DB31B4">
        <w:t xml:space="preserve"> </w:t>
      </w:r>
      <w:r w:rsidR="50B98A64">
        <w:t xml:space="preserve">and </w:t>
      </w:r>
      <w:r w:rsidR="00DB31B4">
        <w:t xml:space="preserve">other </w:t>
      </w:r>
      <w:r w:rsidR="00CB455B">
        <w:t>areas of law</w:t>
      </w:r>
      <w:r w:rsidR="00DB31B4">
        <w:t xml:space="preserve">. </w:t>
      </w:r>
    </w:p>
    <w:p w14:paraId="73C9A566" w14:textId="77777777" w:rsidR="00DB31B4" w:rsidRDefault="00DB31B4" w:rsidP="00DB31B4">
      <w:pPr>
        <w:spacing w:after="0"/>
      </w:pPr>
    </w:p>
    <w:p w14:paraId="6FD442A7" w14:textId="17504080" w:rsidR="00FA4255" w:rsidRDefault="00DB31B4" w:rsidP="0016683C">
      <w:r>
        <w:t xml:space="preserve">The LCO’s project </w:t>
      </w:r>
      <w:r w:rsidR="00CB455B">
        <w:t xml:space="preserve">is focused on potential reforms to Ontario’s </w:t>
      </w:r>
      <w:r w:rsidR="00CB455B" w:rsidRPr="1F5E9E68">
        <w:rPr>
          <w:i/>
          <w:iCs/>
        </w:rPr>
        <w:t>Consumer Protection Act</w:t>
      </w:r>
      <w:r w:rsidR="00CB455B">
        <w:t>.</w:t>
      </w:r>
      <w:r w:rsidR="009E0094">
        <w:t xml:space="preserve"> </w:t>
      </w:r>
      <w:r w:rsidR="00CB455B">
        <w:t xml:space="preserve">As such, it </w:t>
      </w:r>
      <w:r>
        <w:t>addresses what might be considered classic or traditional consumer protection issues in digital ToS contracts</w:t>
      </w:r>
      <w:r w:rsidR="00CB455B">
        <w:t xml:space="preserve">, </w:t>
      </w:r>
      <w:r w:rsidR="00661DE4">
        <w:t>including</w:t>
      </w:r>
      <w:r w:rsidR="004A13F7">
        <w:t xml:space="preserve"> central consumer protection legal principles related to</w:t>
      </w:r>
      <w:r w:rsidR="00FA4255">
        <w:t>:</w:t>
      </w:r>
    </w:p>
    <w:p w14:paraId="4146EC76" w14:textId="2083642E" w:rsidR="00FA4255" w:rsidRDefault="00661DE4" w:rsidP="00470F77">
      <w:pPr>
        <w:pStyle w:val="ListParagraph"/>
        <w:numPr>
          <w:ilvl w:val="0"/>
          <w:numId w:val="28"/>
        </w:numPr>
      </w:pPr>
      <w:r>
        <w:t>N</w:t>
      </w:r>
      <w:r w:rsidR="00DB31B4">
        <w:t>otice</w:t>
      </w:r>
      <w:r w:rsidR="00641272">
        <w:t xml:space="preserve"> and </w:t>
      </w:r>
      <w:r w:rsidR="00E319E1">
        <w:t>disclosure</w:t>
      </w:r>
    </w:p>
    <w:p w14:paraId="79ED7BEE" w14:textId="5EB96BA3" w:rsidR="00303EB8" w:rsidRDefault="00661DE4" w:rsidP="00470F77">
      <w:pPr>
        <w:pStyle w:val="ListParagraph"/>
        <w:numPr>
          <w:ilvl w:val="0"/>
          <w:numId w:val="28"/>
        </w:numPr>
      </w:pPr>
      <w:r>
        <w:t xml:space="preserve">Deception and </w:t>
      </w:r>
      <w:r w:rsidR="00303EB8">
        <w:t xml:space="preserve">unconscionability </w:t>
      </w:r>
    </w:p>
    <w:p w14:paraId="4CE15EB2" w14:textId="1AA62284" w:rsidR="00FA4255" w:rsidRDefault="00CB455B" w:rsidP="00470F77">
      <w:pPr>
        <w:pStyle w:val="ListParagraph"/>
        <w:numPr>
          <w:ilvl w:val="0"/>
          <w:numId w:val="28"/>
        </w:numPr>
      </w:pPr>
      <w:r>
        <w:t>U</w:t>
      </w:r>
      <w:r w:rsidR="00DB31B4">
        <w:t>nilateral changes</w:t>
      </w:r>
      <w:r w:rsidR="00E319E1">
        <w:t xml:space="preserve"> to contracts</w:t>
      </w:r>
    </w:p>
    <w:p w14:paraId="5D5978E4" w14:textId="5DA43A2E" w:rsidR="00FA4255" w:rsidRDefault="00661DE4" w:rsidP="00470F77">
      <w:pPr>
        <w:pStyle w:val="ListParagraph"/>
        <w:numPr>
          <w:ilvl w:val="0"/>
          <w:numId w:val="28"/>
        </w:numPr>
      </w:pPr>
      <w:r>
        <w:t xml:space="preserve">Contracting with </w:t>
      </w:r>
      <w:r w:rsidR="00BF3191">
        <w:t xml:space="preserve">vulnerable groups </w:t>
      </w:r>
    </w:p>
    <w:p w14:paraId="73CA8E8C" w14:textId="1AF5E472" w:rsidR="00226C10" w:rsidRDefault="00661DE4" w:rsidP="00470F77">
      <w:pPr>
        <w:pStyle w:val="ListParagraph"/>
        <w:numPr>
          <w:ilvl w:val="0"/>
          <w:numId w:val="28"/>
        </w:numPr>
      </w:pPr>
      <w:r>
        <w:t>Access to justice</w:t>
      </w:r>
      <w:r w:rsidR="00A2665E">
        <w:t>, dispute resolution, and systemic oversight</w:t>
      </w:r>
      <w:r w:rsidR="006E6400">
        <w:t>.</w:t>
      </w:r>
    </w:p>
    <w:p w14:paraId="3773996C" w14:textId="18BAA258" w:rsidR="00832781" w:rsidRDefault="006C3C94" w:rsidP="00832781">
      <w:pPr>
        <w:spacing w:after="0" w:line="240" w:lineRule="auto"/>
      </w:pPr>
      <w:r>
        <w:t xml:space="preserve">Several of these issues are raised in the </w:t>
      </w:r>
      <w:r w:rsidR="00661DE4">
        <w:t xml:space="preserve">Government of Ontario’s </w:t>
      </w:r>
      <w:r>
        <w:t xml:space="preserve">2020 and 2023 </w:t>
      </w:r>
      <w:r w:rsidR="00661DE4">
        <w:t xml:space="preserve">CPA </w:t>
      </w:r>
      <w:r>
        <w:t xml:space="preserve">consultations. </w:t>
      </w:r>
      <w:r w:rsidR="00B65CDF">
        <w:t>The LCO’s</w:t>
      </w:r>
      <w:r>
        <w:t xml:space="preserve"> </w:t>
      </w:r>
      <w:r w:rsidR="00661DE4">
        <w:t xml:space="preserve">Consultation Paper both responds to the provincial government’s initiative and </w:t>
      </w:r>
      <w:r w:rsidR="00A70B13">
        <w:t xml:space="preserve">addresses </w:t>
      </w:r>
      <w:r w:rsidR="00661DE4">
        <w:t>new, far-reaching issues that we</w:t>
      </w:r>
      <w:r w:rsidR="00CB455B">
        <w:t>re</w:t>
      </w:r>
      <w:r w:rsidR="00661DE4">
        <w:t xml:space="preserve"> not raised in the government’s consultations.</w:t>
      </w:r>
      <w:r w:rsidR="009E0094">
        <w:t xml:space="preserve"> </w:t>
      </w:r>
      <w:r w:rsidR="00661DE4">
        <w:t xml:space="preserve">In this respect, the LCO’s project </w:t>
      </w:r>
      <w:r w:rsidR="00B437AD">
        <w:t xml:space="preserve">both </w:t>
      </w:r>
      <w:r w:rsidR="00B65CDF">
        <w:t>compl</w:t>
      </w:r>
      <w:r w:rsidR="00A70B13">
        <w:t>e</w:t>
      </w:r>
      <w:r w:rsidR="00B65CDF">
        <w:t xml:space="preserve">ments </w:t>
      </w:r>
      <w:r w:rsidR="00661DE4">
        <w:t xml:space="preserve">and builds upon </w:t>
      </w:r>
      <w:r w:rsidR="00B65CDF">
        <w:t>th</w:t>
      </w:r>
      <w:r w:rsidR="00661DE4">
        <w:t xml:space="preserve">e provincial </w:t>
      </w:r>
      <w:r w:rsidR="00B65CDF">
        <w:t>process</w:t>
      </w:r>
      <w:r w:rsidR="00B437AD">
        <w:t>.</w:t>
      </w:r>
      <w:r w:rsidR="00B65CDF">
        <w:t xml:space="preserve"> </w:t>
      </w:r>
    </w:p>
    <w:p w14:paraId="4CBB4FCC" w14:textId="77777777" w:rsidR="00832781" w:rsidRDefault="00832781" w:rsidP="00832781">
      <w:pPr>
        <w:spacing w:after="0" w:line="240" w:lineRule="auto"/>
      </w:pPr>
    </w:p>
    <w:p w14:paraId="3E103C98" w14:textId="5EB4FC60" w:rsidR="00227B70" w:rsidRPr="002C1560" w:rsidRDefault="00A64502" w:rsidP="00A76153">
      <w:r>
        <w:t>Of necessity, th</w:t>
      </w:r>
      <w:r w:rsidR="00B437AD">
        <w:t>is</w:t>
      </w:r>
      <w:r>
        <w:t xml:space="preserve"> Consultation Paper considers </w:t>
      </w:r>
      <w:r w:rsidR="0067680B">
        <w:t xml:space="preserve">the effect and impact of </w:t>
      </w:r>
      <w:r>
        <w:t xml:space="preserve">important technological </w:t>
      </w:r>
      <w:r w:rsidR="0067680B">
        <w:t xml:space="preserve">and </w:t>
      </w:r>
      <w:r w:rsidR="0067680B" w:rsidRPr="00B437AD">
        <w:t xml:space="preserve">business practice </w:t>
      </w:r>
      <w:r w:rsidRPr="00B437AD">
        <w:t xml:space="preserve">developments – such as </w:t>
      </w:r>
      <w:r w:rsidR="00722638" w:rsidRPr="00B437AD">
        <w:t xml:space="preserve">privacy, </w:t>
      </w:r>
      <w:r w:rsidRPr="00B437AD">
        <w:t xml:space="preserve">dark patterns, </w:t>
      </w:r>
      <w:r w:rsidRPr="007A41A0">
        <w:t>network effects</w:t>
      </w:r>
      <w:r w:rsidR="00722638" w:rsidRPr="00B437AD">
        <w:t>,</w:t>
      </w:r>
      <w:r w:rsidR="00E23335" w:rsidRPr="00B437AD">
        <w:rPr>
          <w:rStyle w:val="EndnoteReference"/>
        </w:rPr>
        <w:endnoteReference w:id="39"/>
      </w:r>
      <w:r w:rsidR="00722638" w:rsidRPr="00B437AD">
        <w:t xml:space="preserve"> </w:t>
      </w:r>
      <w:r w:rsidR="00900984" w:rsidRPr="007A41A0">
        <w:t>platform lock-in</w:t>
      </w:r>
      <w:r w:rsidR="00900984" w:rsidRPr="00B437AD">
        <w:t xml:space="preserve">, </w:t>
      </w:r>
      <w:r w:rsidR="00FD777A" w:rsidRPr="00B437AD">
        <w:t xml:space="preserve">data portability, </w:t>
      </w:r>
      <w:r w:rsidR="00A8436C" w:rsidRPr="007A41A0">
        <w:t>data brokering</w:t>
      </w:r>
      <w:r w:rsidR="00A8436C" w:rsidRPr="00B437AD">
        <w:t xml:space="preserve">, and algorithmic </w:t>
      </w:r>
      <w:r w:rsidR="00B45C8F" w:rsidRPr="00B437AD">
        <w:t>content shaping</w:t>
      </w:r>
      <w:r w:rsidR="00A8436C" w:rsidRPr="00B437AD">
        <w:t xml:space="preserve"> </w:t>
      </w:r>
      <w:r w:rsidRPr="00B437AD">
        <w:t xml:space="preserve">– that may be unfamiliar </w:t>
      </w:r>
      <w:r w:rsidR="00D275A7" w:rsidRPr="00B437AD">
        <w:t xml:space="preserve">to </w:t>
      </w:r>
      <w:r w:rsidR="00CB455B">
        <w:t>many readers</w:t>
      </w:r>
      <w:r>
        <w:t>.</w:t>
      </w:r>
      <w:r w:rsidR="00E8407B" w:rsidRPr="00E8407B">
        <w:t xml:space="preserve"> </w:t>
      </w:r>
      <w:r w:rsidR="00E8407B">
        <w:t xml:space="preserve">These developments </w:t>
      </w:r>
      <w:r w:rsidR="00B437AD">
        <w:t xml:space="preserve">challenge </w:t>
      </w:r>
      <w:r w:rsidR="00CB455B">
        <w:t xml:space="preserve">many </w:t>
      </w:r>
      <w:r w:rsidR="00E8407B">
        <w:t>traditional principles of consumer protection law, often with inconsistent and unpredictable results.</w:t>
      </w:r>
    </w:p>
    <w:p w14:paraId="47764024" w14:textId="318F2CE9" w:rsidR="00A64502" w:rsidRDefault="00A64502" w:rsidP="0016683C">
      <w:r>
        <w:t>The organization of the Consultation Paper is straightforward</w:t>
      </w:r>
      <w:r w:rsidR="00D275A7">
        <w:t>.</w:t>
      </w:r>
    </w:p>
    <w:p w14:paraId="0D919006" w14:textId="4AF2C40A" w:rsidR="00965178" w:rsidRPr="00EB097F" w:rsidRDefault="001B302E" w:rsidP="0016683C">
      <w:r w:rsidRPr="005A518D">
        <w:rPr>
          <w:b/>
          <w:bCs/>
        </w:rPr>
        <w:t>Section 2</w:t>
      </w:r>
      <w:r w:rsidR="00A64502" w:rsidRPr="00EB097F">
        <w:t xml:space="preserve"> </w:t>
      </w:r>
      <w:r w:rsidRPr="007A41A0">
        <w:t xml:space="preserve">is an </w:t>
      </w:r>
      <w:r w:rsidR="004C7550" w:rsidRPr="00EB097F">
        <w:t>overview</w:t>
      </w:r>
      <w:r w:rsidRPr="007A41A0">
        <w:t xml:space="preserve"> of </w:t>
      </w:r>
      <w:r w:rsidR="00A64502" w:rsidRPr="00EB097F">
        <w:t xml:space="preserve">the rationale and objectives of consumer protection law, including “boilerplate” </w:t>
      </w:r>
      <w:r w:rsidR="005140A6" w:rsidRPr="00EB097F">
        <w:t xml:space="preserve">and “standard form” </w:t>
      </w:r>
      <w:r w:rsidR="00A64502" w:rsidRPr="00EB097F">
        <w:t xml:space="preserve">contracts and </w:t>
      </w:r>
      <w:r w:rsidR="004C7550" w:rsidRPr="00EB097F">
        <w:t xml:space="preserve">their relation to contemporary </w:t>
      </w:r>
      <w:r w:rsidR="00B437AD" w:rsidRPr="00EB097F">
        <w:t xml:space="preserve">ToS </w:t>
      </w:r>
      <w:r w:rsidR="004C7550" w:rsidRPr="00EB097F">
        <w:t>practices</w:t>
      </w:r>
      <w:r w:rsidR="00A64502" w:rsidRPr="00EB097F">
        <w:t>.</w:t>
      </w:r>
      <w:r w:rsidR="009E0094">
        <w:t xml:space="preserve"> </w:t>
      </w:r>
      <w:r w:rsidRPr="007A41A0">
        <w:t xml:space="preserve">Section 2 </w:t>
      </w:r>
      <w:r w:rsidR="00722638" w:rsidRPr="00EB097F">
        <w:t xml:space="preserve">includes the LCO’s </w:t>
      </w:r>
      <w:r w:rsidR="00965178" w:rsidRPr="00EB097F">
        <w:t xml:space="preserve">plain-language </w:t>
      </w:r>
      <w:r w:rsidR="00A64502" w:rsidRPr="00EB097F">
        <w:t xml:space="preserve">summary of </w:t>
      </w:r>
      <w:r w:rsidR="00722638" w:rsidRPr="00EB097F">
        <w:t xml:space="preserve">several common </w:t>
      </w:r>
      <w:r w:rsidR="00965178" w:rsidRPr="00EB097F">
        <w:t xml:space="preserve">terms and conditions that exist in many </w:t>
      </w:r>
      <w:r w:rsidR="00B437AD" w:rsidRPr="00EB097F">
        <w:t xml:space="preserve">current </w:t>
      </w:r>
      <w:r w:rsidR="00965178" w:rsidRPr="00EB097F">
        <w:t>ToS.</w:t>
      </w:r>
      <w:r w:rsidR="009E0094">
        <w:t xml:space="preserve"> </w:t>
      </w:r>
      <w:r w:rsidRPr="007A41A0">
        <w:t xml:space="preserve">Section 2 </w:t>
      </w:r>
      <w:r w:rsidR="005140A6" w:rsidRPr="00EB097F">
        <w:t xml:space="preserve">also </w:t>
      </w:r>
      <w:r w:rsidR="004C7550" w:rsidRPr="00EB097F">
        <w:t>presents</w:t>
      </w:r>
      <w:r w:rsidR="005140A6" w:rsidRPr="00EB097F">
        <w:t xml:space="preserve"> a case study </w:t>
      </w:r>
      <w:r w:rsidRPr="007A41A0">
        <w:t xml:space="preserve">demonstrating </w:t>
      </w:r>
      <w:r w:rsidR="005140A6" w:rsidRPr="00EB097F">
        <w:t xml:space="preserve">how </w:t>
      </w:r>
      <w:r w:rsidRPr="007A41A0">
        <w:t xml:space="preserve">ToS </w:t>
      </w:r>
      <w:r w:rsidR="005140A6" w:rsidRPr="00EB097F">
        <w:t xml:space="preserve">may be misleading and </w:t>
      </w:r>
      <w:r w:rsidRPr="007A41A0">
        <w:t xml:space="preserve">harmful to </w:t>
      </w:r>
      <w:r w:rsidR="005140A6" w:rsidRPr="00EB097F">
        <w:t>consumers.</w:t>
      </w:r>
    </w:p>
    <w:p w14:paraId="0994028E" w14:textId="21953895" w:rsidR="00965178" w:rsidRPr="00EB097F" w:rsidRDefault="001B302E" w:rsidP="0016683C">
      <w:r w:rsidRPr="005A518D">
        <w:rPr>
          <w:b/>
          <w:bCs/>
        </w:rPr>
        <w:t>Section 3</w:t>
      </w:r>
      <w:r w:rsidRPr="007A41A0">
        <w:t xml:space="preserve"> is </w:t>
      </w:r>
      <w:r w:rsidR="00965178" w:rsidRPr="00EB097F">
        <w:t xml:space="preserve">an overview of Ontario’s </w:t>
      </w:r>
      <w:r w:rsidR="00965178" w:rsidRPr="00EB097F">
        <w:rPr>
          <w:i/>
          <w:iCs/>
        </w:rPr>
        <w:t xml:space="preserve">Consumer Protection Act </w:t>
      </w:r>
      <w:r w:rsidR="00965178" w:rsidRPr="00EB097F">
        <w:t>and related legislation across Canada.</w:t>
      </w:r>
    </w:p>
    <w:p w14:paraId="4BB7D466" w14:textId="74A85E54" w:rsidR="00A64502" w:rsidRPr="00EB097F" w:rsidRDefault="001B302E" w:rsidP="0016683C">
      <w:r w:rsidRPr="005A518D">
        <w:rPr>
          <w:b/>
          <w:bCs/>
        </w:rPr>
        <w:t>Section 4</w:t>
      </w:r>
      <w:r w:rsidRPr="007A41A0">
        <w:t xml:space="preserve"> </w:t>
      </w:r>
      <w:r w:rsidR="00965178" w:rsidRPr="00EB097F">
        <w:t xml:space="preserve">summarizes the LCO’s analysis of gaps in Ontario’s current consumer protection framework. </w:t>
      </w:r>
    </w:p>
    <w:p w14:paraId="65EBFB84" w14:textId="003E4868" w:rsidR="001B302E" w:rsidRPr="007A41A0" w:rsidRDefault="00F4339E" w:rsidP="001B302E">
      <w:r w:rsidRPr="005A518D">
        <w:rPr>
          <w:b/>
          <w:bCs/>
        </w:rPr>
        <w:lastRenderedPageBreak/>
        <w:t>S</w:t>
      </w:r>
      <w:r w:rsidR="001B302E" w:rsidRPr="005A518D">
        <w:rPr>
          <w:b/>
          <w:bCs/>
        </w:rPr>
        <w:t>ections 5-11</w:t>
      </w:r>
      <w:r w:rsidR="001B302E" w:rsidRPr="007A41A0">
        <w:t xml:space="preserve"> </w:t>
      </w:r>
      <w:r w:rsidR="00965178" w:rsidRPr="00EB097F">
        <w:t xml:space="preserve">set out our consultation issues and questions, </w:t>
      </w:r>
      <w:r w:rsidR="006C0709">
        <w:t>including</w:t>
      </w:r>
      <w:r w:rsidR="00965178" w:rsidRPr="00EB097F">
        <w:t>:</w:t>
      </w:r>
    </w:p>
    <w:p w14:paraId="68B74071" w14:textId="2143C536" w:rsidR="001B302E" w:rsidRPr="007A41A0" w:rsidRDefault="001B302E" w:rsidP="00470F77">
      <w:pPr>
        <w:pStyle w:val="ListParagraph"/>
        <w:numPr>
          <w:ilvl w:val="0"/>
          <w:numId w:val="70"/>
        </w:numPr>
      </w:pPr>
      <w:r w:rsidRPr="007A41A0">
        <w:t xml:space="preserve">The definition of the online marketplace </w:t>
      </w:r>
    </w:p>
    <w:p w14:paraId="2549A704" w14:textId="5E8ADBC2" w:rsidR="001B302E" w:rsidRPr="007A41A0" w:rsidRDefault="001B302E" w:rsidP="00470F77">
      <w:pPr>
        <w:pStyle w:val="ListParagraph"/>
        <w:numPr>
          <w:ilvl w:val="0"/>
          <w:numId w:val="70"/>
        </w:numPr>
      </w:pPr>
      <w:r w:rsidRPr="007A41A0">
        <w:t xml:space="preserve">Notice and </w:t>
      </w:r>
      <w:r w:rsidR="00BF591D">
        <w:t>d</w:t>
      </w:r>
      <w:r w:rsidRPr="007A41A0">
        <w:t>isclosure</w:t>
      </w:r>
    </w:p>
    <w:p w14:paraId="55481945" w14:textId="77777777" w:rsidR="001B302E" w:rsidRPr="007A41A0" w:rsidRDefault="001B302E" w:rsidP="00470F77">
      <w:pPr>
        <w:pStyle w:val="ListParagraph"/>
        <w:numPr>
          <w:ilvl w:val="0"/>
          <w:numId w:val="70"/>
        </w:numPr>
      </w:pPr>
      <w:r w:rsidRPr="007A41A0">
        <w:t>Dark patterns</w:t>
      </w:r>
    </w:p>
    <w:p w14:paraId="060F0148" w14:textId="08F2A9DD" w:rsidR="001B302E" w:rsidRPr="007A41A0" w:rsidRDefault="001B302E" w:rsidP="00470F77">
      <w:pPr>
        <w:pStyle w:val="ListParagraph"/>
        <w:numPr>
          <w:ilvl w:val="0"/>
          <w:numId w:val="70"/>
        </w:numPr>
      </w:pPr>
      <w:r w:rsidRPr="007A41A0">
        <w:t>Consumer protections for youth and vulnerable consumers</w:t>
      </w:r>
    </w:p>
    <w:p w14:paraId="604D8F49" w14:textId="2DAC1C0C" w:rsidR="001B302E" w:rsidRPr="007A41A0" w:rsidRDefault="001B302E" w:rsidP="00470F77">
      <w:pPr>
        <w:pStyle w:val="ListParagraph"/>
        <w:numPr>
          <w:ilvl w:val="0"/>
          <w:numId w:val="70"/>
        </w:numPr>
      </w:pPr>
      <w:r w:rsidRPr="007A41A0">
        <w:t>Deception and unconscionability</w:t>
      </w:r>
    </w:p>
    <w:p w14:paraId="7D1BE5D7" w14:textId="706C67BD" w:rsidR="001B302E" w:rsidRPr="00EB097F" w:rsidRDefault="001B302E" w:rsidP="00470F77">
      <w:pPr>
        <w:pStyle w:val="ListParagraph"/>
        <w:numPr>
          <w:ilvl w:val="0"/>
          <w:numId w:val="70"/>
        </w:numPr>
      </w:pPr>
      <w:r w:rsidRPr="007A41A0">
        <w:t xml:space="preserve">Oversight, </w:t>
      </w:r>
      <w:r w:rsidR="00EB097F" w:rsidRPr="00EB097F">
        <w:t>enforcement,</w:t>
      </w:r>
      <w:r w:rsidRPr="007A41A0">
        <w:t xml:space="preserve"> and access to justice</w:t>
      </w:r>
      <w:r w:rsidR="003E2C73">
        <w:t>.</w:t>
      </w:r>
    </w:p>
    <w:p w14:paraId="11EC4671" w14:textId="77777777" w:rsidR="008D1CD8" w:rsidRDefault="001B302E" w:rsidP="001B302E">
      <w:r w:rsidRPr="005A518D">
        <w:rPr>
          <w:b/>
          <w:bCs/>
        </w:rPr>
        <w:t>Appendix A</w:t>
      </w:r>
      <w:r w:rsidRPr="007A41A0">
        <w:t xml:space="preserve"> is a complete list of consultation questions. </w:t>
      </w:r>
    </w:p>
    <w:p w14:paraId="7401DFE1" w14:textId="77777777" w:rsidR="00F4339E" w:rsidRDefault="001B302E" w:rsidP="001B302E">
      <w:r w:rsidRPr="005A518D">
        <w:rPr>
          <w:b/>
          <w:bCs/>
        </w:rPr>
        <w:t>Appendix B</w:t>
      </w:r>
      <w:r w:rsidRPr="007A41A0">
        <w:t xml:space="preserve"> is a glossary of key terms.</w:t>
      </w:r>
    </w:p>
    <w:p w14:paraId="7500BAD2" w14:textId="11F80C70" w:rsidR="00A64502" w:rsidRDefault="00A64502" w:rsidP="001B302E">
      <w:r w:rsidRPr="00EB097F">
        <w:t>Throughout the paper, the LCO provides examples, reform proposals, and lessons learned from jurisdictions outside Canada</w:t>
      </w:r>
      <w:r w:rsidR="00965178" w:rsidRPr="00EB097F">
        <w:t>.</w:t>
      </w:r>
    </w:p>
    <w:p w14:paraId="14D566C1" w14:textId="62C0C467" w:rsidR="006E64D5" w:rsidRPr="00EB097F" w:rsidRDefault="006E64D5" w:rsidP="001B302E">
      <w:r>
        <w:t xml:space="preserve">The LCO has also prepared a series of short infographic and two- and three-page summaries of each section of this paper. </w:t>
      </w:r>
      <w:r w:rsidRPr="00CA6287">
        <w:rPr>
          <w:rFonts w:ascii="Calibri" w:eastAsia="Calibri" w:hAnsi="Calibri" w:cs="Times New Roman"/>
        </w:rPr>
        <w:t xml:space="preserve">All project materials </w:t>
      </w:r>
      <w:r>
        <w:rPr>
          <w:rFonts w:ascii="Calibri" w:eastAsia="Calibri" w:hAnsi="Calibri" w:cs="Times New Roman"/>
        </w:rPr>
        <w:t xml:space="preserve">are </w:t>
      </w:r>
      <w:r w:rsidRPr="00CA6287">
        <w:rPr>
          <w:rFonts w:ascii="Calibri" w:eastAsia="Calibri" w:hAnsi="Calibri" w:cs="Times New Roman"/>
        </w:rPr>
        <w:t xml:space="preserve">available on the LCO’s dedicated project website at: </w:t>
      </w:r>
      <w:hyperlink r:id="rId29" w:history="1">
        <w:r w:rsidRPr="00CA6287">
          <w:rPr>
            <w:rStyle w:val="Hyperlink"/>
            <w:rFonts w:ascii="Calibri" w:eastAsia="Calibri" w:hAnsi="Calibri" w:cs="Times New Roman"/>
          </w:rPr>
          <w:t>https://www.lco-cdo.org/digitalmarketplace</w:t>
        </w:r>
      </w:hyperlink>
      <w:r>
        <w:rPr>
          <w:rFonts w:ascii="Calibri" w:eastAsia="Calibri" w:hAnsi="Calibri" w:cs="Times New Roman"/>
        </w:rPr>
        <w:t xml:space="preserve">. </w:t>
      </w:r>
    </w:p>
    <w:p w14:paraId="1907B7E3" w14:textId="6B05BECA" w:rsidR="00DA7A2B" w:rsidRDefault="00DA7A2B" w:rsidP="0016683C"/>
    <w:p w14:paraId="07621ADA" w14:textId="4487D194" w:rsidR="005D0E77" w:rsidRDefault="00894DBA" w:rsidP="00894DBA">
      <w:pPr>
        <w:pStyle w:val="Heading2"/>
      </w:pPr>
      <w:bookmarkStart w:id="27" w:name="_Toc138151826"/>
      <w:r>
        <w:t xml:space="preserve">1.5 </w:t>
      </w:r>
      <w:r w:rsidR="005D0E77" w:rsidRPr="005D0E77">
        <w:t xml:space="preserve">Project </w:t>
      </w:r>
      <w:r w:rsidR="00983BE6" w:rsidRPr="005D0E77">
        <w:t>Deliverables</w:t>
      </w:r>
      <w:bookmarkEnd w:id="27"/>
    </w:p>
    <w:p w14:paraId="03A03246" w14:textId="77777777" w:rsidR="00B437AD" w:rsidRDefault="00B437AD" w:rsidP="00CA6287">
      <w:pPr>
        <w:rPr>
          <w:rFonts w:ascii="Calibri" w:eastAsia="Calibri" w:hAnsi="Calibri" w:cs="Times New Roman"/>
        </w:rPr>
      </w:pPr>
    </w:p>
    <w:p w14:paraId="44411BA8" w14:textId="53A38ECD" w:rsidR="00CA6287" w:rsidRPr="00CA6287" w:rsidRDefault="00CA6287" w:rsidP="00CA6287">
      <w:pPr>
        <w:rPr>
          <w:rFonts w:ascii="Calibri" w:eastAsia="Calibri" w:hAnsi="Calibri" w:cs="Times New Roman"/>
        </w:rPr>
      </w:pPr>
      <w:r w:rsidRPr="00CA6287">
        <w:rPr>
          <w:rFonts w:ascii="Calibri" w:eastAsia="Calibri" w:hAnsi="Calibri" w:cs="Times New Roman"/>
        </w:rPr>
        <w:t>This project will produce an independent, evidence-based, and comprehensive analysis of consumer protection in the digital marketplace. The LCO’s final report will recommend reforms to laws, policies, and/or practices where it is appropriate to do so.</w:t>
      </w:r>
      <w:r w:rsidR="009E0094">
        <w:rPr>
          <w:rFonts w:ascii="Calibri" w:eastAsia="Calibri" w:hAnsi="Calibri" w:cs="Times New Roman"/>
        </w:rPr>
        <w:t xml:space="preserve"> </w:t>
      </w:r>
    </w:p>
    <w:p w14:paraId="10CEC863" w14:textId="52E1484E" w:rsidR="00CA6287" w:rsidRPr="00CA6287" w:rsidRDefault="00CA6287" w:rsidP="00CA6287">
      <w:pPr>
        <w:rPr>
          <w:rFonts w:ascii="Calibri" w:eastAsia="Calibri" w:hAnsi="Calibri" w:cs="Times New Roman"/>
        </w:rPr>
      </w:pPr>
      <w:r w:rsidRPr="00CA6287">
        <w:rPr>
          <w:rFonts w:ascii="Calibri" w:eastAsia="Calibri" w:hAnsi="Calibri" w:cs="Times New Roman"/>
        </w:rPr>
        <w:t>The final report and accompanying materials will be distributed widely. The LCO will also produce a range of user-friendly, accessible, and web-based materials that will explain the project, final report, and recommendations.</w:t>
      </w:r>
      <w:r w:rsidR="009E0094">
        <w:rPr>
          <w:rFonts w:ascii="Calibri" w:eastAsia="Calibri" w:hAnsi="Calibri" w:cs="Times New Roman"/>
        </w:rPr>
        <w:t xml:space="preserve"> </w:t>
      </w:r>
    </w:p>
    <w:p w14:paraId="67EA34F6" w14:textId="20EF87A5" w:rsidR="00CA6287" w:rsidRDefault="00CA6287" w:rsidP="00CA6287">
      <w:pPr>
        <w:spacing w:line="256" w:lineRule="auto"/>
        <w:rPr>
          <w:rFonts w:ascii="Calibri" w:eastAsia="Calibri" w:hAnsi="Calibri" w:cs="Times New Roman"/>
        </w:rPr>
      </w:pPr>
      <w:r w:rsidRPr="00CA6287">
        <w:rPr>
          <w:rFonts w:ascii="Calibri" w:eastAsia="Calibri" w:hAnsi="Calibri" w:cs="Times New Roman"/>
        </w:rPr>
        <w:t xml:space="preserve">All project materials </w:t>
      </w:r>
      <w:r w:rsidR="00CB455B">
        <w:rPr>
          <w:rFonts w:ascii="Calibri" w:eastAsia="Calibri" w:hAnsi="Calibri" w:cs="Times New Roman"/>
        </w:rPr>
        <w:t xml:space="preserve">are </w:t>
      </w:r>
      <w:r w:rsidRPr="00CA6287">
        <w:rPr>
          <w:rFonts w:ascii="Calibri" w:eastAsia="Calibri" w:hAnsi="Calibri" w:cs="Times New Roman"/>
        </w:rPr>
        <w:t xml:space="preserve">available on the LCO’s dedicated project website at: </w:t>
      </w:r>
      <w:hyperlink r:id="rId30" w:history="1">
        <w:r w:rsidRPr="00CA6287">
          <w:rPr>
            <w:rStyle w:val="Hyperlink"/>
            <w:rFonts w:ascii="Calibri" w:eastAsia="Calibri" w:hAnsi="Calibri" w:cs="Times New Roman"/>
          </w:rPr>
          <w:t>https://www.lco-cdo.org/digitalmarketplace</w:t>
        </w:r>
      </w:hyperlink>
      <w:r w:rsidRPr="00CA6287">
        <w:rPr>
          <w:rFonts w:ascii="Calibri" w:eastAsia="Calibri" w:hAnsi="Calibri" w:cs="Times New Roman"/>
        </w:rPr>
        <w:t>.</w:t>
      </w:r>
    </w:p>
    <w:p w14:paraId="52AE9612" w14:textId="77777777" w:rsidR="00516AFF" w:rsidRDefault="00516AFF" w:rsidP="00894DBA">
      <w:pPr>
        <w:pStyle w:val="Heading2"/>
      </w:pPr>
    </w:p>
    <w:p w14:paraId="2F24AEBC" w14:textId="0D0D4F79" w:rsidR="00983BE6" w:rsidRDefault="00894DBA" w:rsidP="00894DBA">
      <w:pPr>
        <w:pStyle w:val="Heading2"/>
      </w:pPr>
      <w:bookmarkStart w:id="28" w:name="_Toc138151827"/>
      <w:r>
        <w:t xml:space="preserve">1.6 </w:t>
      </w:r>
      <w:r w:rsidR="00983BE6" w:rsidRPr="005D0E77">
        <w:t>Consult</w:t>
      </w:r>
      <w:r w:rsidR="0016683C">
        <w:t>ation</w:t>
      </w:r>
      <w:r w:rsidR="00983BE6" w:rsidRPr="005D0E77">
        <w:t xml:space="preserve"> </w:t>
      </w:r>
      <w:r w:rsidR="0016683C">
        <w:t>P</w:t>
      </w:r>
      <w:r w:rsidR="00983BE6" w:rsidRPr="005D0E77">
        <w:t xml:space="preserve">rocess and </w:t>
      </w:r>
      <w:r w:rsidR="0016683C">
        <w:t>N</w:t>
      </w:r>
      <w:r w:rsidR="00983BE6" w:rsidRPr="005D0E77">
        <w:t xml:space="preserve">ext </w:t>
      </w:r>
      <w:r w:rsidR="0016683C">
        <w:t>S</w:t>
      </w:r>
      <w:r w:rsidR="00983BE6" w:rsidRPr="005D0E77">
        <w:t>teps</w:t>
      </w:r>
      <w:bookmarkEnd w:id="28"/>
    </w:p>
    <w:p w14:paraId="4EA04370" w14:textId="77777777" w:rsidR="00142B89" w:rsidRDefault="00142B89" w:rsidP="00CA6287">
      <w:bookmarkStart w:id="29" w:name="_Toc113832385"/>
      <w:bookmarkEnd w:id="25"/>
    </w:p>
    <w:p w14:paraId="46EFB06E" w14:textId="36F2FDF5" w:rsidR="00F44866" w:rsidRDefault="00CB455B" w:rsidP="00CA6287">
      <w:r>
        <w:t xml:space="preserve">The release of this </w:t>
      </w:r>
      <w:r w:rsidR="00CA6287">
        <w:t xml:space="preserve">Consultation Paper </w:t>
      </w:r>
      <w:r>
        <w:t>is the start of LCO’s consultation process.</w:t>
      </w:r>
      <w:r w:rsidR="009E0094">
        <w:t xml:space="preserve"> </w:t>
      </w:r>
    </w:p>
    <w:p w14:paraId="06A47AC3" w14:textId="17D82629" w:rsidR="00CA6287" w:rsidRPr="00CA6287" w:rsidRDefault="00CA6287" w:rsidP="00CA6287">
      <w:pPr>
        <w:rPr>
          <w:rFonts w:ascii="Calibri" w:eastAsia="Calibri" w:hAnsi="Calibri" w:cs="Times New Roman"/>
        </w:rPr>
      </w:pPr>
      <w:r>
        <w:t xml:space="preserve">The LCO </w:t>
      </w:r>
      <w:r w:rsidR="00CB455B">
        <w:t xml:space="preserve">wants </w:t>
      </w:r>
      <w:r>
        <w:t>to hear from a</w:t>
      </w:r>
      <w:r w:rsidR="00CB455B">
        <w:t xml:space="preserve"> broad range of </w:t>
      </w:r>
      <w:r w:rsidRPr="00CA6287">
        <w:rPr>
          <w:rFonts w:ascii="Calibri" w:eastAsia="Calibri" w:hAnsi="Calibri" w:cs="Times New Roman"/>
        </w:rPr>
        <w:t xml:space="preserve">stakeholders including lawyers and legal organizations, NGOs, industry representatives, academics, government and justice system leaders, and individual Ontarians interested in consumer protection issues. </w:t>
      </w:r>
    </w:p>
    <w:p w14:paraId="6F065025" w14:textId="503968DA" w:rsidR="00CA6287" w:rsidRDefault="00CA6287" w:rsidP="00CA6287">
      <w:pPr>
        <w:spacing w:line="256" w:lineRule="auto"/>
        <w:rPr>
          <w:rFonts w:ascii="Calibri" w:eastAsia="Calibri" w:hAnsi="Calibri" w:cs="Times New Roman"/>
        </w:rPr>
      </w:pPr>
      <w:r w:rsidRPr="00CA6287">
        <w:rPr>
          <w:rFonts w:ascii="Calibri" w:eastAsia="Calibri" w:hAnsi="Calibri" w:cs="Times New Roman"/>
        </w:rPr>
        <w:t>To this end, the LCO will be organizing several consultation processes over the next several months</w:t>
      </w:r>
      <w:r>
        <w:rPr>
          <w:rFonts w:ascii="Calibri" w:eastAsia="Calibri" w:hAnsi="Calibri" w:cs="Times New Roman"/>
        </w:rPr>
        <w:t>.</w:t>
      </w:r>
      <w:r w:rsidR="000B31B9" w:rsidRPr="000B31B9">
        <w:rPr>
          <w:rFonts w:ascii="Calibri" w:eastAsia="Calibri" w:hAnsi="Calibri" w:cs="Times New Roman"/>
        </w:rPr>
        <w:t xml:space="preserve"> </w:t>
      </w:r>
      <w:r w:rsidR="000B31B9" w:rsidRPr="00CA6287">
        <w:rPr>
          <w:rFonts w:ascii="Calibri" w:eastAsia="Calibri" w:hAnsi="Calibri" w:cs="Times New Roman"/>
        </w:rPr>
        <w:t>The LCO is strongly committed to partnering with interested organizations and stakeholders to develop consultation initiatives. Individuals or organizations interested in working with the LCO are encouraged to contact our Project Lead.</w:t>
      </w:r>
    </w:p>
    <w:p w14:paraId="5D197209" w14:textId="74765C10" w:rsidR="000B31B9" w:rsidRDefault="000B31B9" w:rsidP="000B31B9">
      <w:pPr>
        <w:rPr>
          <w:rFonts w:ascii="Calibri" w:eastAsia="Calibri" w:hAnsi="Calibri" w:cs="Times New Roman"/>
        </w:rPr>
      </w:pPr>
      <w:r>
        <w:rPr>
          <w:rFonts w:ascii="Calibri" w:eastAsia="Calibri" w:hAnsi="Calibri" w:cs="Times New Roman"/>
        </w:rPr>
        <w:lastRenderedPageBreak/>
        <w:t>More information about the consultation process and how to get involved is on our website:</w:t>
      </w:r>
      <w:r w:rsidRPr="00CA6287">
        <w:rPr>
          <w:rFonts w:ascii="Calibri" w:eastAsia="Calibri" w:hAnsi="Calibri" w:cs="Times New Roman"/>
        </w:rPr>
        <w:t xml:space="preserve"> </w:t>
      </w:r>
      <w:hyperlink r:id="rId31" w:history="1">
        <w:r w:rsidRPr="00CA6287">
          <w:rPr>
            <w:rStyle w:val="Hyperlink"/>
            <w:rFonts w:ascii="Calibri" w:eastAsia="Calibri" w:hAnsi="Calibri" w:cs="Times New Roman"/>
          </w:rPr>
          <w:t>https://www.lco-cdo.org/digitalmarketplace</w:t>
        </w:r>
      </w:hyperlink>
      <w:r w:rsidRPr="00CA6287">
        <w:rPr>
          <w:rFonts w:ascii="Calibri" w:eastAsia="Calibri" w:hAnsi="Calibri" w:cs="Times New Roman"/>
        </w:rPr>
        <w:t>.</w:t>
      </w:r>
    </w:p>
    <w:p w14:paraId="603D9C51" w14:textId="77777777" w:rsidR="00CA6287" w:rsidRPr="00CA6287" w:rsidRDefault="00CA6287" w:rsidP="00CA6287">
      <w:pPr>
        <w:spacing w:line="256" w:lineRule="auto"/>
        <w:rPr>
          <w:rFonts w:ascii="Calibri" w:eastAsia="Calibri" w:hAnsi="Calibri" w:cs="Times New Roman"/>
          <w:b/>
          <w:bCs/>
        </w:rPr>
      </w:pPr>
      <w:r w:rsidRPr="00CA6287">
        <w:rPr>
          <w:rFonts w:ascii="Calibri" w:eastAsia="Calibri" w:hAnsi="Calibri" w:cs="Times New Roman"/>
          <w:b/>
          <w:bCs/>
        </w:rPr>
        <w:t xml:space="preserve">Written Submissions </w:t>
      </w:r>
    </w:p>
    <w:p w14:paraId="36A2B973" w14:textId="402507BC" w:rsidR="00CA6287" w:rsidRDefault="00CA6287" w:rsidP="00CA6287">
      <w:pPr>
        <w:spacing w:line="256" w:lineRule="auto"/>
      </w:pPr>
      <w:r w:rsidRPr="00CA6287">
        <w:rPr>
          <w:rFonts w:ascii="Calibri" w:eastAsia="Calibri" w:hAnsi="Calibri" w:cs="Times New Roman"/>
        </w:rPr>
        <w:t>The LCO encourages written submissions.</w:t>
      </w:r>
      <w:r w:rsidR="00F44866">
        <w:rPr>
          <w:rFonts w:ascii="Calibri" w:eastAsia="Calibri" w:hAnsi="Calibri" w:cs="Times New Roman"/>
        </w:rPr>
        <w:t xml:space="preserve"> </w:t>
      </w:r>
      <w:r w:rsidRPr="00CA6287">
        <w:rPr>
          <w:rFonts w:ascii="Calibri" w:eastAsia="Calibri" w:hAnsi="Calibri" w:cs="Times New Roman"/>
        </w:rPr>
        <w:t xml:space="preserve">Written submissions can be sent to the LCO’s general email address at </w:t>
      </w:r>
      <w:hyperlink r:id="rId32" w:history="1">
        <w:r w:rsidRPr="00A932B1">
          <w:rPr>
            <w:rStyle w:val="Hyperlink"/>
          </w:rPr>
          <w:t>LawCommission@lco-cdo.org</w:t>
        </w:r>
      </w:hyperlink>
      <w:r>
        <w:t>.</w:t>
      </w:r>
    </w:p>
    <w:p w14:paraId="1BB14B71" w14:textId="270BED4E" w:rsidR="00CA6287" w:rsidRPr="000B31B9" w:rsidRDefault="00CA6287" w:rsidP="00CA6287">
      <w:pPr>
        <w:spacing w:line="256" w:lineRule="auto"/>
        <w:rPr>
          <w:rFonts w:ascii="Calibri" w:eastAsia="Calibri" w:hAnsi="Calibri" w:cs="Times New Roman"/>
        </w:rPr>
      </w:pPr>
      <w:r w:rsidRPr="00B437AD">
        <w:t xml:space="preserve">The deadline for written submissions is </w:t>
      </w:r>
      <w:r w:rsidR="00216375">
        <w:rPr>
          <w:b/>
          <w:bCs/>
        </w:rPr>
        <w:t>September</w:t>
      </w:r>
      <w:r w:rsidR="00F44866" w:rsidRPr="008546ED">
        <w:rPr>
          <w:b/>
          <w:bCs/>
        </w:rPr>
        <w:t xml:space="preserve"> </w:t>
      </w:r>
      <w:r w:rsidR="00216375">
        <w:rPr>
          <w:b/>
          <w:bCs/>
        </w:rPr>
        <w:t>1</w:t>
      </w:r>
      <w:r w:rsidRPr="008546ED">
        <w:rPr>
          <w:b/>
          <w:bCs/>
        </w:rPr>
        <w:t>, 2023</w:t>
      </w:r>
      <w:r w:rsidRPr="007A41A0">
        <w:rPr>
          <w:rFonts w:ascii="Calibri" w:eastAsia="Calibri" w:hAnsi="Calibri" w:cs="Times New Roman"/>
        </w:rPr>
        <w:t>.</w:t>
      </w:r>
      <w:r w:rsidRPr="000B31B9">
        <w:rPr>
          <w:rFonts w:ascii="Calibri" w:eastAsia="Calibri" w:hAnsi="Calibri" w:cs="Times New Roman"/>
        </w:rPr>
        <w:t xml:space="preserve"> </w:t>
      </w:r>
    </w:p>
    <w:p w14:paraId="7BA7FFA5" w14:textId="3951AB5D" w:rsidR="00CA6287" w:rsidRPr="00CA6287" w:rsidRDefault="00CA6287" w:rsidP="00CA6287">
      <w:pPr>
        <w:spacing w:line="256" w:lineRule="auto"/>
        <w:rPr>
          <w:rFonts w:ascii="Calibri" w:eastAsia="Calibri" w:hAnsi="Calibri" w:cs="Times New Roman"/>
        </w:rPr>
      </w:pPr>
      <w:r w:rsidRPr="00CA6287">
        <w:rPr>
          <w:rFonts w:ascii="Calibri" w:eastAsia="Calibri" w:hAnsi="Calibri" w:cs="Times New Roman"/>
        </w:rPr>
        <w:t>The LCO is committed to sharing ideas and building constructive dialogue.</w:t>
      </w:r>
      <w:r w:rsidR="000B31B9">
        <w:rPr>
          <w:rFonts w:ascii="Calibri" w:eastAsia="Calibri" w:hAnsi="Calibri" w:cs="Times New Roman"/>
        </w:rPr>
        <w:t xml:space="preserve"> </w:t>
      </w:r>
      <w:r w:rsidRPr="00CA6287">
        <w:rPr>
          <w:rFonts w:ascii="Calibri" w:eastAsia="Calibri" w:hAnsi="Calibri" w:cs="Times New Roman"/>
        </w:rPr>
        <w:t>Accordingly, the LCO expects to post written submissions on our project webpage, subject to limited exceptions.</w:t>
      </w:r>
      <w:r w:rsidR="009E0094">
        <w:rPr>
          <w:rFonts w:ascii="Calibri" w:eastAsia="Calibri" w:hAnsi="Calibri" w:cs="Times New Roman"/>
        </w:rPr>
        <w:t xml:space="preserve"> </w:t>
      </w:r>
      <w:r w:rsidRPr="00CA6287">
        <w:rPr>
          <w:rFonts w:ascii="Calibri" w:eastAsia="Calibri" w:hAnsi="Calibri" w:cs="Times New Roman"/>
        </w:rPr>
        <w:t>Individuals or organizations wishing to provide a written submission may want to contact the LCO for further information prior to their submission.</w:t>
      </w:r>
      <w:r w:rsidR="009E0094">
        <w:rPr>
          <w:rFonts w:ascii="Calibri" w:eastAsia="Calibri" w:hAnsi="Calibri" w:cs="Times New Roman"/>
        </w:rPr>
        <w:t xml:space="preserve"> </w:t>
      </w:r>
    </w:p>
    <w:p w14:paraId="4CC10CD3" w14:textId="77777777" w:rsidR="00CA6287" w:rsidRPr="00CA6287" w:rsidRDefault="00CA6287" w:rsidP="00CA6287">
      <w:pPr>
        <w:spacing w:line="256" w:lineRule="auto"/>
        <w:rPr>
          <w:rFonts w:ascii="Calibri" w:eastAsia="Calibri" w:hAnsi="Calibri" w:cs="Times New Roman"/>
          <w:b/>
          <w:bCs/>
        </w:rPr>
      </w:pPr>
      <w:r w:rsidRPr="00CA6287">
        <w:rPr>
          <w:rFonts w:ascii="Calibri" w:eastAsia="Calibri" w:hAnsi="Calibri" w:cs="Times New Roman"/>
          <w:b/>
          <w:bCs/>
        </w:rPr>
        <w:t>Project Lead and Contacts</w:t>
      </w:r>
    </w:p>
    <w:p w14:paraId="2515D132" w14:textId="4DD22248" w:rsidR="00CA6287" w:rsidRPr="00CA6287" w:rsidRDefault="00CA6287" w:rsidP="00CA6287">
      <w:pPr>
        <w:spacing w:line="256" w:lineRule="auto"/>
        <w:rPr>
          <w:rFonts w:ascii="Calibri" w:eastAsia="Calibri" w:hAnsi="Calibri" w:cs="Times New Roman"/>
        </w:rPr>
      </w:pPr>
      <w:r w:rsidRPr="00CA6287">
        <w:rPr>
          <w:rFonts w:ascii="Calibri" w:eastAsia="Calibri" w:hAnsi="Calibri" w:cs="Times New Roman"/>
        </w:rPr>
        <w:t>The LCO’s Project Lead is Ryan Fritsch.</w:t>
      </w:r>
      <w:r w:rsidR="009E0094">
        <w:rPr>
          <w:rFonts w:ascii="Calibri" w:eastAsia="Calibri" w:hAnsi="Calibri" w:cs="Times New Roman"/>
        </w:rPr>
        <w:t xml:space="preserve"> </w:t>
      </w:r>
      <w:r w:rsidRPr="00CA6287">
        <w:rPr>
          <w:rFonts w:ascii="Calibri" w:eastAsia="Calibri" w:hAnsi="Calibri" w:cs="Times New Roman"/>
        </w:rPr>
        <w:t xml:space="preserve">Ryan can be contacted at </w:t>
      </w:r>
      <w:hyperlink r:id="rId33" w:history="1">
        <w:r w:rsidRPr="00CA6287">
          <w:rPr>
            <w:rStyle w:val="Hyperlink"/>
            <w:rFonts w:ascii="Calibri" w:eastAsia="Calibri" w:hAnsi="Calibri" w:cs="Times New Roman"/>
          </w:rPr>
          <w:t>rfritsch@lco-cdo.org</w:t>
        </w:r>
      </w:hyperlink>
      <w:r w:rsidRPr="00CA6287">
        <w:rPr>
          <w:rFonts w:ascii="Calibri" w:eastAsia="Calibri" w:hAnsi="Calibri" w:cs="Times New Roman"/>
        </w:rPr>
        <w:t>.</w:t>
      </w:r>
    </w:p>
    <w:p w14:paraId="51073D23" w14:textId="77777777" w:rsidR="00CA6287" w:rsidRDefault="00CA6287" w:rsidP="00CA6287">
      <w:r>
        <w:t xml:space="preserve">The LCO can also be contacted at: </w:t>
      </w:r>
    </w:p>
    <w:p w14:paraId="1DC1369E" w14:textId="77777777" w:rsidR="00CA6287" w:rsidRDefault="00CA6287" w:rsidP="007A41A0">
      <w:pPr>
        <w:spacing w:after="0"/>
        <w:rPr>
          <w:lang w:val="da-DK"/>
        </w:rPr>
      </w:pPr>
      <w:r>
        <w:t>Law Commission of Ontario</w:t>
      </w:r>
      <w:r>
        <w:br/>
        <w:t xml:space="preserve">2032 Ignat Kaneff Building </w:t>
      </w:r>
      <w:r>
        <w:br/>
        <w:t xml:space="preserve">Osgoode Hall Law School, York University </w:t>
      </w:r>
      <w:r>
        <w:br/>
        <w:t xml:space="preserve">4700 Keele Street </w:t>
      </w:r>
      <w:r>
        <w:br/>
      </w:r>
      <w:r w:rsidRPr="00CA6287">
        <w:rPr>
          <w:lang w:val="it-IT"/>
        </w:rPr>
        <w:t xml:space="preserve">Toronto, Ontario, Canada </w:t>
      </w:r>
      <w:r>
        <w:br/>
      </w:r>
      <w:r w:rsidRPr="00CA6287">
        <w:rPr>
          <w:lang w:val="da-DK"/>
        </w:rPr>
        <w:t xml:space="preserve">M3J 1P3 </w:t>
      </w:r>
    </w:p>
    <w:p w14:paraId="5E4442AE" w14:textId="2E92F519" w:rsidR="00AB094E" w:rsidRDefault="00000000" w:rsidP="007A41A0">
      <w:pPr>
        <w:spacing w:after="0"/>
        <w:rPr>
          <w:rFonts w:asciiTheme="majorHAnsi" w:eastAsiaTheme="majorEastAsia" w:hAnsiTheme="majorHAnsi" w:cstheme="majorBidi"/>
          <w:b/>
          <w:color w:val="2F5496" w:themeColor="accent1" w:themeShade="BF"/>
          <w:sz w:val="28"/>
          <w:szCs w:val="32"/>
        </w:rPr>
      </w:pPr>
      <w:hyperlink r:id="rId34" w:history="1">
        <w:r w:rsidR="00CB455B" w:rsidRPr="00A932B1">
          <w:rPr>
            <w:rStyle w:val="Hyperlink"/>
          </w:rPr>
          <w:t>LawCommission@lco-cdo.org</w:t>
        </w:r>
      </w:hyperlink>
      <w:r w:rsidR="00AB094E">
        <w:br w:type="page"/>
      </w:r>
    </w:p>
    <w:p w14:paraId="37DC5E9E" w14:textId="56D18C6F" w:rsidR="00B353DD" w:rsidRPr="005D0E77" w:rsidRDefault="00B353DD" w:rsidP="005D0E77">
      <w:pPr>
        <w:pStyle w:val="Heading1"/>
        <w:numPr>
          <w:ilvl w:val="0"/>
          <w:numId w:val="1"/>
        </w:numPr>
      </w:pPr>
      <w:bookmarkStart w:id="30" w:name="_Toc138151828"/>
      <w:r w:rsidRPr="005D0E77">
        <w:lastRenderedPageBreak/>
        <w:t xml:space="preserve">Consumer Protection Law: </w:t>
      </w:r>
      <w:r w:rsidR="00E651B9">
        <w:t>Background</w:t>
      </w:r>
      <w:bookmarkEnd w:id="30"/>
      <w:r w:rsidR="00E651B9">
        <w:t xml:space="preserve"> </w:t>
      </w:r>
      <w:bookmarkEnd w:id="29"/>
    </w:p>
    <w:p w14:paraId="07B08790" w14:textId="77777777" w:rsidR="00943449" w:rsidRPr="00943449" w:rsidRDefault="00943449" w:rsidP="00943449">
      <w:pPr>
        <w:spacing w:after="0"/>
      </w:pPr>
    </w:p>
    <w:p w14:paraId="6D9896ED" w14:textId="0DFEC286" w:rsidR="00E651B9" w:rsidRDefault="00E651B9" w:rsidP="007A41A0">
      <w:pPr>
        <w:pStyle w:val="Heading2"/>
        <w:numPr>
          <w:ilvl w:val="1"/>
          <w:numId w:val="1"/>
        </w:numPr>
      </w:pPr>
      <w:bookmarkStart w:id="31" w:name="_Toc138151829"/>
      <w:r>
        <w:t>Rational</w:t>
      </w:r>
      <w:r w:rsidR="00565BCC">
        <w:t>e</w:t>
      </w:r>
      <w:r>
        <w:t xml:space="preserve"> and Objectives</w:t>
      </w:r>
      <w:bookmarkEnd w:id="31"/>
    </w:p>
    <w:p w14:paraId="07867A73" w14:textId="77777777" w:rsidR="00E651B9" w:rsidRDefault="00E651B9" w:rsidP="006F6114"/>
    <w:p w14:paraId="46F4FDDA" w14:textId="595E08DA" w:rsidR="00995BD3" w:rsidRDefault="00B353DD" w:rsidP="006F6114">
      <w:r>
        <w:t>C</w:t>
      </w:r>
      <w:r w:rsidRPr="00ED1F02">
        <w:t>onsumer protection law</w:t>
      </w:r>
      <w:r>
        <w:t xml:space="preserve">s are intended to regulate </w:t>
      </w:r>
      <w:r w:rsidRPr="00ED1F02">
        <w:t>transactions between consumers and businesses</w:t>
      </w:r>
      <w:r>
        <w:t xml:space="preserve"> (often called “suppliers”). These laws exist because private contracting between consumers and suppliers has inherent limitations</w:t>
      </w:r>
      <w:r w:rsidR="002133F5">
        <w:t>, including</w:t>
      </w:r>
      <w:r w:rsidR="00995BD3">
        <w:t>:</w:t>
      </w:r>
    </w:p>
    <w:p w14:paraId="42278261" w14:textId="4033C4AD" w:rsidR="00995BD3" w:rsidRDefault="00B437AD" w:rsidP="00470F77">
      <w:pPr>
        <w:pStyle w:val="ListParagraph"/>
        <w:numPr>
          <w:ilvl w:val="0"/>
          <w:numId w:val="69"/>
        </w:numPr>
      </w:pPr>
      <w:r>
        <w:t xml:space="preserve">The </w:t>
      </w:r>
      <w:r w:rsidR="00B353DD">
        <w:t>part</w:t>
      </w:r>
      <w:r>
        <w:t>y’</w:t>
      </w:r>
      <w:r w:rsidR="00B353DD">
        <w:t>s unequal negotiating position</w:t>
      </w:r>
    </w:p>
    <w:p w14:paraId="2659D9FE" w14:textId="52D06833" w:rsidR="00995BD3" w:rsidRDefault="00B437AD" w:rsidP="00470F77">
      <w:pPr>
        <w:pStyle w:val="ListParagraph"/>
        <w:numPr>
          <w:ilvl w:val="0"/>
          <w:numId w:val="69"/>
        </w:numPr>
      </w:pPr>
      <w:r>
        <w:t xml:space="preserve">Unequal access to information, </w:t>
      </w:r>
      <w:r w:rsidR="00B353DD">
        <w:t>and</w:t>
      </w:r>
    </w:p>
    <w:p w14:paraId="0E0BB102" w14:textId="2237A67F" w:rsidR="00995BD3" w:rsidRDefault="00B437AD" w:rsidP="00470F77">
      <w:pPr>
        <w:pStyle w:val="ListParagraph"/>
        <w:numPr>
          <w:ilvl w:val="0"/>
          <w:numId w:val="69"/>
        </w:numPr>
      </w:pPr>
      <w:r>
        <w:t xml:space="preserve">Consumer’s </w:t>
      </w:r>
      <w:r w:rsidR="00020916">
        <w:t xml:space="preserve">potential lack of </w:t>
      </w:r>
      <w:r w:rsidR="00B353DD">
        <w:t>sophistication</w:t>
      </w:r>
      <w:r w:rsidR="00701C9E">
        <w:t>.</w:t>
      </w:r>
    </w:p>
    <w:p w14:paraId="1C26A8BF" w14:textId="4312704B" w:rsidR="00B353DD" w:rsidRDefault="00020916" w:rsidP="00995BD3">
      <w:r>
        <w:t>In these circumstances, c</w:t>
      </w:r>
      <w:r w:rsidR="00B353DD">
        <w:t xml:space="preserve">onsumers </w:t>
      </w:r>
      <w:r>
        <w:t>may be unaware of what they are agreeing to or be vulnerable to unfair transactions, deceptive practices</w:t>
      </w:r>
      <w:r w:rsidR="00B353DD">
        <w:t xml:space="preserve">, </w:t>
      </w:r>
      <w:r>
        <w:t>or coercive terms.</w:t>
      </w:r>
      <w:r w:rsidR="009E0094">
        <w:t xml:space="preserve"> </w:t>
      </w:r>
    </w:p>
    <w:p w14:paraId="12245698" w14:textId="0803366F" w:rsidR="00B353DD" w:rsidRDefault="00B353DD" w:rsidP="006F6114">
      <w:r>
        <w:t xml:space="preserve">Consumer protection legislation attempts to </w:t>
      </w:r>
      <w:r w:rsidR="00BF591D">
        <w:t xml:space="preserve">address </w:t>
      </w:r>
      <w:r>
        <w:t xml:space="preserve">these inequities </w:t>
      </w:r>
      <w:r w:rsidR="00BF591D">
        <w:t xml:space="preserve">in order </w:t>
      </w:r>
      <w:r w:rsidR="00020916">
        <w:t xml:space="preserve">to </w:t>
      </w:r>
      <w:r>
        <w:t xml:space="preserve">promote a </w:t>
      </w:r>
      <w:r w:rsidR="00020916">
        <w:t xml:space="preserve">trustworthy </w:t>
      </w:r>
      <w:r>
        <w:t xml:space="preserve">marketplace for consumers, fair competition among businesses, and </w:t>
      </w:r>
      <w:r w:rsidR="00020916">
        <w:t xml:space="preserve">marketplace </w:t>
      </w:r>
      <w:r>
        <w:t>efficiency.</w:t>
      </w:r>
      <w:r w:rsidR="00020916" w:rsidRPr="00020916">
        <w:t xml:space="preserve"> </w:t>
      </w:r>
    </w:p>
    <w:p w14:paraId="171AC955" w14:textId="0F9B8668" w:rsidR="00B353DD" w:rsidRDefault="00020916" w:rsidP="00B353DD">
      <w:r>
        <w:t>Over time, c</w:t>
      </w:r>
      <w:r w:rsidR="00B353DD">
        <w:t xml:space="preserve">onsumer protection law </w:t>
      </w:r>
      <w:r>
        <w:t xml:space="preserve">developed </w:t>
      </w:r>
      <w:r w:rsidR="00B353DD">
        <w:t>a series of coherent, interdependent, and long-standing assumptions, principles, and objectives</w:t>
      </w:r>
      <w:r>
        <w:t>, including</w:t>
      </w:r>
      <w:r w:rsidR="00BF591D">
        <w:t>:</w:t>
      </w:r>
    </w:p>
    <w:p w14:paraId="79AA799F" w14:textId="16E898E1" w:rsidR="00B353DD" w:rsidRDefault="00B437AD" w:rsidP="00470F77">
      <w:pPr>
        <w:pStyle w:val="ListParagraph"/>
        <w:numPr>
          <w:ilvl w:val="0"/>
          <w:numId w:val="10"/>
        </w:numPr>
        <w:spacing w:after="0" w:line="240" w:lineRule="auto"/>
      </w:pPr>
      <w:r>
        <w:t>C</w:t>
      </w:r>
      <w:r w:rsidR="00B353DD">
        <w:t xml:space="preserve">onsumer interests (and potential consumer harms) can be identified, anticipated, and balanced against the needs of suppliers and the public interest </w:t>
      </w:r>
    </w:p>
    <w:p w14:paraId="1C08CE5D" w14:textId="613A1A03" w:rsidR="00B353DD" w:rsidRDefault="00B437AD" w:rsidP="00470F77">
      <w:pPr>
        <w:pStyle w:val="ListParagraph"/>
        <w:numPr>
          <w:ilvl w:val="0"/>
          <w:numId w:val="10"/>
        </w:numPr>
        <w:spacing w:after="0" w:line="240" w:lineRule="auto"/>
      </w:pPr>
      <w:r>
        <w:t>M</w:t>
      </w:r>
      <w:r w:rsidR="00B353DD">
        <w:t xml:space="preserve">inimum standards </w:t>
      </w:r>
      <w:r w:rsidR="00020916">
        <w:t xml:space="preserve">may be </w:t>
      </w:r>
      <w:r w:rsidR="00B353DD">
        <w:t>necessary to regulate transactions between parties of unequal bargaining strength</w:t>
      </w:r>
      <w:r>
        <w:t xml:space="preserve"> to </w:t>
      </w:r>
      <w:r w:rsidR="00020916">
        <w:t xml:space="preserve">balance information inequities, reduce deception and </w:t>
      </w:r>
      <w:r w:rsidR="00B353DD">
        <w:t xml:space="preserve">coercion, or </w:t>
      </w:r>
      <w:r>
        <w:t xml:space="preserve">ensure </w:t>
      </w:r>
      <w:r w:rsidR="00B353DD">
        <w:t xml:space="preserve">consumer choice </w:t>
      </w:r>
    </w:p>
    <w:p w14:paraId="18E1742B" w14:textId="03A4B85C" w:rsidR="00B353DD" w:rsidRPr="00E35159" w:rsidRDefault="00B437AD" w:rsidP="00470F77">
      <w:pPr>
        <w:pStyle w:val="ListParagraph"/>
        <w:numPr>
          <w:ilvl w:val="0"/>
          <w:numId w:val="10"/>
        </w:numPr>
        <w:spacing w:after="0" w:line="240" w:lineRule="auto"/>
      </w:pPr>
      <w:r>
        <w:t>M</w:t>
      </w:r>
      <w:r w:rsidR="00B353DD" w:rsidRPr="00E35159">
        <w:t>arketplace competition promotes consumer welfare</w:t>
      </w:r>
      <w:r w:rsidR="00020916">
        <w:t>, marketplace efficiency,</w:t>
      </w:r>
      <w:r w:rsidR="00B353DD" w:rsidRPr="00E35159">
        <w:t xml:space="preserve"> </w:t>
      </w:r>
      <w:r w:rsidR="00020916">
        <w:t>and the public interest</w:t>
      </w:r>
      <w:r w:rsidR="00064661">
        <w:t xml:space="preserve"> through</w:t>
      </w:r>
      <w:r w:rsidR="00B353DD" w:rsidRPr="00E35159">
        <w:t xml:space="preserve"> consumer choice </w:t>
      </w:r>
      <w:r w:rsidR="00064661">
        <w:t>that</w:t>
      </w:r>
      <w:r w:rsidR="00B353DD" w:rsidRPr="00E35159">
        <w:t xml:space="preserve"> encourages lower cost</w:t>
      </w:r>
      <w:r w:rsidR="00064661">
        <w:t xml:space="preserve"> and </w:t>
      </w:r>
      <w:r w:rsidR="00B353DD" w:rsidRPr="00E35159">
        <w:t>higher quality goods and services</w:t>
      </w:r>
      <w:r w:rsidR="00701C9E">
        <w:t>.</w:t>
      </w:r>
    </w:p>
    <w:p w14:paraId="1C3259CF" w14:textId="77777777" w:rsidR="00B353DD" w:rsidRDefault="00B353DD" w:rsidP="00B353DD">
      <w:pPr>
        <w:spacing w:after="0" w:line="240" w:lineRule="auto"/>
      </w:pPr>
    </w:p>
    <w:p w14:paraId="52AC18EA" w14:textId="77777777" w:rsidR="00B353DD" w:rsidRDefault="00B353DD" w:rsidP="00B353DD">
      <w:pPr>
        <w:spacing w:after="0" w:line="240" w:lineRule="auto"/>
      </w:pPr>
      <w:r>
        <w:t>Consumer protection law has typically met these objectives through a range of legal (and self-regulatory) strategies, including:</w:t>
      </w:r>
    </w:p>
    <w:p w14:paraId="2F44A41F" w14:textId="77777777" w:rsidR="00B353DD" w:rsidRDefault="00B353DD" w:rsidP="00B353DD">
      <w:pPr>
        <w:spacing w:after="0" w:line="240" w:lineRule="auto"/>
      </w:pPr>
    </w:p>
    <w:p w14:paraId="77590E4D" w14:textId="79B82723" w:rsidR="00B353DD" w:rsidRDefault="00B353DD" w:rsidP="00470F77">
      <w:pPr>
        <w:pStyle w:val="ListParagraph"/>
        <w:numPr>
          <w:ilvl w:val="0"/>
          <w:numId w:val="13"/>
        </w:numPr>
        <w:spacing w:after="0" w:line="240" w:lineRule="auto"/>
      </w:pPr>
      <w:r>
        <w:t xml:space="preserve">Defining standard </w:t>
      </w:r>
      <w:r w:rsidR="006E2312">
        <w:t xml:space="preserve">contractual </w:t>
      </w:r>
      <w:r>
        <w:t xml:space="preserve">terms </w:t>
      </w:r>
      <w:r w:rsidR="006E2312">
        <w:t>and baseline protections</w:t>
      </w:r>
      <w:r w:rsidR="00B130D4">
        <w:t xml:space="preserve"> which </w:t>
      </w:r>
      <w:r>
        <w:t>consumers can rely on universally without having to</w:t>
      </w:r>
      <w:r w:rsidR="006E2312">
        <w:t xml:space="preserve"> </w:t>
      </w:r>
      <w:r>
        <w:t>negotiate.</w:t>
      </w:r>
    </w:p>
    <w:p w14:paraId="2E86A665" w14:textId="421ED3E2" w:rsidR="00B353DD" w:rsidRDefault="00B353DD" w:rsidP="00470F77">
      <w:pPr>
        <w:pStyle w:val="ListParagraph"/>
        <w:numPr>
          <w:ilvl w:val="0"/>
          <w:numId w:val="13"/>
        </w:numPr>
        <w:spacing w:after="0" w:line="240" w:lineRule="auto"/>
      </w:pPr>
      <w:r>
        <w:t>Defining standard terms</w:t>
      </w:r>
      <w:r w:rsidR="006E2312">
        <w:t xml:space="preserve"> and baseline protections</w:t>
      </w:r>
      <w:r>
        <w:t xml:space="preserve"> </w:t>
      </w:r>
      <w:r w:rsidR="00BF591D">
        <w:t xml:space="preserve">for </w:t>
      </w:r>
      <w:r>
        <w:t xml:space="preserve">transactions </w:t>
      </w:r>
      <w:r w:rsidR="006E2312">
        <w:t xml:space="preserve">that are </w:t>
      </w:r>
      <w:r>
        <w:t>particularly risk</w:t>
      </w:r>
      <w:r w:rsidR="006E2312">
        <w:t>y</w:t>
      </w:r>
      <w:r>
        <w:t xml:space="preserve"> for consumers, such as mortgages and auto sales, or where consumers have no practical bargaining power, such as electrical utilities</w:t>
      </w:r>
      <w:r w:rsidR="00020916">
        <w:t>.</w:t>
      </w:r>
    </w:p>
    <w:p w14:paraId="7EAA456F" w14:textId="093D7516" w:rsidR="00B353DD" w:rsidRDefault="00B353DD" w:rsidP="00470F77">
      <w:pPr>
        <w:pStyle w:val="ListParagraph"/>
        <w:numPr>
          <w:ilvl w:val="0"/>
          <w:numId w:val="13"/>
        </w:numPr>
        <w:spacing w:after="0" w:line="240" w:lineRule="auto"/>
      </w:pPr>
      <w:r>
        <w:t xml:space="preserve">Ensuring notice and disclosure of certain information up-front, such as information </w:t>
      </w:r>
      <w:r w:rsidR="004C135B">
        <w:t xml:space="preserve">about risks and consequences, and information needed to </w:t>
      </w:r>
      <w:r>
        <w:t>mak</w:t>
      </w:r>
      <w:r w:rsidR="004C135B">
        <w:t>e</w:t>
      </w:r>
      <w:r>
        <w:t xml:space="preserve"> a</w:t>
      </w:r>
      <w:r w:rsidR="008F2421">
        <w:t xml:space="preserve"> properly</w:t>
      </w:r>
      <w:r>
        <w:t xml:space="preserve"> informed decision.</w:t>
      </w:r>
    </w:p>
    <w:p w14:paraId="65369DDF" w14:textId="42374E47" w:rsidR="00B353DD" w:rsidRDefault="00B353DD" w:rsidP="00470F77">
      <w:pPr>
        <w:pStyle w:val="ListParagraph"/>
        <w:numPr>
          <w:ilvl w:val="0"/>
          <w:numId w:val="13"/>
        </w:numPr>
        <w:spacing w:after="0" w:line="240" w:lineRule="auto"/>
      </w:pPr>
      <w:r>
        <w:t>Limit</w:t>
      </w:r>
      <w:r w:rsidR="00020916">
        <w:t xml:space="preserve">ing </w:t>
      </w:r>
      <w:r>
        <w:t xml:space="preserve">terms and conditions that are excessively one-sided </w:t>
      </w:r>
      <w:r w:rsidR="00020916">
        <w:t xml:space="preserve">or </w:t>
      </w:r>
      <w:r>
        <w:t xml:space="preserve">exploitative. </w:t>
      </w:r>
    </w:p>
    <w:p w14:paraId="7B53593D" w14:textId="7DD7A214" w:rsidR="00B353DD" w:rsidRDefault="00B353DD" w:rsidP="00470F77">
      <w:pPr>
        <w:pStyle w:val="ListParagraph"/>
        <w:numPr>
          <w:ilvl w:val="0"/>
          <w:numId w:val="13"/>
        </w:numPr>
        <w:spacing w:after="0" w:line="240" w:lineRule="auto"/>
      </w:pPr>
      <w:r>
        <w:t xml:space="preserve">Providing “cool off” periods for consumers to change their mind as a check </w:t>
      </w:r>
      <w:r w:rsidR="008F2421">
        <w:t xml:space="preserve">(and disincentive) to engage in </w:t>
      </w:r>
      <w:r>
        <w:t xml:space="preserve">coercive </w:t>
      </w:r>
      <w:r w:rsidR="008F2421">
        <w:t xml:space="preserve">or deceptive </w:t>
      </w:r>
      <w:r>
        <w:t>sales tactics.</w:t>
      </w:r>
    </w:p>
    <w:p w14:paraId="47936236" w14:textId="5C0D5CA9" w:rsidR="00B353DD" w:rsidRDefault="008F2421" w:rsidP="00470F77">
      <w:pPr>
        <w:pStyle w:val="ListParagraph"/>
        <w:numPr>
          <w:ilvl w:val="0"/>
          <w:numId w:val="13"/>
        </w:numPr>
        <w:spacing w:after="0" w:line="240" w:lineRule="auto"/>
      </w:pPr>
      <w:r>
        <w:t>E</w:t>
      </w:r>
      <w:r w:rsidR="00020916">
        <w:t>stablishing consumer protections on a sector-by-sector basis</w:t>
      </w:r>
      <w:r w:rsidR="00583207">
        <w:t xml:space="preserve"> where specific practices need regulating</w:t>
      </w:r>
      <w:r w:rsidR="00020916">
        <w:t xml:space="preserve">, </w:t>
      </w:r>
      <w:r w:rsidR="00B353DD">
        <w:t>such as time-share properties, tow trucking, door-to-door sales, credit agreements, etc.</w:t>
      </w:r>
    </w:p>
    <w:p w14:paraId="3EDDC06C" w14:textId="09D4B314" w:rsidR="00527FDA" w:rsidRDefault="00527FDA" w:rsidP="00470F77">
      <w:pPr>
        <w:pStyle w:val="ListParagraph"/>
        <w:numPr>
          <w:ilvl w:val="0"/>
          <w:numId w:val="13"/>
        </w:numPr>
        <w:spacing w:after="0" w:line="240" w:lineRule="auto"/>
      </w:pPr>
      <w:r>
        <w:t>Establishing sectoral governance and regulatory bodies (such as those for funeral homes and financial services)</w:t>
      </w:r>
      <w:r w:rsidR="003E2C73">
        <w:t>.</w:t>
      </w:r>
    </w:p>
    <w:p w14:paraId="7C2B7E91" w14:textId="09CD625E" w:rsidR="00B353DD" w:rsidRDefault="00B353DD" w:rsidP="00470F77">
      <w:pPr>
        <w:pStyle w:val="ListParagraph"/>
        <w:numPr>
          <w:ilvl w:val="0"/>
          <w:numId w:val="13"/>
        </w:numPr>
        <w:spacing w:after="0" w:line="240" w:lineRule="auto"/>
      </w:pPr>
      <w:r>
        <w:lastRenderedPageBreak/>
        <w:t xml:space="preserve">Establishing </w:t>
      </w:r>
      <w:r w:rsidR="00020916">
        <w:t xml:space="preserve">best </w:t>
      </w:r>
      <w:r>
        <w:t>practice</w:t>
      </w:r>
      <w:r w:rsidR="00020916">
        <w:t xml:space="preserve">s or </w:t>
      </w:r>
      <w:r>
        <w:t xml:space="preserve">certification standards, such as </w:t>
      </w:r>
      <w:r w:rsidR="00D41942">
        <w:t xml:space="preserve">the </w:t>
      </w:r>
      <w:r w:rsidR="00020916">
        <w:t xml:space="preserve">Canada Standards Association, </w:t>
      </w:r>
      <w:r>
        <w:t xml:space="preserve">the </w:t>
      </w:r>
      <w:r w:rsidRPr="003A18F7">
        <w:t>Vintners Quality Alliance</w:t>
      </w:r>
      <w:r w:rsidR="00D41942">
        <w:t xml:space="preserve"> (VQA)</w:t>
      </w:r>
      <w:r>
        <w:t>,</w:t>
      </w:r>
      <w:r w:rsidR="00D41942">
        <w:t xml:space="preserve"> etc</w:t>
      </w:r>
      <w:r>
        <w:t>.</w:t>
      </w:r>
    </w:p>
    <w:p w14:paraId="27436D24" w14:textId="4A926251" w:rsidR="008F2421" w:rsidRDefault="00BF591D" w:rsidP="00470F77">
      <w:pPr>
        <w:pStyle w:val="ListParagraph"/>
        <w:numPr>
          <w:ilvl w:val="0"/>
          <w:numId w:val="13"/>
        </w:numPr>
        <w:spacing w:after="0" w:line="240" w:lineRule="auto"/>
      </w:pPr>
      <w:r>
        <w:t xml:space="preserve">Establishing standard rules and processes to govern consumer disputes, including </w:t>
      </w:r>
      <w:r w:rsidR="008F2421">
        <w:t>prohibitions on jurisdiction shopping</w:t>
      </w:r>
      <w:r w:rsidR="00527FDA">
        <w:t xml:space="preserve">, mandatory </w:t>
      </w:r>
      <w:r w:rsidR="00B808E5">
        <w:t>arbitration,</w:t>
      </w:r>
      <w:r w:rsidR="008F2421">
        <w:t xml:space="preserve"> or waiver of class action rights; government complaint and dispute resolution services; government investigations of specific and systemic issues; and </w:t>
      </w:r>
      <w:r w:rsidR="00757B0F">
        <w:t>other such measures.</w:t>
      </w:r>
      <w:r w:rsidR="00C038EE" w:rsidRPr="00C038EE">
        <w:rPr>
          <w:rStyle w:val="EndnoteReference"/>
        </w:rPr>
        <w:t xml:space="preserve"> </w:t>
      </w:r>
      <w:r w:rsidR="00C038EE">
        <w:rPr>
          <w:rStyle w:val="EndnoteReference"/>
        </w:rPr>
        <w:endnoteReference w:id="40"/>
      </w:r>
    </w:p>
    <w:p w14:paraId="2BA36F6C" w14:textId="79B39A4B" w:rsidR="00B353DD" w:rsidRDefault="00B353DD" w:rsidP="00B353DD">
      <w:pPr>
        <w:spacing w:after="0" w:line="240" w:lineRule="auto"/>
      </w:pPr>
    </w:p>
    <w:p w14:paraId="5F1D8975" w14:textId="77777777" w:rsidR="004335E3" w:rsidRDefault="004335E3" w:rsidP="00B353DD">
      <w:pPr>
        <w:spacing w:after="0" w:line="240" w:lineRule="auto"/>
      </w:pPr>
    </w:p>
    <w:p w14:paraId="19B7484A" w14:textId="0DF495E8" w:rsidR="00536E7C" w:rsidRDefault="00D41942" w:rsidP="007A41A0">
      <w:pPr>
        <w:pStyle w:val="Heading2"/>
        <w:numPr>
          <w:ilvl w:val="1"/>
          <w:numId w:val="1"/>
        </w:numPr>
      </w:pPr>
      <w:bookmarkStart w:id="32" w:name="_Toc138151830"/>
      <w:bookmarkStart w:id="33" w:name="_Toc113832382"/>
      <w:r>
        <w:t xml:space="preserve">Standard Form </w:t>
      </w:r>
      <w:r w:rsidR="00B353DD">
        <w:t>Contracts</w:t>
      </w:r>
      <w:bookmarkEnd w:id="32"/>
    </w:p>
    <w:p w14:paraId="788E5881" w14:textId="77777777" w:rsidR="00943449" w:rsidRDefault="00943449" w:rsidP="008037D4">
      <w:pPr>
        <w:pStyle w:val="Heading2"/>
        <w:spacing w:before="0"/>
      </w:pPr>
    </w:p>
    <w:p w14:paraId="1007BFBF" w14:textId="44C8ED09" w:rsidR="0091356A" w:rsidRDefault="0091356A" w:rsidP="0091356A">
      <w:pPr>
        <w:spacing w:after="0" w:line="240" w:lineRule="auto"/>
      </w:pPr>
      <w:r>
        <w:t>Many of the provisions and protections described above have contributed to the development of “standard form” or “boilerplate” consumer contracts.</w:t>
      </w:r>
    </w:p>
    <w:p w14:paraId="01FCD776" w14:textId="77777777" w:rsidR="008037D4" w:rsidRDefault="008037D4" w:rsidP="008037D4">
      <w:pPr>
        <w:spacing w:after="0"/>
      </w:pPr>
    </w:p>
    <w:p w14:paraId="002F9DC9" w14:textId="15EFC102" w:rsidR="00FB3EAB" w:rsidRDefault="00536E7C" w:rsidP="00536E7C">
      <w:r>
        <w:t xml:space="preserve">The benefit of </w:t>
      </w:r>
      <w:r w:rsidR="00D41942">
        <w:t xml:space="preserve">standard form contracts is </w:t>
      </w:r>
      <w:r>
        <w:t xml:space="preserve">that </w:t>
      </w:r>
      <w:r w:rsidR="00D41942">
        <w:t xml:space="preserve">they are </w:t>
      </w:r>
      <w:r>
        <w:t xml:space="preserve">fast, </w:t>
      </w:r>
      <w:r w:rsidR="00D41942">
        <w:t xml:space="preserve">consistent, </w:t>
      </w:r>
      <w:r>
        <w:t>efficient, and transparent</w:t>
      </w:r>
      <w:r w:rsidR="002A1EE4">
        <w:t>.</w:t>
      </w:r>
      <w:r w:rsidR="009E0094">
        <w:t xml:space="preserve"> </w:t>
      </w:r>
      <w:r w:rsidR="002A1EE4">
        <w:t xml:space="preserve">These attributes make standard form contracts </w:t>
      </w:r>
      <w:r>
        <w:t xml:space="preserve">ideal for high-volume, routine commercial </w:t>
      </w:r>
      <w:r w:rsidR="00FB3EAB">
        <w:t xml:space="preserve">and consumer </w:t>
      </w:r>
      <w:r>
        <w:t>transaction</w:t>
      </w:r>
      <w:r w:rsidR="00FA1BA0">
        <w:t>s of many kinds</w:t>
      </w:r>
      <w:r w:rsidR="00B6643F">
        <w:t>.</w:t>
      </w:r>
    </w:p>
    <w:p w14:paraId="00A54269" w14:textId="08E3ED04" w:rsidR="00536E7C" w:rsidRDefault="00D41942" w:rsidP="00536E7C">
      <w:r>
        <w:t>Historically, t</w:t>
      </w:r>
      <w:r w:rsidR="00A30839">
        <w:t>he</w:t>
      </w:r>
      <w:r w:rsidR="00375E10">
        <w:t xml:space="preserve"> </w:t>
      </w:r>
      <w:r w:rsidR="00FB3EAB">
        <w:t xml:space="preserve">legal </w:t>
      </w:r>
      <w:r w:rsidR="00B6643F">
        <w:t>invention</w:t>
      </w:r>
      <w:r w:rsidR="00FB3EAB">
        <w:t xml:space="preserve"> </w:t>
      </w:r>
      <w:r w:rsidR="00A30839">
        <w:t xml:space="preserve">of “mass contracting” had clear economic benefits </w:t>
      </w:r>
      <w:r>
        <w:t xml:space="preserve">for </w:t>
      </w:r>
      <w:r w:rsidR="002A1EE4">
        <w:t xml:space="preserve">both </w:t>
      </w:r>
      <w:r>
        <w:t xml:space="preserve">businesses and consumers. Over time, </w:t>
      </w:r>
      <w:r w:rsidR="00490FC2">
        <w:t xml:space="preserve">consumers </w:t>
      </w:r>
      <w:r>
        <w:t xml:space="preserve">have become </w:t>
      </w:r>
      <w:r w:rsidR="00536E7C">
        <w:t xml:space="preserve">accustomed to seeing simple </w:t>
      </w:r>
      <w:r w:rsidR="009D17D7">
        <w:t xml:space="preserve">and standardized </w:t>
      </w:r>
      <w:r w:rsidR="00536E7C">
        <w:t xml:space="preserve">“terms of service” </w:t>
      </w:r>
      <w:r w:rsidR="009D17D7">
        <w:t xml:space="preserve">posted </w:t>
      </w:r>
      <w:r w:rsidR="00A55993">
        <w:t xml:space="preserve">at parking lots, </w:t>
      </w:r>
      <w:r>
        <w:t>printed on sales receipts</w:t>
      </w:r>
      <w:r w:rsidR="00A55993">
        <w:t>,</w:t>
      </w:r>
      <w:r w:rsidR="009D17D7">
        <w:t xml:space="preserve"> </w:t>
      </w:r>
      <w:r w:rsidR="00A55993">
        <w:t>or</w:t>
      </w:r>
      <w:r w:rsidR="009D17D7">
        <w:t xml:space="preserve"> </w:t>
      </w:r>
      <w:r w:rsidR="00A55993">
        <w:t xml:space="preserve">provided on the </w:t>
      </w:r>
      <w:r w:rsidR="00536E7C">
        <w:t xml:space="preserve">back of </w:t>
      </w:r>
      <w:r w:rsidR="00F6104E">
        <w:t xml:space="preserve">event </w:t>
      </w:r>
      <w:r w:rsidR="00536E7C">
        <w:t>tickets.</w:t>
      </w:r>
      <w:r w:rsidR="00536E7C">
        <w:rPr>
          <w:rStyle w:val="EndnoteReference"/>
        </w:rPr>
        <w:endnoteReference w:id="41"/>
      </w:r>
    </w:p>
    <w:p w14:paraId="5EF15A09" w14:textId="173AF5CF" w:rsidR="00536E7C" w:rsidRDefault="00375E10" w:rsidP="00536E7C">
      <w:r>
        <w:t>“Mass contracting”</w:t>
      </w:r>
      <w:r w:rsidR="00FA1BA0">
        <w:t xml:space="preserve"> law adapted to </w:t>
      </w:r>
      <w:r w:rsidR="00A30839">
        <w:t xml:space="preserve">transactions involving digital goods. </w:t>
      </w:r>
      <w:r w:rsidR="00FA1BA0">
        <w:t>By the mid- to late-1990s</w:t>
      </w:r>
      <w:r w:rsidR="007B5613">
        <w:t>,</w:t>
      </w:r>
      <w:r w:rsidR="00FA1BA0">
        <w:t xml:space="preserve"> courts in Canada and the United States accepted </w:t>
      </w:r>
      <w:r w:rsidR="002A1EE4">
        <w:t xml:space="preserve">so-called </w:t>
      </w:r>
      <w:r w:rsidR="00FA1BA0">
        <w:t xml:space="preserve">“shrink-wrap” contracts as a </w:t>
      </w:r>
      <w:r w:rsidR="009D17D7">
        <w:t xml:space="preserve">standard </w:t>
      </w:r>
      <w:r w:rsidR="00FA1BA0">
        <w:t xml:space="preserve">form </w:t>
      </w:r>
      <w:r w:rsidR="009D17D7">
        <w:t xml:space="preserve">contract </w:t>
      </w:r>
      <w:r w:rsidR="00FA1BA0">
        <w:t>for software sales.</w:t>
      </w:r>
      <w:r w:rsidR="00536E7C">
        <w:rPr>
          <w:rStyle w:val="EndnoteReference"/>
        </w:rPr>
        <w:endnoteReference w:id="42"/>
      </w:r>
      <w:r w:rsidR="009E0094">
        <w:t xml:space="preserve"> </w:t>
      </w:r>
      <w:r w:rsidR="009D17D7">
        <w:t xml:space="preserve">These contracts were called “shrink-wrap” because consumers </w:t>
      </w:r>
      <w:r w:rsidR="00FA1BA0">
        <w:t xml:space="preserve">could see through the transparent plastic wrap </w:t>
      </w:r>
      <w:r w:rsidR="004818B3">
        <w:t xml:space="preserve">sealing </w:t>
      </w:r>
      <w:r w:rsidR="00B6643F">
        <w:t xml:space="preserve">floppy </w:t>
      </w:r>
      <w:r w:rsidR="004818B3">
        <w:t xml:space="preserve">disks </w:t>
      </w:r>
      <w:r w:rsidR="00B6643F">
        <w:t xml:space="preserve">and CD-ROMs </w:t>
      </w:r>
      <w:r w:rsidR="004818B3">
        <w:t xml:space="preserve">and </w:t>
      </w:r>
      <w:r w:rsidR="00FA1BA0">
        <w:t xml:space="preserve">take notice </w:t>
      </w:r>
      <w:r w:rsidR="00536E7C">
        <w:t xml:space="preserve">of </w:t>
      </w:r>
      <w:r w:rsidR="004818B3">
        <w:t xml:space="preserve">a simple page </w:t>
      </w:r>
      <w:r w:rsidR="00A30839">
        <w:t>of</w:t>
      </w:r>
      <w:r w:rsidR="00536E7C">
        <w:t xml:space="preserve"> terms </w:t>
      </w:r>
      <w:r w:rsidR="00FA1BA0">
        <w:t>and conditions</w:t>
      </w:r>
      <w:r w:rsidR="00536E7C">
        <w:t xml:space="preserve">. Removing the plastic </w:t>
      </w:r>
      <w:r w:rsidR="00FA1BA0">
        <w:t xml:space="preserve">wrap </w:t>
      </w:r>
      <w:r w:rsidR="00536E7C">
        <w:t>acted as a form of acceptance.</w:t>
      </w:r>
      <w:r w:rsidR="007B5613">
        <w:t xml:space="preserve"> </w:t>
      </w:r>
      <w:r w:rsidR="001020F9">
        <w:t>“</w:t>
      </w:r>
      <w:r w:rsidR="00B353DD">
        <w:t>S</w:t>
      </w:r>
      <w:r w:rsidR="00197533">
        <w:t>hrink-wrap”</w:t>
      </w:r>
      <w:r w:rsidR="00536E7C">
        <w:t xml:space="preserve"> cases are direct predecessor</w:t>
      </w:r>
      <w:r w:rsidR="00197533">
        <w:t>s</w:t>
      </w:r>
      <w:r w:rsidR="00536E7C">
        <w:t xml:space="preserve"> to today’s digital “click-consent” ToS</w:t>
      </w:r>
      <w:r w:rsidR="004530FF">
        <w:t xml:space="preserve">. </w:t>
      </w:r>
    </w:p>
    <w:p w14:paraId="7C90CA85" w14:textId="284492A7" w:rsidR="00442D36" w:rsidRDefault="00536E7C" w:rsidP="00536E7C">
      <w:r>
        <w:t xml:space="preserve">Regardless of format, the legal principle at the heart of </w:t>
      </w:r>
      <w:r w:rsidR="007B5613">
        <w:t xml:space="preserve">standard form contracts </w:t>
      </w:r>
      <w:r>
        <w:t>is “notice</w:t>
      </w:r>
      <w:r w:rsidR="00442D36">
        <w:t>.</w:t>
      </w:r>
      <w:r>
        <w:t>”</w:t>
      </w:r>
      <w:r w:rsidR="009E0094">
        <w:t xml:space="preserve"> </w:t>
      </w:r>
      <w:r w:rsidR="002A1EE4">
        <w:t>Notice occurs when t</w:t>
      </w:r>
      <w:r>
        <w:t xml:space="preserve">he supplier provides the consumer </w:t>
      </w:r>
      <w:r w:rsidR="007B5613">
        <w:t xml:space="preserve">with </w:t>
      </w:r>
      <w:r w:rsidR="002A1EE4">
        <w:t xml:space="preserve">some form of disclosure </w:t>
      </w:r>
      <w:r w:rsidR="007B5613">
        <w:t xml:space="preserve">of the </w:t>
      </w:r>
      <w:r w:rsidR="002A1EE4">
        <w:t xml:space="preserve">contractual </w:t>
      </w:r>
      <w:r>
        <w:t xml:space="preserve">terms </w:t>
      </w:r>
      <w:r w:rsidR="007B5613">
        <w:t xml:space="preserve">that </w:t>
      </w:r>
      <w:r>
        <w:t xml:space="preserve">govern the use of a product or service. </w:t>
      </w:r>
      <w:r w:rsidR="002A1EE4">
        <w:t xml:space="preserve">Notice </w:t>
      </w:r>
      <w:r w:rsidR="00442D36">
        <w:t xml:space="preserve">may </w:t>
      </w:r>
      <w:r w:rsidR="007B5613">
        <w:t xml:space="preserve">provide </w:t>
      </w:r>
      <w:r>
        <w:t>a complete set of terms</w:t>
      </w:r>
      <w:r w:rsidR="00442D36">
        <w:t>,</w:t>
      </w:r>
      <w:r>
        <w:t xml:space="preserve"> such as a sign posted at a parking lot</w:t>
      </w:r>
      <w:r w:rsidR="00D26686">
        <w:t xml:space="preserve"> </w:t>
      </w:r>
      <w:r>
        <w:t xml:space="preserve">or </w:t>
      </w:r>
      <w:r w:rsidR="00D26686">
        <w:t xml:space="preserve">on </w:t>
      </w:r>
      <w:r>
        <w:t>the back of a ski ticket</w:t>
      </w:r>
      <w:r w:rsidR="00442D36">
        <w:t>.</w:t>
      </w:r>
      <w:r w:rsidR="009E0094">
        <w:t xml:space="preserve"> </w:t>
      </w:r>
      <w:r w:rsidR="002A1EE4">
        <w:t>N</w:t>
      </w:r>
      <w:r w:rsidR="00442D36">
        <w:t xml:space="preserve">otice may </w:t>
      </w:r>
      <w:r w:rsidR="002A1EE4">
        <w:t xml:space="preserve">also provide that </w:t>
      </w:r>
      <w:r>
        <w:t>consumers have “read and accepted” a longer set of terms</w:t>
      </w:r>
      <w:r w:rsidR="00442D36">
        <w:t xml:space="preserve">, </w:t>
      </w:r>
      <w:r>
        <w:t xml:space="preserve">typically available </w:t>
      </w:r>
      <w:r w:rsidR="001020F9">
        <w:t xml:space="preserve">through </w:t>
      </w:r>
      <w:r>
        <w:t>hyperlink</w:t>
      </w:r>
      <w:r w:rsidR="002A1EE4">
        <w:t>, webpage,</w:t>
      </w:r>
      <w:r w:rsidR="00C4427B">
        <w:t xml:space="preserve"> or </w:t>
      </w:r>
      <w:r w:rsidR="002A1EE4">
        <w:t xml:space="preserve">printed copy </w:t>
      </w:r>
      <w:r w:rsidR="001020F9">
        <w:t>of the terms</w:t>
      </w:r>
      <w:r>
        <w:t>.</w:t>
      </w:r>
    </w:p>
    <w:p w14:paraId="6C17E555" w14:textId="78704FBB" w:rsidR="00536E7C" w:rsidRDefault="00536E7C" w:rsidP="00536E7C">
      <w:r>
        <w:t>For consumers to reasonably accept the notice</w:t>
      </w:r>
      <w:r w:rsidR="00BF591D">
        <w:t xml:space="preserve">, the notice </w:t>
      </w:r>
      <w:r>
        <w:t xml:space="preserve">must be obvious (visible); clear (comprehensible); and </w:t>
      </w:r>
      <w:r w:rsidR="00442D36">
        <w:t xml:space="preserve">make any </w:t>
      </w:r>
      <w:r>
        <w:t xml:space="preserve">risks to the consumer apparent (foreseeable). </w:t>
      </w:r>
      <w:r w:rsidR="007B5613">
        <w:t xml:space="preserve">Consumers can </w:t>
      </w:r>
      <w:r w:rsidR="00442D36">
        <w:t>choose</w:t>
      </w:r>
      <w:r w:rsidR="007B5613">
        <w:t xml:space="preserve"> to accept th</w:t>
      </w:r>
      <w:r w:rsidR="002A1EE4">
        <w:t xml:space="preserve">e </w:t>
      </w:r>
      <w:r w:rsidR="007B5613">
        <w:t xml:space="preserve">notice, </w:t>
      </w:r>
      <w:r w:rsidR="00F6104E">
        <w:t xml:space="preserve">review </w:t>
      </w:r>
      <w:r w:rsidR="002A1EE4">
        <w:t xml:space="preserve">contractual </w:t>
      </w:r>
      <w:r w:rsidR="00F6104E">
        <w:t xml:space="preserve">terms in detail, </w:t>
      </w:r>
      <w:r w:rsidR="007B5613">
        <w:t xml:space="preserve">negotiate new terms, or decline the offer of goods or services. </w:t>
      </w:r>
    </w:p>
    <w:p w14:paraId="372EE806" w14:textId="6687D98C" w:rsidR="006F6114" w:rsidRDefault="00B353DD" w:rsidP="00EF5486">
      <w:r>
        <w:t xml:space="preserve">Over time, it appears that </w:t>
      </w:r>
      <w:r w:rsidR="00536E7C">
        <w:t xml:space="preserve">“notice” </w:t>
      </w:r>
      <w:r w:rsidR="000E0FAD">
        <w:t>has become</w:t>
      </w:r>
      <w:r w:rsidR="00536E7C">
        <w:t xml:space="preserve"> an acceptable </w:t>
      </w:r>
      <w:r w:rsidR="007B0B68">
        <w:t xml:space="preserve">legal </w:t>
      </w:r>
      <w:r w:rsidR="00536E7C">
        <w:t>alternative to fully “informed consent”</w:t>
      </w:r>
      <w:r w:rsidR="00045A3D">
        <w:t xml:space="preserve"> for </w:t>
      </w:r>
      <w:r w:rsidR="007B5613">
        <w:t xml:space="preserve">standard form </w:t>
      </w:r>
      <w:r w:rsidR="00045A3D">
        <w:t>contracts</w:t>
      </w:r>
      <w:r w:rsidR="00723C08">
        <w:t xml:space="preserve">. </w:t>
      </w:r>
      <w:r w:rsidR="00EF5486">
        <w:t>As a result, w</w:t>
      </w:r>
      <w:r w:rsidR="000E0FAD">
        <w:t>ithin certain limits</w:t>
      </w:r>
      <w:r w:rsidR="00BF591D">
        <w:t>,</w:t>
      </w:r>
      <w:r w:rsidR="00EF5486">
        <w:t xml:space="preserve"> </w:t>
      </w:r>
      <w:r w:rsidR="00442D36">
        <w:t xml:space="preserve">it </w:t>
      </w:r>
      <w:r w:rsidR="000E0FAD">
        <w:t xml:space="preserve">is not legally necessary for a </w:t>
      </w:r>
      <w:r w:rsidR="007B5613">
        <w:t xml:space="preserve">consumer to </w:t>
      </w:r>
      <w:r w:rsidR="00442D36">
        <w:t xml:space="preserve">have </w:t>
      </w:r>
      <w:r w:rsidR="000E0FAD">
        <w:t>read or explicitly consented to</w:t>
      </w:r>
      <w:r w:rsidR="007B5613">
        <w:t xml:space="preserve"> ToS</w:t>
      </w:r>
      <w:r w:rsidR="000E0FAD">
        <w:t xml:space="preserve">, only that </w:t>
      </w:r>
      <w:r w:rsidR="007B5613">
        <w:t xml:space="preserve">the ToS </w:t>
      </w:r>
      <w:r w:rsidR="000E0FAD" w:rsidRPr="00663B44">
        <w:rPr>
          <w:i/>
          <w:iCs/>
        </w:rPr>
        <w:t xml:space="preserve">could </w:t>
      </w:r>
      <w:r w:rsidR="007B5613">
        <w:rPr>
          <w:i/>
          <w:iCs/>
        </w:rPr>
        <w:t xml:space="preserve">have </w:t>
      </w:r>
      <w:r w:rsidR="000E0FAD" w:rsidRPr="00663B44">
        <w:rPr>
          <w:i/>
          <w:iCs/>
        </w:rPr>
        <w:t>be</w:t>
      </w:r>
      <w:r w:rsidR="007B5613">
        <w:rPr>
          <w:i/>
          <w:iCs/>
        </w:rPr>
        <w:t>en</w:t>
      </w:r>
      <w:r w:rsidR="000E0FAD">
        <w:t xml:space="preserve"> read. </w:t>
      </w:r>
      <w:r w:rsidR="00EF5486">
        <w:t xml:space="preserve">This principle underpins many </w:t>
      </w:r>
      <w:r w:rsidR="00C6056A">
        <w:t>ToS contracts in the digital marketplace today</w:t>
      </w:r>
      <w:r w:rsidR="00EF5486">
        <w:t>.</w:t>
      </w:r>
    </w:p>
    <w:p w14:paraId="168343E3" w14:textId="04C44C9A" w:rsidR="004416AB" w:rsidRPr="009276ED" w:rsidRDefault="009276ED" w:rsidP="007A41A0">
      <w:pPr>
        <w:pStyle w:val="Heading2"/>
        <w:ind w:left="360"/>
      </w:pPr>
      <w:bookmarkStart w:id="34" w:name="_Toc138151831"/>
      <w:r>
        <w:lastRenderedPageBreak/>
        <w:t>2.3</w:t>
      </w:r>
      <w:r w:rsidR="00A673CF">
        <w:tab/>
      </w:r>
      <w:r w:rsidR="00A673CF">
        <w:tab/>
      </w:r>
      <w:r w:rsidR="00943449" w:rsidRPr="009276ED">
        <w:t xml:space="preserve">Examples of </w:t>
      </w:r>
      <w:r w:rsidR="004416AB" w:rsidRPr="009276ED">
        <w:t>Terms from Existing ToS Contracts in Canada</w:t>
      </w:r>
      <w:bookmarkEnd w:id="33"/>
      <w:bookmarkEnd w:id="34"/>
      <w:r w:rsidR="0066550A" w:rsidRPr="009276ED">
        <w:t xml:space="preserve"> </w:t>
      </w:r>
    </w:p>
    <w:p w14:paraId="60AEFAE2" w14:textId="77777777" w:rsidR="008037D4" w:rsidRDefault="008037D4" w:rsidP="007A41A0">
      <w:pPr>
        <w:pStyle w:val="Heading2"/>
      </w:pPr>
    </w:p>
    <w:p w14:paraId="710ECE1D" w14:textId="2AD9BBC1" w:rsidR="007A52EB" w:rsidRDefault="007A52EB" w:rsidP="008037D4">
      <w:pPr>
        <w:spacing w:after="0"/>
      </w:pPr>
      <w:r>
        <w:t xml:space="preserve">ToS contracts </w:t>
      </w:r>
      <w:r w:rsidR="00683A76">
        <w:t xml:space="preserve">can be </w:t>
      </w:r>
      <w:r>
        <w:t>intimidating: their length, complexity</w:t>
      </w:r>
      <w:r w:rsidR="00BF591D">
        <w:t>,</w:t>
      </w:r>
      <w:r>
        <w:t xml:space="preserve"> and jargon </w:t>
      </w:r>
      <w:r w:rsidR="00683A76">
        <w:t xml:space="preserve">can confuse or frustrate </w:t>
      </w:r>
      <w:r>
        <w:t xml:space="preserve">consumers. </w:t>
      </w:r>
    </w:p>
    <w:p w14:paraId="0BA8ED4D" w14:textId="77777777" w:rsidR="008037D4" w:rsidRDefault="008037D4" w:rsidP="008037D4">
      <w:pPr>
        <w:spacing w:after="0"/>
      </w:pPr>
    </w:p>
    <w:p w14:paraId="6404562A" w14:textId="6D36EA1E" w:rsidR="004416AB" w:rsidRDefault="00201A62" w:rsidP="008037D4">
      <w:pPr>
        <w:spacing w:after="0"/>
      </w:pPr>
      <w:r>
        <w:t xml:space="preserve">This section </w:t>
      </w:r>
      <w:r w:rsidR="00BF591D">
        <w:t xml:space="preserve">summarizes </w:t>
      </w:r>
      <w:r w:rsidR="007A52EB">
        <w:t xml:space="preserve">a </w:t>
      </w:r>
      <w:r w:rsidR="00676BA8">
        <w:t xml:space="preserve">dozen </w:t>
      </w:r>
      <w:r w:rsidR="007A52EB">
        <w:t>terms commonly found in real-world ToS contracts</w:t>
      </w:r>
      <w:r w:rsidR="003A30B5">
        <w:t xml:space="preserve">. </w:t>
      </w:r>
      <w:r>
        <w:t xml:space="preserve">The LCO has synthesized each term </w:t>
      </w:r>
      <w:r w:rsidR="003A30B5">
        <w:t xml:space="preserve">from </w:t>
      </w:r>
      <w:r>
        <w:t xml:space="preserve">our review of several leading </w:t>
      </w:r>
      <w:r w:rsidR="003A30B5">
        <w:t xml:space="preserve">digital marketplace contracts that </w:t>
      </w:r>
      <w:r w:rsidR="007A52EB">
        <w:t xml:space="preserve">bind millions of consumers across Canada each day. Each </w:t>
      </w:r>
      <w:r w:rsidR="003A30B5">
        <w:t xml:space="preserve">term </w:t>
      </w:r>
      <w:r w:rsidR="007A52EB">
        <w:t xml:space="preserve">is </w:t>
      </w:r>
      <w:r w:rsidR="00BE46BE">
        <w:t xml:space="preserve">briefly explained </w:t>
      </w:r>
      <w:r w:rsidR="007A52EB">
        <w:t>in plain language</w:t>
      </w:r>
      <w:r w:rsidR="00BE46BE">
        <w:t xml:space="preserve">, and introduces consequences and complications that may not be immediately obvious or clearly disclosed to consumers. </w:t>
      </w:r>
    </w:p>
    <w:p w14:paraId="79B91343" w14:textId="069102D0" w:rsidR="004416AB" w:rsidRDefault="004416AB" w:rsidP="00493D6F"/>
    <w:p w14:paraId="04259A3E" w14:textId="743D15E1" w:rsidR="004416AB" w:rsidRPr="00361127" w:rsidRDefault="004416AB" w:rsidP="00493D6F">
      <w:pPr>
        <w:rPr>
          <w:b/>
          <w:bCs/>
          <w:highlight w:val="lightGray"/>
        </w:rPr>
      </w:pPr>
      <w:r w:rsidRPr="00361127">
        <w:rPr>
          <w:b/>
          <w:bCs/>
          <w:highlight w:val="lightGray"/>
        </w:rPr>
        <w:t xml:space="preserve">[SIDEBAR: Terms </w:t>
      </w:r>
      <w:r w:rsidR="00BF591D">
        <w:rPr>
          <w:b/>
          <w:bCs/>
          <w:highlight w:val="lightGray"/>
        </w:rPr>
        <w:t xml:space="preserve">and Conditions Used in Many </w:t>
      </w:r>
      <w:r w:rsidRPr="00361127">
        <w:rPr>
          <w:b/>
          <w:bCs/>
          <w:highlight w:val="lightGray"/>
        </w:rPr>
        <w:t>ToS</w:t>
      </w:r>
    </w:p>
    <w:p w14:paraId="1D3EC552" w14:textId="1EAC6EC7" w:rsidR="004416AB" w:rsidRPr="00361127" w:rsidRDefault="004416AB" w:rsidP="0090124B">
      <w:pPr>
        <w:rPr>
          <w:highlight w:val="lightGray"/>
        </w:rPr>
      </w:pPr>
      <w:r w:rsidRPr="00361127">
        <w:rPr>
          <w:highlight w:val="lightGray"/>
        </w:rPr>
        <w:t xml:space="preserve">A contemporary ToS contract in the digital marketplace </w:t>
      </w:r>
      <w:r w:rsidR="00683A76" w:rsidRPr="00361127">
        <w:rPr>
          <w:highlight w:val="lightGray"/>
        </w:rPr>
        <w:t xml:space="preserve">may </w:t>
      </w:r>
      <w:r w:rsidRPr="00361127">
        <w:rPr>
          <w:highlight w:val="lightGray"/>
        </w:rPr>
        <w:t xml:space="preserve">contain sections </w:t>
      </w:r>
      <w:r w:rsidR="00683A76" w:rsidRPr="00361127">
        <w:rPr>
          <w:highlight w:val="lightGray"/>
        </w:rPr>
        <w:t xml:space="preserve">addressing </w:t>
      </w:r>
      <w:r w:rsidRPr="00361127">
        <w:rPr>
          <w:highlight w:val="lightGray"/>
        </w:rPr>
        <w:t>one or more of the following topics:</w:t>
      </w:r>
    </w:p>
    <w:p w14:paraId="73022665" w14:textId="4F7C26E8" w:rsidR="004416AB" w:rsidRPr="00361127" w:rsidRDefault="0F5E6F96" w:rsidP="00470F77">
      <w:pPr>
        <w:pStyle w:val="ListParagraph"/>
        <w:numPr>
          <w:ilvl w:val="0"/>
          <w:numId w:val="11"/>
        </w:numPr>
        <w:rPr>
          <w:highlight w:val="lightGray"/>
        </w:rPr>
      </w:pPr>
      <w:r w:rsidRPr="1F5E9E68">
        <w:rPr>
          <w:highlight w:val="lightGray"/>
        </w:rPr>
        <w:t>D</w:t>
      </w:r>
      <w:r w:rsidR="004416AB" w:rsidRPr="1F5E9E68">
        <w:rPr>
          <w:highlight w:val="lightGray"/>
        </w:rPr>
        <w:t>efinition of key words and phrases</w:t>
      </w:r>
    </w:p>
    <w:p w14:paraId="3487F311" w14:textId="77777777" w:rsidR="004416AB" w:rsidRPr="00361127" w:rsidRDefault="004416AB" w:rsidP="00470F77">
      <w:pPr>
        <w:pStyle w:val="ListParagraph"/>
        <w:numPr>
          <w:ilvl w:val="0"/>
          <w:numId w:val="11"/>
        </w:numPr>
        <w:rPr>
          <w:highlight w:val="lightGray"/>
        </w:rPr>
      </w:pPr>
      <w:r w:rsidRPr="00361127">
        <w:rPr>
          <w:highlight w:val="lightGray"/>
        </w:rPr>
        <w:t>User rights and responsibilities</w:t>
      </w:r>
    </w:p>
    <w:p w14:paraId="5E84AF1C" w14:textId="77777777" w:rsidR="004416AB" w:rsidRPr="00361127" w:rsidRDefault="004416AB" w:rsidP="00470F77">
      <w:pPr>
        <w:pStyle w:val="ListParagraph"/>
        <w:numPr>
          <w:ilvl w:val="0"/>
          <w:numId w:val="11"/>
        </w:numPr>
        <w:rPr>
          <w:highlight w:val="lightGray"/>
        </w:rPr>
      </w:pPr>
      <w:r w:rsidRPr="00361127">
        <w:rPr>
          <w:highlight w:val="lightGray"/>
        </w:rPr>
        <w:t>Proper or expected usage of the service, and a definition of misuse</w:t>
      </w:r>
    </w:p>
    <w:p w14:paraId="436BDF4C" w14:textId="1C623CC8" w:rsidR="004416AB" w:rsidRPr="00361127" w:rsidRDefault="004416AB" w:rsidP="00470F77">
      <w:pPr>
        <w:pStyle w:val="ListParagraph"/>
        <w:numPr>
          <w:ilvl w:val="0"/>
          <w:numId w:val="11"/>
        </w:numPr>
        <w:rPr>
          <w:highlight w:val="lightGray"/>
        </w:rPr>
      </w:pPr>
      <w:r w:rsidRPr="00361127">
        <w:rPr>
          <w:highlight w:val="lightGray"/>
        </w:rPr>
        <w:t>User notification upon modification of terms, if offered</w:t>
      </w:r>
    </w:p>
    <w:p w14:paraId="233EC082" w14:textId="77777777" w:rsidR="004416AB" w:rsidRPr="00361127" w:rsidRDefault="004416AB" w:rsidP="00470F77">
      <w:pPr>
        <w:pStyle w:val="ListParagraph"/>
        <w:numPr>
          <w:ilvl w:val="0"/>
          <w:numId w:val="11"/>
        </w:numPr>
        <w:rPr>
          <w:highlight w:val="lightGray"/>
        </w:rPr>
      </w:pPr>
      <w:r w:rsidRPr="00361127">
        <w:rPr>
          <w:highlight w:val="lightGray"/>
        </w:rPr>
        <w:t>Accountability for online actions, behavior, and conduct</w:t>
      </w:r>
    </w:p>
    <w:p w14:paraId="396BEDF4" w14:textId="77777777" w:rsidR="004416AB" w:rsidRPr="00361127" w:rsidRDefault="004416AB" w:rsidP="00470F77">
      <w:pPr>
        <w:pStyle w:val="ListParagraph"/>
        <w:numPr>
          <w:ilvl w:val="0"/>
          <w:numId w:val="11"/>
        </w:numPr>
        <w:rPr>
          <w:highlight w:val="lightGray"/>
        </w:rPr>
      </w:pPr>
      <w:r w:rsidRPr="00361127">
        <w:rPr>
          <w:highlight w:val="lightGray"/>
        </w:rPr>
        <w:t>Privacy policy outlining the collection and use of personal data</w:t>
      </w:r>
    </w:p>
    <w:p w14:paraId="7C94825A" w14:textId="77777777" w:rsidR="004416AB" w:rsidRPr="00361127" w:rsidRDefault="004416AB" w:rsidP="00470F77">
      <w:pPr>
        <w:pStyle w:val="ListParagraph"/>
        <w:numPr>
          <w:ilvl w:val="0"/>
          <w:numId w:val="11"/>
        </w:numPr>
        <w:rPr>
          <w:highlight w:val="lightGray"/>
        </w:rPr>
      </w:pPr>
      <w:r w:rsidRPr="00361127">
        <w:rPr>
          <w:highlight w:val="lightGray"/>
        </w:rPr>
        <w:t>Payment details such as membership or subscription fees, etc.</w:t>
      </w:r>
    </w:p>
    <w:p w14:paraId="6859B94B" w14:textId="77777777" w:rsidR="004416AB" w:rsidRPr="00361127" w:rsidRDefault="004416AB" w:rsidP="00470F77">
      <w:pPr>
        <w:pStyle w:val="ListParagraph"/>
        <w:numPr>
          <w:ilvl w:val="0"/>
          <w:numId w:val="11"/>
        </w:numPr>
        <w:rPr>
          <w:highlight w:val="lightGray"/>
        </w:rPr>
      </w:pPr>
      <w:r w:rsidRPr="00361127">
        <w:rPr>
          <w:highlight w:val="lightGray"/>
        </w:rPr>
        <w:t>Opt-out policy describing procedure for account termination, if available</w:t>
      </w:r>
    </w:p>
    <w:p w14:paraId="55266329" w14:textId="77777777" w:rsidR="004416AB" w:rsidRPr="00361127" w:rsidRDefault="004416AB" w:rsidP="00470F77">
      <w:pPr>
        <w:pStyle w:val="ListParagraph"/>
        <w:numPr>
          <w:ilvl w:val="0"/>
          <w:numId w:val="11"/>
        </w:numPr>
        <w:rPr>
          <w:highlight w:val="lightGray"/>
        </w:rPr>
      </w:pPr>
      <w:r w:rsidRPr="00361127">
        <w:rPr>
          <w:highlight w:val="lightGray"/>
        </w:rPr>
        <w:t>An arbitration clause detailing the dispute resolution process and limited rights to take a claim to court</w:t>
      </w:r>
    </w:p>
    <w:p w14:paraId="13815EEB" w14:textId="087D0272" w:rsidR="005D0E77" w:rsidRPr="00361127" w:rsidRDefault="004416AB" w:rsidP="00470F77">
      <w:pPr>
        <w:pStyle w:val="ListParagraph"/>
        <w:numPr>
          <w:ilvl w:val="0"/>
          <w:numId w:val="11"/>
        </w:numPr>
        <w:rPr>
          <w:highlight w:val="lightGray"/>
        </w:rPr>
      </w:pPr>
      <w:r w:rsidRPr="00361127">
        <w:rPr>
          <w:highlight w:val="lightGray"/>
        </w:rPr>
        <w:t xml:space="preserve">Disclaimer/Limitation of Liability </w:t>
      </w:r>
      <w:r w:rsidR="00C85D60" w:rsidRPr="00361127">
        <w:rPr>
          <w:highlight w:val="lightGray"/>
        </w:rPr>
        <w:t>clarifyi</w:t>
      </w:r>
      <w:r w:rsidR="00C85D60">
        <w:rPr>
          <w:highlight w:val="lightGray"/>
        </w:rPr>
        <w:t>n</w:t>
      </w:r>
      <w:r w:rsidR="00C85D60" w:rsidRPr="00361127">
        <w:rPr>
          <w:highlight w:val="lightGray"/>
        </w:rPr>
        <w:t>g</w:t>
      </w:r>
      <w:r w:rsidRPr="00361127">
        <w:rPr>
          <w:highlight w:val="lightGray"/>
        </w:rPr>
        <w:t xml:space="preserve"> the site's legal liability for damages incurred by users</w:t>
      </w:r>
    </w:p>
    <w:p w14:paraId="1E32B5FA" w14:textId="75450B89" w:rsidR="004416AB" w:rsidRPr="006F6114" w:rsidRDefault="004416AB" w:rsidP="006F6114">
      <w:pPr>
        <w:ind w:left="360"/>
        <w:rPr>
          <w:b/>
          <w:bCs/>
          <w:i/>
          <w:iCs/>
          <w:color w:val="1F3864" w:themeColor="accent1" w:themeShade="80"/>
        </w:rPr>
      </w:pPr>
      <w:r w:rsidRPr="006F6114">
        <w:rPr>
          <w:b/>
          <w:bCs/>
          <w:i/>
          <w:iCs/>
          <w:color w:val="1F3864" w:themeColor="accent1" w:themeShade="80"/>
        </w:rPr>
        <w:t>EXAMPLE TERMS</w:t>
      </w:r>
    </w:p>
    <w:p w14:paraId="590505AA" w14:textId="612D6063" w:rsidR="004416AB" w:rsidRPr="006F6114" w:rsidRDefault="003641C0" w:rsidP="006F6114">
      <w:pPr>
        <w:ind w:left="360"/>
        <w:rPr>
          <w:b/>
          <w:bCs/>
          <w:i/>
          <w:iCs/>
          <w:color w:val="1F3864" w:themeColor="accent1" w:themeShade="80"/>
          <w:highlight w:val="lightGray"/>
        </w:rPr>
      </w:pPr>
      <w:r>
        <w:rPr>
          <w:b/>
          <w:bCs/>
          <w:i/>
          <w:iCs/>
          <w:color w:val="1F3864" w:themeColor="accent1" w:themeShade="80"/>
          <w:highlight w:val="lightGray"/>
        </w:rPr>
        <w:t>“</w:t>
      </w:r>
      <w:r w:rsidR="004416AB" w:rsidRPr="006F6114">
        <w:rPr>
          <w:b/>
          <w:bCs/>
          <w:i/>
          <w:iCs/>
          <w:color w:val="1F3864" w:themeColor="accent1" w:themeShade="80"/>
          <w:highlight w:val="lightGray"/>
        </w:rPr>
        <w:t>Your Reasonable Use of the Digital Service</w:t>
      </w:r>
      <w:r w:rsidR="004416AB" w:rsidRPr="006F6114">
        <w:rPr>
          <w:b/>
          <w:bCs/>
          <w:i/>
          <w:iCs/>
          <w:color w:val="1F3864" w:themeColor="accent1" w:themeShade="80"/>
          <w:highlight w:val="lightGray"/>
        </w:rPr>
        <w:tab/>
      </w:r>
      <w:r>
        <w:rPr>
          <w:b/>
          <w:bCs/>
          <w:i/>
          <w:iCs/>
          <w:color w:val="1F3864" w:themeColor="accent1" w:themeShade="80"/>
          <w:highlight w:val="lightGray"/>
        </w:rPr>
        <w:t>“</w:t>
      </w:r>
    </w:p>
    <w:p w14:paraId="30B72160" w14:textId="667D52B8" w:rsidR="004416AB" w:rsidRPr="006F6114" w:rsidRDefault="003641C0" w:rsidP="006F6114">
      <w:pPr>
        <w:ind w:left="360"/>
        <w:jc w:val="both"/>
        <w:rPr>
          <w:rFonts w:cstheme="minorHAnsi"/>
          <w:i/>
          <w:iCs/>
          <w:color w:val="1F3864" w:themeColor="accent1" w:themeShade="80"/>
        </w:rPr>
      </w:pPr>
      <w:r>
        <w:rPr>
          <w:rFonts w:cstheme="minorHAnsi"/>
          <w:i/>
          <w:iCs/>
          <w:color w:val="1F3864" w:themeColor="accent1" w:themeShade="80"/>
          <w:highlight w:val="lightGray"/>
        </w:rPr>
        <w:t>“</w:t>
      </w:r>
      <w:r w:rsidR="004416AB" w:rsidRPr="006F6114">
        <w:rPr>
          <w:rFonts w:cstheme="minorHAnsi"/>
          <w:i/>
          <w:iCs/>
          <w:color w:val="1F3864" w:themeColor="accent1" w:themeShade="80"/>
          <w:highlight w:val="lightGray"/>
        </w:rPr>
        <w:t>User cannot use any means to get unauthorized access to the service/product, crash the service/product, manipulate, or interfere with the working of the service/product</w:t>
      </w:r>
      <w:r>
        <w:rPr>
          <w:rFonts w:cstheme="minorHAnsi"/>
          <w:i/>
          <w:iCs/>
          <w:color w:val="1F3864" w:themeColor="accent1" w:themeShade="80"/>
        </w:rPr>
        <w:t>”</w:t>
      </w:r>
    </w:p>
    <w:p w14:paraId="269DA045" w14:textId="178B4A46" w:rsidR="00BE46BE" w:rsidRDefault="00BE46BE" w:rsidP="00BF591D">
      <w:pPr>
        <w:ind w:left="360"/>
        <w:rPr>
          <w:rFonts w:cstheme="minorHAnsi"/>
          <w:i/>
          <w:iCs/>
          <w:color w:val="1F3864" w:themeColor="accent1" w:themeShade="80"/>
        </w:rPr>
      </w:pPr>
      <w:r>
        <w:rPr>
          <w:rFonts w:cstheme="minorHAnsi"/>
          <w:i/>
          <w:iCs/>
          <w:color w:val="1F3864" w:themeColor="accent1" w:themeShade="80"/>
        </w:rPr>
        <w:t>“Reasonable use” terms are intended to prohibit interfering with a product to ensure stable, reliable performance</w:t>
      </w:r>
      <w:r w:rsidR="0074409D">
        <w:rPr>
          <w:rFonts w:cstheme="minorHAnsi"/>
          <w:i/>
          <w:iCs/>
          <w:color w:val="1F3864" w:themeColor="accent1" w:themeShade="80"/>
        </w:rPr>
        <w:t xml:space="preserve"> and integrity</w:t>
      </w:r>
      <w:r>
        <w:rPr>
          <w:rFonts w:cstheme="minorHAnsi"/>
          <w:i/>
          <w:iCs/>
          <w:color w:val="1F3864" w:themeColor="accent1" w:themeShade="80"/>
        </w:rPr>
        <w:t>.</w:t>
      </w:r>
    </w:p>
    <w:p w14:paraId="36BB4B4D" w14:textId="70DB51F4" w:rsidR="00BF591D" w:rsidRDefault="00BE46BE" w:rsidP="00BF591D">
      <w:pPr>
        <w:ind w:left="360"/>
        <w:rPr>
          <w:rFonts w:cstheme="minorHAnsi"/>
          <w:i/>
          <w:iCs/>
          <w:color w:val="1F3864" w:themeColor="accent1" w:themeShade="80"/>
        </w:rPr>
      </w:pPr>
      <w:r>
        <w:rPr>
          <w:rFonts w:cstheme="minorHAnsi"/>
          <w:i/>
          <w:iCs/>
          <w:color w:val="1F3864" w:themeColor="accent1" w:themeShade="80"/>
        </w:rPr>
        <w:t>However, t</w:t>
      </w:r>
      <w:r w:rsidRPr="006F6114">
        <w:rPr>
          <w:rFonts w:cstheme="minorHAnsi"/>
          <w:i/>
          <w:iCs/>
          <w:color w:val="1F3864" w:themeColor="accent1" w:themeShade="80"/>
        </w:rPr>
        <w:t xml:space="preserve">erms </w:t>
      </w:r>
      <w:r w:rsidR="004416AB" w:rsidRPr="006F6114">
        <w:rPr>
          <w:rFonts w:cstheme="minorHAnsi"/>
          <w:i/>
          <w:iCs/>
          <w:color w:val="1F3864" w:themeColor="accent1" w:themeShade="80"/>
        </w:rPr>
        <w:t xml:space="preserve">like this may be used to inhibit “fair use” of the service product by the consumer. </w:t>
      </w:r>
    </w:p>
    <w:p w14:paraId="5ACD1BA6" w14:textId="77777777" w:rsidR="00BF591D" w:rsidRDefault="004416AB" w:rsidP="00BF591D">
      <w:pPr>
        <w:ind w:left="360"/>
        <w:rPr>
          <w:i/>
          <w:iCs/>
          <w:color w:val="1F3864" w:themeColor="accent1" w:themeShade="80"/>
        </w:rPr>
      </w:pPr>
      <w:r w:rsidRPr="006F6114">
        <w:rPr>
          <w:rFonts w:cstheme="minorHAnsi"/>
          <w:i/>
          <w:iCs/>
          <w:color w:val="1F3864" w:themeColor="accent1" w:themeShade="80"/>
        </w:rPr>
        <w:t xml:space="preserve">For instance, such terms could limit the “right to repair” and, as noted by the Government of Canada, </w:t>
      </w:r>
      <w:r w:rsidRPr="006F6114">
        <w:rPr>
          <w:i/>
          <w:iCs/>
          <w:color w:val="1F3864" w:themeColor="accent1" w:themeShade="80"/>
        </w:rPr>
        <w:t>may prohibit consumers from making some uses of their products, including installing or developing interoperable add-on products”</w:t>
      </w:r>
      <w:r w:rsidRPr="006F6114">
        <w:rPr>
          <w:rStyle w:val="EndnoteReference"/>
          <w:i/>
          <w:iCs/>
          <w:color w:val="1F3864" w:themeColor="accent1" w:themeShade="80"/>
        </w:rPr>
        <w:endnoteReference w:id="43"/>
      </w:r>
      <w:r w:rsidR="00E00740">
        <w:rPr>
          <w:i/>
          <w:iCs/>
          <w:color w:val="1F3864" w:themeColor="accent1" w:themeShade="80"/>
        </w:rPr>
        <w:t xml:space="preserve"> </w:t>
      </w:r>
      <w:r w:rsidR="00E00740" w:rsidRPr="00E00740">
        <w:rPr>
          <w:i/>
          <w:iCs/>
          <w:color w:val="1F3864" w:themeColor="accent1" w:themeShade="80"/>
        </w:rPr>
        <w:t xml:space="preserve">or software. </w:t>
      </w:r>
    </w:p>
    <w:p w14:paraId="575DF9F1" w14:textId="15C317B7" w:rsidR="001A3D62" w:rsidRDefault="004416AB" w:rsidP="00BF591D">
      <w:pPr>
        <w:ind w:left="360"/>
        <w:rPr>
          <w:rFonts w:cstheme="minorHAnsi"/>
          <w:i/>
          <w:iCs/>
          <w:color w:val="1F3864" w:themeColor="accent1" w:themeShade="80"/>
        </w:rPr>
      </w:pPr>
      <w:r w:rsidRPr="006F6114">
        <w:rPr>
          <w:rFonts w:cstheme="minorHAnsi"/>
          <w:i/>
          <w:iCs/>
          <w:color w:val="1F3864" w:themeColor="accent1" w:themeShade="80"/>
        </w:rPr>
        <w:t xml:space="preserve"> “</w:t>
      </w:r>
      <w:r w:rsidR="00BF591D">
        <w:rPr>
          <w:rFonts w:cstheme="minorHAnsi"/>
          <w:i/>
          <w:iCs/>
          <w:color w:val="1F3864" w:themeColor="accent1" w:themeShade="80"/>
        </w:rPr>
        <w:t>R</w:t>
      </w:r>
      <w:r w:rsidRPr="006F6114">
        <w:rPr>
          <w:rFonts w:cstheme="minorHAnsi"/>
          <w:i/>
          <w:iCs/>
          <w:color w:val="1F3864" w:themeColor="accent1" w:themeShade="80"/>
        </w:rPr>
        <w:t xml:space="preserve">easonable use” </w:t>
      </w:r>
      <w:r w:rsidR="00BF591D">
        <w:rPr>
          <w:rFonts w:cstheme="minorHAnsi"/>
          <w:i/>
          <w:iCs/>
          <w:color w:val="1F3864" w:themeColor="accent1" w:themeShade="80"/>
        </w:rPr>
        <w:t xml:space="preserve">terms </w:t>
      </w:r>
      <w:r w:rsidRPr="006F6114">
        <w:rPr>
          <w:rFonts w:cstheme="minorHAnsi"/>
          <w:i/>
          <w:iCs/>
          <w:color w:val="1F3864" w:themeColor="accent1" w:themeShade="80"/>
        </w:rPr>
        <w:t>also mean</w:t>
      </w:r>
      <w:r w:rsidR="00BF591D">
        <w:rPr>
          <w:rFonts w:cstheme="minorHAnsi"/>
          <w:i/>
          <w:iCs/>
          <w:color w:val="1F3864" w:themeColor="accent1" w:themeShade="80"/>
        </w:rPr>
        <w:t xml:space="preserve"> that </w:t>
      </w:r>
      <w:r w:rsidRPr="006F6114">
        <w:rPr>
          <w:rFonts w:cstheme="minorHAnsi"/>
          <w:i/>
          <w:iCs/>
          <w:color w:val="1F3864" w:themeColor="accent1" w:themeShade="80"/>
        </w:rPr>
        <w:t xml:space="preserve">user accounts </w:t>
      </w:r>
      <w:r w:rsidR="00BF591D">
        <w:rPr>
          <w:rFonts w:cstheme="minorHAnsi"/>
          <w:i/>
          <w:iCs/>
          <w:color w:val="1F3864" w:themeColor="accent1" w:themeShade="80"/>
        </w:rPr>
        <w:t xml:space="preserve">can </w:t>
      </w:r>
      <w:r w:rsidRPr="006F6114">
        <w:rPr>
          <w:rFonts w:cstheme="minorHAnsi"/>
          <w:i/>
          <w:iCs/>
          <w:color w:val="1F3864" w:themeColor="accent1" w:themeShade="80"/>
        </w:rPr>
        <w:t>be suspended or cance</w:t>
      </w:r>
      <w:r w:rsidR="003641C0">
        <w:rPr>
          <w:rFonts w:cstheme="minorHAnsi"/>
          <w:i/>
          <w:iCs/>
          <w:color w:val="1F3864" w:themeColor="accent1" w:themeShade="80"/>
        </w:rPr>
        <w:t>l</w:t>
      </w:r>
      <w:r w:rsidRPr="006F6114">
        <w:rPr>
          <w:rFonts w:cstheme="minorHAnsi"/>
          <w:i/>
          <w:iCs/>
          <w:color w:val="1F3864" w:themeColor="accent1" w:themeShade="80"/>
        </w:rPr>
        <w:t>led for perceived violation</w:t>
      </w:r>
      <w:r w:rsidR="00BF591D">
        <w:rPr>
          <w:rFonts w:cstheme="minorHAnsi"/>
          <w:i/>
          <w:iCs/>
          <w:color w:val="1F3864" w:themeColor="accent1" w:themeShade="80"/>
        </w:rPr>
        <w:t>s</w:t>
      </w:r>
      <w:r w:rsidRPr="006F6114">
        <w:rPr>
          <w:rFonts w:cstheme="minorHAnsi"/>
          <w:i/>
          <w:iCs/>
          <w:color w:val="1F3864" w:themeColor="accent1" w:themeShade="80"/>
        </w:rPr>
        <w:t xml:space="preserve"> and solely at the discretion of the vendor</w:t>
      </w:r>
      <w:r w:rsidR="00BF591D">
        <w:rPr>
          <w:rFonts w:cstheme="minorHAnsi"/>
          <w:i/>
          <w:iCs/>
          <w:color w:val="1F3864" w:themeColor="accent1" w:themeShade="80"/>
        </w:rPr>
        <w:t xml:space="preserve">.  “Reasonable use” terms have been used to justify </w:t>
      </w:r>
      <w:r w:rsidR="001A3D62">
        <w:rPr>
          <w:rFonts w:cstheme="minorHAnsi"/>
          <w:i/>
          <w:iCs/>
          <w:color w:val="1F3864" w:themeColor="accent1" w:themeShade="80"/>
        </w:rPr>
        <w:t xml:space="preserve">consumer suspensions for trying </w:t>
      </w:r>
      <w:r w:rsidRPr="006F6114">
        <w:rPr>
          <w:rFonts w:cstheme="minorHAnsi"/>
          <w:i/>
          <w:iCs/>
          <w:color w:val="1F3864" w:themeColor="accent1" w:themeShade="80"/>
        </w:rPr>
        <w:t>to enforce consumer rights</w:t>
      </w:r>
      <w:r w:rsidRPr="006F6114">
        <w:rPr>
          <w:rStyle w:val="EndnoteReference"/>
          <w:rFonts w:cstheme="minorHAnsi"/>
          <w:i/>
          <w:iCs/>
          <w:color w:val="1F3864" w:themeColor="accent1" w:themeShade="80"/>
        </w:rPr>
        <w:endnoteReference w:id="44"/>
      </w:r>
      <w:r w:rsidRPr="006F6114">
        <w:rPr>
          <w:rFonts w:cstheme="minorHAnsi"/>
          <w:i/>
          <w:iCs/>
          <w:color w:val="1F3864" w:themeColor="accent1" w:themeShade="80"/>
        </w:rPr>
        <w:t xml:space="preserve"> or posting reviews of products.</w:t>
      </w:r>
      <w:r w:rsidRPr="006F6114">
        <w:rPr>
          <w:rStyle w:val="EndnoteReference"/>
          <w:rFonts w:cstheme="minorHAnsi"/>
          <w:i/>
          <w:iCs/>
          <w:color w:val="1F3864" w:themeColor="accent1" w:themeShade="80"/>
        </w:rPr>
        <w:endnoteReference w:id="45"/>
      </w:r>
      <w:r w:rsidRPr="006F6114">
        <w:rPr>
          <w:rFonts w:cstheme="minorHAnsi"/>
          <w:i/>
          <w:iCs/>
          <w:color w:val="1F3864" w:themeColor="accent1" w:themeShade="80"/>
        </w:rPr>
        <w:t xml:space="preserve"> </w:t>
      </w:r>
    </w:p>
    <w:p w14:paraId="7C8838D0" w14:textId="7A0CAE35" w:rsidR="004416AB" w:rsidRPr="006F6114" w:rsidRDefault="001A3D62" w:rsidP="008546ED">
      <w:pPr>
        <w:ind w:left="360"/>
        <w:rPr>
          <w:rFonts w:cstheme="minorHAnsi"/>
          <w:i/>
          <w:iCs/>
          <w:color w:val="1F3864" w:themeColor="accent1" w:themeShade="80"/>
        </w:rPr>
      </w:pPr>
      <w:r>
        <w:rPr>
          <w:rFonts w:cstheme="minorHAnsi"/>
          <w:i/>
          <w:iCs/>
          <w:color w:val="1F3864" w:themeColor="accent1" w:themeShade="80"/>
        </w:rPr>
        <w:lastRenderedPageBreak/>
        <w:t xml:space="preserve">Should this happen, </w:t>
      </w:r>
      <w:r w:rsidR="004416AB" w:rsidRPr="006F6114">
        <w:rPr>
          <w:rFonts w:cstheme="minorHAnsi"/>
          <w:i/>
          <w:iCs/>
          <w:color w:val="1F3864" w:themeColor="accent1" w:themeShade="80"/>
        </w:rPr>
        <w:t>digital assets</w:t>
      </w:r>
      <w:r w:rsidR="00FE450C">
        <w:rPr>
          <w:rFonts w:cstheme="minorHAnsi"/>
          <w:i/>
          <w:iCs/>
          <w:color w:val="1F3864" w:themeColor="accent1" w:themeShade="80"/>
        </w:rPr>
        <w:t xml:space="preserve"> of users or professional content creators</w:t>
      </w:r>
      <w:r>
        <w:rPr>
          <w:rFonts w:cstheme="minorHAnsi"/>
          <w:i/>
          <w:iCs/>
          <w:color w:val="1F3864" w:themeColor="accent1" w:themeShade="80"/>
        </w:rPr>
        <w:t xml:space="preserve"> can be “stranded,” and </w:t>
      </w:r>
      <w:r w:rsidR="004416AB" w:rsidRPr="006F6114">
        <w:rPr>
          <w:rFonts w:cstheme="minorHAnsi"/>
          <w:i/>
          <w:iCs/>
          <w:color w:val="1F3864" w:themeColor="accent1" w:themeShade="80"/>
        </w:rPr>
        <w:t>businesses</w:t>
      </w:r>
      <w:r>
        <w:rPr>
          <w:rFonts w:cstheme="minorHAnsi"/>
          <w:i/>
          <w:iCs/>
          <w:color w:val="1F3864" w:themeColor="accent1" w:themeShade="80"/>
        </w:rPr>
        <w:t xml:space="preserve"> can be harmed.</w:t>
      </w:r>
      <w:r w:rsidR="004416AB" w:rsidRPr="006F6114">
        <w:rPr>
          <w:rStyle w:val="EndnoteReference"/>
          <w:rFonts w:cstheme="minorHAnsi"/>
          <w:i/>
          <w:iCs/>
          <w:color w:val="1F3864" w:themeColor="accent1" w:themeShade="80"/>
        </w:rPr>
        <w:endnoteReference w:id="46"/>
      </w:r>
      <w:r w:rsidR="0005017D" w:rsidRPr="006F6114">
        <w:rPr>
          <w:rFonts w:cstheme="minorHAnsi"/>
          <w:i/>
          <w:iCs/>
          <w:color w:val="1F3864" w:themeColor="accent1" w:themeShade="80"/>
        </w:rPr>
        <w:t xml:space="preserve"> In </w:t>
      </w:r>
      <w:r>
        <w:rPr>
          <w:rFonts w:cstheme="minorHAnsi"/>
          <w:i/>
          <w:iCs/>
          <w:color w:val="1F3864" w:themeColor="accent1" w:themeShade="80"/>
        </w:rPr>
        <w:t xml:space="preserve">one notable </w:t>
      </w:r>
      <w:r w:rsidR="0005017D" w:rsidRPr="006F6114">
        <w:rPr>
          <w:rFonts w:cstheme="minorHAnsi"/>
          <w:i/>
          <w:iCs/>
          <w:color w:val="1F3864" w:themeColor="accent1" w:themeShade="80"/>
        </w:rPr>
        <w:t xml:space="preserve">example, people have been remotely locked out of their electric cars </w:t>
      </w:r>
      <w:r>
        <w:rPr>
          <w:rFonts w:cstheme="minorHAnsi"/>
          <w:i/>
          <w:iCs/>
          <w:color w:val="1F3864" w:themeColor="accent1" w:themeShade="80"/>
        </w:rPr>
        <w:t xml:space="preserve">because they were disputing </w:t>
      </w:r>
      <w:r w:rsidR="0005017D" w:rsidRPr="006F6114">
        <w:rPr>
          <w:rFonts w:cstheme="minorHAnsi"/>
          <w:i/>
          <w:iCs/>
          <w:color w:val="1F3864" w:themeColor="accent1" w:themeShade="80"/>
        </w:rPr>
        <w:t>repair</w:t>
      </w:r>
      <w:r>
        <w:rPr>
          <w:rFonts w:cstheme="minorHAnsi"/>
          <w:i/>
          <w:iCs/>
          <w:color w:val="1F3864" w:themeColor="accent1" w:themeShade="80"/>
        </w:rPr>
        <w:t xml:space="preserve"> bills</w:t>
      </w:r>
      <w:r w:rsidR="0005017D" w:rsidRPr="006F6114">
        <w:rPr>
          <w:rFonts w:cstheme="minorHAnsi"/>
          <w:i/>
          <w:iCs/>
          <w:color w:val="1F3864" w:themeColor="accent1" w:themeShade="80"/>
        </w:rPr>
        <w:t>.</w:t>
      </w:r>
      <w:r w:rsidR="0005017D" w:rsidRPr="006F6114">
        <w:rPr>
          <w:rStyle w:val="EndnoteReference"/>
          <w:rFonts w:cstheme="minorHAnsi"/>
          <w:i/>
          <w:iCs/>
          <w:color w:val="1F3864" w:themeColor="accent1" w:themeShade="80"/>
        </w:rPr>
        <w:endnoteReference w:id="47"/>
      </w:r>
    </w:p>
    <w:p w14:paraId="10F874B5" w14:textId="32DE5A59" w:rsidR="004416AB" w:rsidRPr="006F6114" w:rsidRDefault="003641C0" w:rsidP="006F6114">
      <w:pPr>
        <w:ind w:left="360"/>
        <w:rPr>
          <w:b/>
          <w:bCs/>
          <w:i/>
          <w:iCs/>
          <w:color w:val="1F3864" w:themeColor="accent1" w:themeShade="80"/>
          <w:highlight w:val="lightGray"/>
        </w:rPr>
      </w:pPr>
      <w:r>
        <w:rPr>
          <w:b/>
          <w:bCs/>
          <w:i/>
          <w:iCs/>
          <w:color w:val="1F3864" w:themeColor="accent1" w:themeShade="80"/>
          <w:highlight w:val="lightGray"/>
        </w:rPr>
        <w:t>“</w:t>
      </w:r>
      <w:r w:rsidR="004416AB" w:rsidRPr="006F6114">
        <w:rPr>
          <w:b/>
          <w:bCs/>
          <w:i/>
          <w:iCs/>
          <w:color w:val="1F3864" w:themeColor="accent1" w:themeShade="80"/>
          <w:highlight w:val="lightGray"/>
        </w:rPr>
        <w:t>User is of Legal Age</w:t>
      </w:r>
      <w:r>
        <w:rPr>
          <w:b/>
          <w:bCs/>
          <w:i/>
          <w:iCs/>
          <w:color w:val="1F3864" w:themeColor="accent1" w:themeShade="80"/>
          <w:highlight w:val="lightGray"/>
        </w:rPr>
        <w:t>”</w:t>
      </w:r>
      <w:r w:rsidR="004416AB" w:rsidRPr="006F6114">
        <w:rPr>
          <w:b/>
          <w:bCs/>
          <w:i/>
          <w:iCs/>
          <w:color w:val="1F3864" w:themeColor="accent1" w:themeShade="80"/>
          <w:highlight w:val="lightGray"/>
        </w:rPr>
        <w:tab/>
      </w:r>
    </w:p>
    <w:p w14:paraId="26A20205" w14:textId="701FD46A" w:rsidR="004416AB" w:rsidRPr="006F6114" w:rsidRDefault="003641C0" w:rsidP="006F6114">
      <w:pPr>
        <w:ind w:left="360"/>
        <w:jc w:val="both"/>
        <w:rPr>
          <w:rFonts w:cstheme="minorHAnsi"/>
          <w:i/>
          <w:iCs/>
          <w:color w:val="1F3864" w:themeColor="accent1" w:themeShade="80"/>
        </w:rPr>
      </w:pPr>
      <w:r>
        <w:rPr>
          <w:rFonts w:cstheme="minorHAnsi"/>
          <w:i/>
          <w:iCs/>
          <w:color w:val="1F3864" w:themeColor="accent1" w:themeShade="80"/>
          <w:highlight w:val="lightGray"/>
        </w:rPr>
        <w:t>“</w:t>
      </w:r>
      <w:r w:rsidR="004416AB" w:rsidRPr="006F6114">
        <w:rPr>
          <w:rFonts w:cstheme="minorHAnsi"/>
          <w:i/>
          <w:iCs/>
          <w:color w:val="1F3864" w:themeColor="accent1" w:themeShade="80"/>
          <w:highlight w:val="lightGray"/>
        </w:rPr>
        <w:t>You must be age 13 (or equivalent minimum age in your Home Country, as set forth in the registration process) to create an account and use our Services.</w:t>
      </w:r>
      <w:r>
        <w:rPr>
          <w:rFonts w:cstheme="minorHAnsi"/>
          <w:i/>
          <w:iCs/>
          <w:color w:val="1F3864" w:themeColor="accent1" w:themeShade="80"/>
        </w:rPr>
        <w:t>”</w:t>
      </w:r>
    </w:p>
    <w:p w14:paraId="766011EE" w14:textId="77777777" w:rsidR="001A3D62" w:rsidRDefault="004416AB" w:rsidP="001A3D62">
      <w:pPr>
        <w:ind w:left="360"/>
        <w:rPr>
          <w:rFonts w:cstheme="minorHAnsi"/>
          <w:i/>
          <w:iCs/>
          <w:color w:val="1F3864" w:themeColor="accent1" w:themeShade="80"/>
        </w:rPr>
      </w:pPr>
      <w:r w:rsidRPr="006F6114">
        <w:rPr>
          <w:rFonts w:cstheme="minorHAnsi"/>
          <w:i/>
          <w:iCs/>
          <w:color w:val="1F3864" w:themeColor="accent1" w:themeShade="80"/>
        </w:rPr>
        <w:t>Some contracts indicate a minimum age for use (often 13)</w:t>
      </w:r>
      <w:r w:rsidR="001A3D62">
        <w:rPr>
          <w:rFonts w:cstheme="minorHAnsi"/>
          <w:i/>
          <w:iCs/>
          <w:color w:val="1F3864" w:themeColor="accent1" w:themeShade="80"/>
        </w:rPr>
        <w:t>,</w:t>
      </w:r>
      <w:r w:rsidRPr="006F6114">
        <w:rPr>
          <w:rFonts w:cstheme="minorHAnsi"/>
          <w:i/>
          <w:iCs/>
          <w:color w:val="1F3864" w:themeColor="accent1" w:themeShade="80"/>
        </w:rPr>
        <w:t xml:space="preserve"> while others require the person has the maturity to understand and consent to the ToS. Still others may require “</w:t>
      </w:r>
      <w:r w:rsidR="00E96740" w:rsidRPr="006F6114">
        <w:rPr>
          <w:rFonts w:cstheme="minorHAnsi"/>
          <w:i/>
          <w:iCs/>
          <w:color w:val="1F3864" w:themeColor="accent1" w:themeShade="80"/>
        </w:rPr>
        <w:t>A parent or legal guardian who is creating an account for a minor should review this Agreement with the minor to ensure that they both understand it.</w:t>
      </w:r>
      <w:r w:rsidRPr="006F6114">
        <w:rPr>
          <w:rFonts w:cstheme="minorHAnsi"/>
          <w:i/>
          <w:iCs/>
          <w:color w:val="1F3864" w:themeColor="accent1" w:themeShade="80"/>
        </w:rPr>
        <w:t>”</w:t>
      </w:r>
      <w:r w:rsidRPr="006F6114">
        <w:rPr>
          <w:rStyle w:val="EndnoteReference"/>
          <w:rFonts w:cstheme="minorHAnsi"/>
          <w:i/>
          <w:iCs/>
          <w:color w:val="1F3864" w:themeColor="accent1" w:themeShade="80"/>
        </w:rPr>
        <w:endnoteReference w:id="48"/>
      </w:r>
      <w:r w:rsidRPr="006F6114">
        <w:rPr>
          <w:rFonts w:cstheme="minorHAnsi"/>
          <w:i/>
          <w:iCs/>
          <w:color w:val="1F3864" w:themeColor="accent1" w:themeShade="80"/>
        </w:rPr>
        <w:t xml:space="preserve"> </w:t>
      </w:r>
    </w:p>
    <w:p w14:paraId="7C32459A" w14:textId="287CC649" w:rsidR="001A3D62" w:rsidRDefault="004416AB" w:rsidP="001A3D62">
      <w:pPr>
        <w:ind w:left="360"/>
        <w:rPr>
          <w:rFonts w:cstheme="minorHAnsi"/>
          <w:i/>
          <w:iCs/>
          <w:color w:val="1F3864" w:themeColor="accent1" w:themeShade="80"/>
        </w:rPr>
      </w:pPr>
      <w:r w:rsidRPr="006F6114">
        <w:rPr>
          <w:rFonts w:cstheme="minorHAnsi"/>
          <w:i/>
          <w:iCs/>
          <w:color w:val="1F3864" w:themeColor="accent1" w:themeShade="80"/>
        </w:rPr>
        <w:t>Th</w:t>
      </w:r>
      <w:r w:rsidR="001A3D62">
        <w:rPr>
          <w:rFonts w:cstheme="minorHAnsi"/>
          <w:i/>
          <w:iCs/>
          <w:color w:val="1F3864" w:themeColor="accent1" w:themeShade="80"/>
        </w:rPr>
        <w:t xml:space="preserve">ese terms are problematic because </w:t>
      </w:r>
      <w:r w:rsidRPr="006F6114">
        <w:rPr>
          <w:rFonts w:cstheme="minorHAnsi"/>
          <w:i/>
          <w:iCs/>
          <w:color w:val="1F3864" w:themeColor="accent1" w:themeShade="80"/>
        </w:rPr>
        <w:t xml:space="preserve">many ToS contracts are too complicated for </w:t>
      </w:r>
      <w:r w:rsidRPr="001A3D62">
        <w:rPr>
          <w:rFonts w:cstheme="minorHAnsi"/>
          <w:i/>
          <w:iCs/>
          <w:color w:val="1F3864" w:themeColor="accent1" w:themeShade="80"/>
        </w:rPr>
        <w:t>adults</w:t>
      </w:r>
      <w:r w:rsidRPr="006F6114">
        <w:rPr>
          <w:rFonts w:cstheme="minorHAnsi"/>
          <w:i/>
          <w:iCs/>
          <w:color w:val="1F3864" w:themeColor="accent1" w:themeShade="80"/>
        </w:rPr>
        <w:t xml:space="preserve"> to understand, </w:t>
      </w:r>
      <w:r w:rsidR="001A3D62">
        <w:rPr>
          <w:rFonts w:cstheme="minorHAnsi"/>
          <w:i/>
          <w:iCs/>
          <w:color w:val="1F3864" w:themeColor="accent1" w:themeShade="80"/>
        </w:rPr>
        <w:t xml:space="preserve">let alone children. </w:t>
      </w:r>
      <w:r w:rsidR="00B02FCC">
        <w:rPr>
          <w:rFonts w:cstheme="minorHAnsi"/>
          <w:i/>
          <w:iCs/>
          <w:color w:val="1F3864" w:themeColor="accent1" w:themeShade="80"/>
        </w:rPr>
        <w:t>Equally important, p</w:t>
      </w:r>
      <w:r w:rsidR="00B02FCC" w:rsidRPr="006F6114">
        <w:rPr>
          <w:rFonts w:cstheme="minorHAnsi"/>
          <w:i/>
          <w:iCs/>
          <w:color w:val="1F3864" w:themeColor="accent1" w:themeShade="80"/>
        </w:rPr>
        <w:t xml:space="preserve">arents are </w:t>
      </w:r>
      <w:r w:rsidR="00B02FCC">
        <w:rPr>
          <w:rFonts w:cstheme="minorHAnsi"/>
          <w:i/>
          <w:iCs/>
          <w:color w:val="1F3864" w:themeColor="accent1" w:themeShade="80"/>
        </w:rPr>
        <w:t xml:space="preserve">often unaware of </w:t>
      </w:r>
      <w:r w:rsidR="00B02FCC" w:rsidRPr="006F6114">
        <w:rPr>
          <w:rFonts w:cstheme="minorHAnsi"/>
          <w:i/>
          <w:iCs/>
          <w:color w:val="1F3864" w:themeColor="accent1" w:themeShade="80"/>
        </w:rPr>
        <w:t>the considerable risks to their children online</w:t>
      </w:r>
      <w:r w:rsidR="00B02FCC">
        <w:rPr>
          <w:rFonts w:cstheme="minorHAnsi"/>
          <w:i/>
          <w:iCs/>
          <w:color w:val="1F3864" w:themeColor="accent1" w:themeShade="80"/>
        </w:rPr>
        <w:t xml:space="preserve">, meaning that they may often not know what they are consenting </w:t>
      </w:r>
      <w:r w:rsidR="00B02FCC" w:rsidRPr="008546ED">
        <w:rPr>
          <w:rFonts w:cstheme="minorHAnsi"/>
          <w:color w:val="1F3864" w:themeColor="accent1" w:themeShade="80"/>
        </w:rPr>
        <w:t>to</w:t>
      </w:r>
      <w:r w:rsidR="00B02FCC">
        <w:rPr>
          <w:rFonts w:cstheme="minorHAnsi"/>
          <w:color w:val="1F3864" w:themeColor="accent1" w:themeShade="80"/>
        </w:rPr>
        <w:t>, irrespective of the ToS</w:t>
      </w:r>
      <w:r w:rsidR="00B02FCC" w:rsidRPr="006F6114">
        <w:rPr>
          <w:rFonts w:cstheme="minorHAnsi"/>
          <w:i/>
          <w:iCs/>
          <w:color w:val="1F3864" w:themeColor="accent1" w:themeShade="80"/>
        </w:rPr>
        <w:t>.</w:t>
      </w:r>
      <w:r w:rsidR="00B02FCC" w:rsidRPr="006F6114">
        <w:rPr>
          <w:rStyle w:val="EndnoteReference"/>
          <w:rFonts w:cstheme="minorHAnsi"/>
          <w:i/>
          <w:iCs/>
          <w:color w:val="1F3864" w:themeColor="accent1" w:themeShade="80"/>
        </w:rPr>
        <w:endnoteReference w:id="49"/>
      </w:r>
      <w:r w:rsidR="00B02FCC" w:rsidRPr="00B02FCC">
        <w:rPr>
          <w:rFonts w:cstheme="minorHAnsi"/>
          <w:i/>
          <w:iCs/>
          <w:color w:val="1F3864" w:themeColor="accent1" w:themeShade="80"/>
        </w:rPr>
        <w:t xml:space="preserve"> </w:t>
      </w:r>
      <w:r w:rsidR="00B02FCC">
        <w:rPr>
          <w:rFonts w:cstheme="minorHAnsi"/>
          <w:i/>
          <w:iCs/>
          <w:color w:val="1F3864" w:themeColor="accent1" w:themeShade="80"/>
        </w:rPr>
        <w:t xml:space="preserve">Research also demonstrates that </w:t>
      </w:r>
      <w:r w:rsidR="00B02FCC" w:rsidRPr="006F6114">
        <w:rPr>
          <w:rFonts w:cstheme="minorHAnsi"/>
          <w:i/>
          <w:iCs/>
          <w:color w:val="1F3864" w:themeColor="accent1" w:themeShade="80"/>
        </w:rPr>
        <w:t>some businesses violate their own terms and intentionally target the vulnerabilities of children to make their products more addictive.</w:t>
      </w:r>
      <w:r w:rsidR="00B02FCC" w:rsidRPr="006F6114">
        <w:rPr>
          <w:rStyle w:val="EndnoteReference"/>
          <w:rFonts w:cstheme="minorHAnsi"/>
          <w:i/>
          <w:iCs/>
          <w:color w:val="1F3864" w:themeColor="accent1" w:themeShade="80"/>
        </w:rPr>
        <w:endnoteReference w:id="50"/>
      </w:r>
      <w:r w:rsidR="00B02FCC" w:rsidRPr="006F6114">
        <w:rPr>
          <w:rFonts w:cstheme="minorHAnsi"/>
          <w:i/>
          <w:iCs/>
          <w:color w:val="1F3864" w:themeColor="accent1" w:themeShade="80"/>
        </w:rPr>
        <w:t xml:space="preserve"> </w:t>
      </w:r>
    </w:p>
    <w:p w14:paraId="496CC2B2" w14:textId="205B314B" w:rsidR="001A3D62" w:rsidRDefault="003641C0" w:rsidP="001A3D62">
      <w:pPr>
        <w:ind w:left="360"/>
        <w:rPr>
          <w:rFonts w:cstheme="minorHAnsi"/>
          <w:i/>
          <w:iCs/>
          <w:color w:val="1F3864" w:themeColor="accent1" w:themeShade="80"/>
        </w:rPr>
      </w:pPr>
      <w:r>
        <w:rPr>
          <w:rFonts w:cstheme="minorHAnsi"/>
          <w:i/>
          <w:iCs/>
          <w:color w:val="1F3864" w:themeColor="accent1" w:themeShade="80"/>
        </w:rPr>
        <w:t>In m</w:t>
      </w:r>
      <w:r w:rsidR="004416AB" w:rsidRPr="006F6114">
        <w:rPr>
          <w:rFonts w:cstheme="minorHAnsi"/>
          <w:i/>
          <w:iCs/>
          <w:color w:val="1F3864" w:themeColor="accent1" w:themeShade="80"/>
        </w:rPr>
        <w:t>any jurisdictions</w:t>
      </w:r>
      <w:r>
        <w:rPr>
          <w:rFonts w:cstheme="minorHAnsi"/>
          <w:i/>
          <w:iCs/>
          <w:color w:val="1F3864" w:themeColor="accent1" w:themeShade="80"/>
        </w:rPr>
        <w:t>,</w:t>
      </w:r>
      <w:r w:rsidR="004416AB" w:rsidRPr="006F6114">
        <w:rPr>
          <w:rFonts w:cstheme="minorHAnsi"/>
          <w:i/>
          <w:iCs/>
          <w:color w:val="1F3864" w:themeColor="accent1" w:themeShade="80"/>
        </w:rPr>
        <w:t xml:space="preserve"> children are required to use a </w:t>
      </w:r>
      <w:r w:rsidR="001A3D62">
        <w:rPr>
          <w:rFonts w:cstheme="minorHAnsi"/>
          <w:i/>
          <w:iCs/>
          <w:color w:val="1F3864" w:themeColor="accent1" w:themeShade="80"/>
        </w:rPr>
        <w:t xml:space="preserve">specific </w:t>
      </w:r>
      <w:r w:rsidR="004416AB" w:rsidRPr="006F6114">
        <w:rPr>
          <w:rFonts w:cstheme="minorHAnsi"/>
          <w:i/>
          <w:iCs/>
          <w:color w:val="1F3864" w:themeColor="accent1" w:themeShade="80"/>
        </w:rPr>
        <w:t>service for school</w:t>
      </w:r>
      <w:r w:rsidR="001A3D62">
        <w:rPr>
          <w:rFonts w:cstheme="minorHAnsi"/>
          <w:i/>
          <w:iCs/>
          <w:color w:val="1F3864" w:themeColor="accent1" w:themeShade="80"/>
        </w:rPr>
        <w:t>, which effectively overriding age consent provisions</w:t>
      </w:r>
      <w:r w:rsidR="004416AB" w:rsidRPr="006F6114">
        <w:rPr>
          <w:rFonts w:cstheme="minorHAnsi"/>
          <w:i/>
          <w:iCs/>
          <w:color w:val="1F3864" w:themeColor="accent1" w:themeShade="80"/>
        </w:rPr>
        <w:t>.</w:t>
      </w:r>
      <w:r w:rsidR="004416AB" w:rsidRPr="006F6114">
        <w:rPr>
          <w:rStyle w:val="EndnoteReference"/>
          <w:rFonts w:cstheme="minorHAnsi"/>
          <w:i/>
          <w:iCs/>
          <w:color w:val="1F3864" w:themeColor="accent1" w:themeShade="80"/>
        </w:rPr>
        <w:endnoteReference w:id="51"/>
      </w:r>
      <w:r w:rsidR="004416AB" w:rsidRPr="006F6114">
        <w:rPr>
          <w:rFonts w:cstheme="minorHAnsi"/>
          <w:i/>
          <w:iCs/>
          <w:color w:val="1F3864" w:themeColor="accent1" w:themeShade="80"/>
        </w:rPr>
        <w:t xml:space="preserve"> </w:t>
      </w:r>
    </w:p>
    <w:p w14:paraId="3034517C" w14:textId="21081923" w:rsidR="004416AB" w:rsidRPr="006F6114" w:rsidRDefault="004416AB" w:rsidP="008546ED">
      <w:pPr>
        <w:ind w:left="360"/>
        <w:rPr>
          <w:rFonts w:cstheme="minorHAnsi"/>
          <w:i/>
          <w:iCs/>
          <w:color w:val="1F3864" w:themeColor="accent1" w:themeShade="80"/>
        </w:rPr>
      </w:pPr>
      <w:r w:rsidRPr="006F6114">
        <w:rPr>
          <w:rFonts w:cstheme="minorHAnsi"/>
          <w:i/>
          <w:iCs/>
          <w:color w:val="1F3864" w:themeColor="accent1" w:themeShade="80"/>
        </w:rPr>
        <w:t>Canadian guidelines have been developed in relation to youth consent and concerning content</w:t>
      </w:r>
      <w:r w:rsidR="00B02FCC">
        <w:rPr>
          <w:rFonts w:cstheme="minorHAnsi"/>
          <w:i/>
          <w:iCs/>
          <w:color w:val="1F3864" w:themeColor="accent1" w:themeShade="80"/>
        </w:rPr>
        <w:t xml:space="preserve">. Several industry initiatives have </w:t>
      </w:r>
      <w:r w:rsidRPr="006F6114">
        <w:rPr>
          <w:rFonts w:cstheme="minorHAnsi"/>
          <w:i/>
          <w:iCs/>
          <w:color w:val="1F3864" w:themeColor="accent1" w:themeShade="80"/>
        </w:rPr>
        <w:t xml:space="preserve">also developed standards for marketing, </w:t>
      </w:r>
      <w:r w:rsidR="00B02FCC">
        <w:rPr>
          <w:rFonts w:cstheme="minorHAnsi"/>
          <w:i/>
          <w:iCs/>
          <w:color w:val="1F3864" w:themeColor="accent1" w:themeShade="80"/>
        </w:rPr>
        <w:t xml:space="preserve">etc.  To date, these are </w:t>
      </w:r>
      <w:r w:rsidRPr="006F6114">
        <w:rPr>
          <w:rFonts w:cstheme="minorHAnsi"/>
          <w:i/>
          <w:iCs/>
          <w:color w:val="1F3864" w:themeColor="accent1" w:themeShade="80"/>
        </w:rPr>
        <w:t>voluntary standards.</w:t>
      </w:r>
      <w:r w:rsidRPr="006F6114">
        <w:rPr>
          <w:rStyle w:val="EndnoteReference"/>
          <w:rFonts w:cstheme="minorHAnsi"/>
          <w:i/>
          <w:iCs/>
          <w:color w:val="1F3864" w:themeColor="accent1" w:themeShade="80"/>
        </w:rPr>
        <w:endnoteReference w:id="52"/>
      </w:r>
    </w:p>
    <w:p w14:paraId="517CCD27" w14:textId="6860473D" w:rsidR="004416AB" w:rsidRPr="006F6114" w:rsidRDefault="003641C0" w:rsidP="006F6114">
      <w:pPr>
        <w:ind w:left="360"/>
        <w:jc w:val="both"/>
        <w:rPr>
          <w:rFonts w:cstheme="minorHAnsi"/>
          <w:b/>
          <w:bCs/>
          <w:i/>
          <w:iCs/>
          <w:color w:val="1F3864" w:themeColor="accent1" w:themeShade="80"/>
          <w:highlight w:val="lightGray"/>
        </w:rPr>
      </w:pPr>
      <w:r>
        <w:rPr>
          <w:rFonts w:cstheme="minorHAnsi"/>
          <w:b/>
          <w:bCs/>
          <w:i/>
          <w:iCs/>
          <w:color w:val="1F3864" w:themeColor="accent1" w:themeShade="80"/>
          <w:highlight w:val="lightGray"/>
        </w:rPr>
        <w:t>“</w:t>
      </w:r>
      <w:r w:rsidR="004416AB" w:rsidRPr="006F6114">
        <w:rPr>
          <w:rFonts w:cstheme="minorHAnsi"/>
          <w:b/>
          <w:bCs/>
          <w:i/>
          <w:iCs/>
          <w:color w:val="1F3864" w:themeColor="accent1" w:themeShade="80"/>
          <w:highlight w:val="lightGray"/>
        </w:rPr>
        <w:t>Consent to Collection, Use</w:t>
      </w:r>
      <w:r w:rsidR="00C31FE6" w:rsidRPr="006F6114">
        <w:rPr>
          <w:rFonts w:cstheme="minorHAnsi"/>
          <w:b/>
          <w:bCs/>
          <w:i/>
          <w:iCs/>
          <w:color w:val="1F3864" w:themeColor="accent1" w:themeShade="80"/>
          <w:highlight w:val="lightGray"/>
        </w:rPr>
        <w:t>, Disclosure</w:t>
      </w:r>
      <w:r w:rsidR="004416AB" w:rsidRPr="006F6114">
        <w:rPr>
          <w:rFonts w:cstheme="minorHAnsi"/>
          <w:b/>
          <w:bCs/>
          <w:i/>
          <w:iCs/>
          <w:color w:val="1F3864" w:themeColor="accent1" w:themeShade="80"/>
          <w:highlight w:val="lightGray"/>
        </w:rPr>
        <w:t xml:space="preserve"> and Deletion of Data</w:t>
      </w:r>
      <w:r>
        <w:rPr>
          <w:rFonts w:cstheme="minorHAnsi"/>
          <w:b/>
          <w:bCs/>
          <w:i/>
          <w:iCs/>
          <w:color w:val="1F3864" w:themeColor="accent1" w:themeShade="80"/>
          <w:highlight w:val="lightGray"/>
        </w:rPr>
        <w:t>”</w:t>
      </w:r>
    </w:p>
    <w:p w14:paraId="3BD73340" w14:textId="4EB921A4" w:rsidR="004416AB" w:rsidRPr="006F6114" w:rsidRDefault="003641C0" w:rsidP="008546ED">
      <w:pPr>
        <w:ind w:left="360"/>
        <w:rPr>
          <w:rFonts w:cstheme="minorHAnsi"/>
          <w:i/>
          <w:iCs/>
          <w:color w:val="1F3864" w:themeColor="accent1" w:themeShade="80"/>
        </w:rPr>
      </w:pPr>
      <w:r>
        <w:rPr>
          <w:rFonts w:cstheme="minorHAnsi"/>
          <w:i/>
          <w:iCs/>
          <w:color w:val="1F3864" w:themeColor="accent1" w:themeShade="80"/>
          <w:highlight w:val="lightGray"/>
        </w:rPr>
        <w:t>“</w:t>
      </w:r>
      <w:r w:rsidR="004416AB" w:rsidRPr="006F6114">
        <w:rPr>
          <w:rFonts w:cstheme="minorHAnsi"/>
          <w:i/>
          <w:iCs/>
          <w:color w:val="1F3864" w:themeColor="accent1" w:themeShade="80"/>
          <w:highlight w:val="lightGray"/>
        </w:rPr>
        <w:t>You agree that an app store licensor may collect and use technical data and related information—including but not limited to technical information about your device. Licensor may use this information, as long as it is in a form that does not personally identify you, to improve its products or to provide services or technologies to you. Deleting your account may not fully remove the content you have published from our systems and may remain stored on our servers and accessible to the public</w:t>
      </w:r>
      <w:r>
        <w:rPr>
          <w:rFonts w:cstheme="minorHAnsi"/>
          <w:i/>
          <w:iCs/>
          <w:color w:val="1F3864" w:themeColor="accent1" w:themeShade="80"/>
          <w:highlight w:val="lightGray"/>
        </w:rPr>
        <w:t>.</w:t>
      </w:r>
      <w:r>
        <w:rPr>
          <w:rFonts w:cstheme="minorHAnsi"/>
          <w:i/>
          <w:iCs/>
          <w:color w:val="1F3864" w:themeColor="accent1" w:themeShade="80"/>
        </w:rPr>
        <w:t>”</w:t>
      </w:r>
    </w:p>
    <w:p w14:paraId="19E8CF77" w14:textId="2F4C66D2" w:rsidR="00F90C7B" w:rsidRDefault="00A83B5D" w:rsidP="00F90C7B">
      <w:pPr>
        <w:ind w:left="360"/>
        <w:rPr>
          <w:i/>
          <w:iCs/>
          <w:color w:val="1F3864" w:themeColor="accent1" w:themeShade="80"/>
        </w:rPr>
      </w:pPr>
      <w:r w:rsidRPr="1F5E9E68">
        <w:rPr>
          <w:i/>
          <w:iCs/>
          <w:color w:val="1F3864" w:themeColor="accent1" w:themeShade="80"/>
        </w:rPr>
        <w:t>Consumers often presume their digital activities are anonymous</w:t>
      </w:r>
      <w:r w:rsidR="00CB08EA" w:rsidRPr="1F5E9E68">
        <w:rPr>
          <w:i/>
          <w:iCs/>
          <w:color w:val="1F3864" w:themeColor="accent1" w:themeShade="80"/>
        </w:rPr>
        <w:t xml:space="preserve">, </w:t>
      </w:r>
      <w:r w:rsidRPr="1F5E9E68">
        <w:rPr>
          <w:i/>
          <w:iCs/>
          <w:color w:val="1F3864" w:themeColor="accent1" w:themeShade="80"/>
        </w:rPr>
        <w:t xml:space="preserve">too trivial to </w:t>
      </w:r>
      <w:r w:rsidR="00C326F0" w:rsidRPr="1F5E9E68">
        <w:rPr>
          <w:i/>
          <w:iCs/>
          <w:color w:val="1F3864" w:themeColor="accent1" w:themeShade="80"/>
        </w:rPr>
        <w:t xml:space="preserve">be worth tracking, </w:t>
      </w:r>
      <w:r w:rsidR="00CB08EA" w:rsidRPr="1F5E9E68">
        <w:rPr>
          <w:i/>
          <w:iCs/>
          <w:color w:val="1F3864" w:themeColor="accent1" w:themeShade="80"/>
        </w:rPr>
        <w:t>or</w:t>
      </w:r>
      <w:r w:rsidR="00C326F0" w:rsidRPr="1F5E9E68">
        <w:rPr>
          <w:i/>
          <w:iCs/>
          <w:color w:val="1F3864" w:themeColor="accent1" w:themeShade="80"/>
        </w:rPr>
        <w:t xml:space="preserve"> are</w:t>
      </w:r>
      <w:r w:rsidR="00CB08EA" w:rsidRPr="1F5E9E68">
        <w:rPr>
          <w:i/>
          <w:iCs/>
          <w:color w:val="1F3864" w:themeColor="accent1" w:themeShade="80"/>
        </w:rPr>
        <w:t xml:space="preserve"> </w:t>
      </w:r>
      <w:r w:rsidR="00C31FE6" w:rsidRPr="1F5E9E68">
        <w:rPr>
          <w:i/>
          <w:iCs/>
          <w:color w:val="1F3864" w:themeColor="accent1" w:themeShade="80"/>
        </w:rPr>
        <w:t>well served</w:t>
      </w:r>
      <w:r w:rsidR="00CB08EA" w:rsidRPr="1F5E9E68">
        <w:rPr>
          <w:i/>
          <w:iCs/>
          <w:color w:val="1F3864" w:themeColor="accent1" w:themeShade="80"/>
        </w:rPr>
        <w:t xml:space="preserve"> </w:t>
      </w:r>
      <w:r w:rsidR="00C31FE6" w:rsidRPr="1F5E9E68">
        <w:rPr>
          <w:i/>
          <w:iCs/>
          <w:color w:val="1F3864" w:themeColor="accent1" w:themeShade="80"/>
        </w:rPr>
        <w:t>through</w:t>
      </w:r>
      <w:r w:rsidR="00CB08EA" w:rsidRPr="1F5E9E68">
        <w:rPr>
          <w:i/>
          <w:iCs/>
          <w:color w:val="1F3864" w:themeColor="accent1" w:themeShade="80"/>
        </w:rPr>
        <w:t xml:space="preserve"> </w:t>
      </w:r>
      <w:r w:rsidR="00C326F0" w:rsidRPr="1F5E9E68">
        <w:rPr>
          <w:i/>
          <w:iCs/>
          <w:color w:val="1F3864" w:themeColor="accent1" w:themeShade="80"/>
        </w:rPr>
        <w:t>the</w:t>
      </w:r>
      <w:r w:rsidR="00CB08EA" w:rsidRPr="1F5E9E68">
        <w:rPr>
          <w:i/>
          <w:iCs/>
          <w:color w:val="1F3864" w:themeColor="accent1" w:themeShade="80"/>
        </w:rPr>
        <w:t xml:space="preserve"> </w:t>
      </w:r>
      <w:r w:rsidR="00C31FE6" w:rsidRPr="1F5E9E68">
        <w:rPr>
          <w:i/>
          <w:iCs/>
          <w:color w:val="1F3864" w:themeColor="accent1" w:themeShade="80"/>
        </w:rPr>
        <w:t>privacy commitments of suppliers.</w:t>
      </w:r>
      <w:r w:rsidRPr="1F5E9E68">
        <w:rPr>
          <w:i/>
          <w:iCs/>
          <w:color w:val="1F3864" w:themeColor="accent1" w:themeShade="80"/>
        </w:rPr>
        <w:t xml:space="preserve"> </w:t>
      </w:r>
    </w:p>
    <w:p w14:paraId="51ACCE85" w14:textId="31CE828E" w:rsidR="006F7846" w:rsidRDefault="006F7846" w:rsidP="00F90C7B">
      <w:pPr>
        <w:ind w:left="360"/>
        <w:rPr>
          <w:i/>
          <w:iCs/>
          <w:color w:val="1F3864" w:themeColor="accent1" w:themeShade="80"/>
        </w:rPr>
      </w:pPr>
      <w:r>
        <w:rPr>
          <w:i/>
          <w:iCs/>
          <w:color w:val="1F3864" w:themeColor="accent1" w:themeShade="80"/>
        </w:rPr>
        <w:t xml:space="preserve">Research demonstrates that </w:t>
      </w:r>
      <w:r w:rsidR="00A83B5D" w:rsidRPr="1F5E9E68">
        <w:rPr>
          <w:i/>
          <w:iCs/>
          <w:color w:val="1F3864" w:themeColor="accent1" w:themeShade="80"/>
        </w:rPr>
        <w:t xml:space="preserve">ToS </w:t>
      </w:r>
      <w:r w:rsidR="00CB08EA" w:rsidRPr="1F5E9E68">
        <w:rPr>
          <w:i/>
          <w:iCs/>
          <w:color w:val="1F3864" w:themeColor="accent1" w:themeShade="80"/>
        </w:rPr>
        <w:t>frequently</w:t>
      </w:r>
      <w:r w:rsidR="00A83B5D" w:rsidRPr="1F5E9E68">
        <w:rPr>
          <w:i/>
          <w:iCs/>
          <w:color w:val="1F3864" w:themeColor="accent1" w:themeShade="80"/>
        </w:rPr>
        <w:t xml:space="preserve"> that mask sophisticated </w:t>
      </w:r>
      <w:r>
        <w:rPr>
          <w:i/>
          <w:iCs/>
          <w:color w:val="1F3864" w:themeColor="accent1" w:themeShade="80"/>
        </w:rPr>
        <w:t xml:space="preserve">data collection </w:t>
      </w:r>
      <w:r w:rsidR="00A83B5D" w:rsidRPr="1F5E9E68">
        <w:rPr>
          <w:i/>
          <w:iCs/>
          <w:color w:val="1F3864" w:themeColor="accent1" w:themeShade="80"/>
        </w:rPr>
        <w:t>operations with far reaching (and undisclosed) consequences.</w:t>
      </w:r>
      <w:r w:rsidR="00C326F0" w:rsidRPr="1F5E9E68">
        <w:rPr>
          <w:rStyle w:val="EndnoteReference"/>
          <w:i/>
          <w:iCs/>
          <w:color w:val="1F3864" w:themeColor="accent1" w:themeShade="80"/>
        </w:rPr>
        <w:endnoteReference w:id="53"/>
      </w:r>
      <w:r w:rsidR="00A83B5D" w:rsidRPr="1F5E9E68">
        <w:rPr>
          <w:i/>
          <w:iCs/>
          <w:color w:val="1F3864" w:themeColor="accent1" w:themeShade="80"/>
        </w:rPr>
        <w:t xml:space="preserve"> These practices </w:t>
      </w:r>
      <w:r>
        <w:rPr>
          <w:i/>
          <w:iCs/>
          <w:color w:val="1F3864" w:themeColor="accent1" w:themeShade="80"/>
        </w:rPr>
        <w:t xml:space="preserve">may </w:t>
      </w:r>
      <w:r w:rsidR="00A83B5D" w:rsidRPr="1F5E9E68">
        <w:rPr>
          <w:i/>
          <w:iCs/>
          <w:color w:val="1F3864" w:themeColor="accent1" w:themeShade="80"/>
        </w:rPr>
        <w:t xml:space="preserve">go </w:t>
      </w:r>
      <w:r w:rsidR="00CB08EA" w:rsidRPr="1F5E9E68">
        <w:rPr>
          <w:i/>
          <w:iCs/>
          <w:color w:val="1F3864" w:themeColor="accent1" w:themeShade="80"/>
        </w:rPr>
        <w:t>well</w:t>
      </w:r>
      <w:r w:rsidR="00A83B5D" w:rsidRPr="1F5E9E68">
        <w:rPr>
          <w:i/>
          <w:iCs/>
          <w:color w:val="1F3864" w:themeColor="accent1" w:themeShade="80"/>
        </w:rPr>
        <w:t xml:space="preserve"> beyond the collection of </w:t>
      </w:r>
      <w:r w:rsidR="007B1284" w:rsidRPr="1F5E9E68">
        <w:rPr>
          <w:i/>
          <w:iCs/>
          <w:color w:val="1F3864" w:themeColor="accent1" w:themeShade="80"/>
        </w:rPr>
        <w:t xml:space="preserve">“technical information” required to “improve products” or “provide you with more relevant marketing &amp; offers.” </w:t>
      </w:r>
    </w:p>
    <w:p w14:paraId="6BF132FB" w14:textId="5A735548" w:rsidR="006F7846" w:rsidRDefault="00A83B5D" w:rsidP="00F90C7B">
      <w:pPr>
        <w:ind w:left="360"/>
        <w:rPr>
          <w:i/>
          <w:iCs/>
          <w:color w:val="1F3864" w:themeColor="accent1" w:themeShade="80"/>
        </w:rPr>
      </w:pPr>
      <w:r w:rsidRPr="1F5E9E68">
        <w:rPr>
          <w:i/>
          <w:iCs/>
          <w:color w:val="1F3864" w:themeColor="accent1" w:themeShade="80"/>
        </w:rPr>
        <w:t xml:space="preserve">Such terms </w:t>
      </w:r>
      <w:r w:rsidR="006F7846">
        <w:rPr>
          <w:i/>
          <w:iCs/>
          <w:color w:val="1F3864" w:themeColor="accent1" w:themeShade="80"/>
        </w:rPr>
        <w:t xml:space="preserve">may be </w:t>
      </w:r>
      <w:r w:rsidRPr="1F5E9E68">
        <w:rPr>
          <w:i/>
          <w:iCs/>
          <w:color w:val="1F3864" w:themeColor="accent1" w:themeShade="80"/>
        </w:rPr>
        <w:t>used to</w:t>
      </w:r>
      <w:r w:rsidR="007B1284" w:rsidRPr="1F5E9E68">
        <w:rPr>
          <w:i/>
          <w:iCs/>
          <w:color w:val="1F3864" w:themeColor="accent1" w:themeShade="80"/>
        </w:rPr>
        <w:t xml:space="preserve"> justify </w:t>
      </w:r>
      <w:r w:rsidR="5A4C4F6D" w:rsidRPr="1F5E9E68">
        <w:rPr>
          <w:i/>
          <w:iCs/>
          <w:color w:val="1F3864" w:themeColor="accent1" w:themeShade="80"/>
        </w:rPr>
        <w:t>location-</w:t>
      </w:r>
      <w:r w:rsidR="007B1284" w:rsidRPr="1F5E9E68">
        <w:rPr>
          <w:i/>
          <w:iCs/>
          <w:color w:val="1F3864" w:themeColor="accent1" w:themeShade="80"/>
        </w:rPr>
        <w:t>tracking users</w:t>
      </w:r>
      <w:r w:rsidR="004416AB" w:rsidRPr="1F5E9E68">
        <w:rPr>
          <w:i/>
          <w:iCs/>
          <w:color w:val="1F3864" w:themeColor="accent1" w:themeShade="80"/>
        </w:rPr>
        <w:t xml:space="preserve"> “to within a few yards and in some cases updated more than 14,000 times a day</w:t>
      </w:r>
      <w:r w:rsidR="007B1284" w:rsidRPr="1F5E9E68">
        <w:rPr>
          <w:i/>
          <w:iCs/>
          <w:color w:val="1F3864" w:themeColor="accent1" w:themeShade="80"/>
        </w:rPr>
        <w:t>,</w:t>
      </w:r>
      <w:r w:rsidR="004416AB" w:rsidRPr="1F5E9E68">
        <w:rPr>
          <w:i/>
          <w:iCs/>
          <w:color w:val="1F3864" w:themeColor="accent1" w:themeShade="80"/>
        </w:rPr>
        <w:t>”</w:t>
      </w:r>
      <w:r w:rsidR="004416AB" w:rsidRPr="1F5E9E68">
        <w:rPr>
          <w:rStyle w:val="EndnoteReference"/>
          <w:i/>
          <w:iCs/>
          <w:color w:val="1F3864" w:themeColor="accent1" w:themeShade="80"/>
        </w:rPr>
        <w:endnoteReference w:id="54"/>
      </w:r>
      <w:r w:rsidR="004416AB" w:rsidRPr="1F5E9E68">
        <w:rPr>
          <w:i/>
          <w:iCs/>
          <w:color w:val="1F3864" w:themeColor="accent1" w:themeShade="80"/>
        </w:rPr>
        <w:t xml:space="preserve"> </w:t>
      </w:r>
      <w:r w:rsidR="007B1284" w:rsidRPr="1F5E9E68">
        <w:rPr>
          <w:i/>
          <w:iCs/>
          <w:color w:val="1F3864" w:themeColor="accent1" w:themeShade="80"/>
        </w:rPr>
        <w:t xml:space="preserve">and may do so even </w:t>
      </w:r>
      <w:r w:rsidR="004416AB" w:rsidRPr="1F5E9E68">
        <w:rPr>
          <w:i/>
          <w:iCs/>
          <w:color w:val="1F3864" w:themeColor="accent1" w:themeShade="80"/>
        </w:rPr>
        <w:t>when not using an app, resulting in 24/7 consumer surveillance</w:t>
      </w:r>
      <w:r w:rsidR="00DA553D" w:rsidRPr="1F5E9E68">
        <w:rPr>
          <w:i/>
          <w:iCs/>
          <w:color w:val="1F3864" w:themeColor="accent1" w:themeShade="80"/>
        </w:rPr>
        <w:t>.</w:t>
      </w:r>
      <w:r w:rsidR="004416AB" w:rsidRPr="1F5E9E68">
        <w:rPr>
          <w:rStyle w:val="EndnoteReference"/>
          <w:i/>
          <w:iCs/>
          <w:color w:val="1F3864" w:themeColor="accent1" w:themeShade="80"/>
        </w:rPr>
        <w:endnoteReference w:id="55"/>
      </w:r>
      <w:r w:rsidR="004416AB" w:rsidRPr="1F5E9E68">
        <w:rPr>
          <w:i/>
          <w:iCs/>
          <w:color w:val="1F3864" w:themeColor="accent1" w:themeShade="80"/>
        </w:rPr>
        <w:t xml:space="preserve"> </w:t>
      </w:r>
    </w:p>
    <w:p w14:paraId="2F13EE9A" w14:textId="09ABE36D" w:rsidR="006F7846" w:rsidRDefault="00A83B5D" w:rsidP="00F90C7B">
      <w:pPr>
        <w:ind w:left="360"/>
        <w:rPr>
          <w:i/>
          <w:iCs/>
          <w:color w:val="1F3864" w:themeColor="accent1" w:themeShade="80"/>
        </w:rPr>
      </w:pPr>
      <w:r w:rsidRPr="1F5E9E68">
        <w:rPr>
          <w:i/>
          <w:iCs/>
          <w:color w:val="1F3864" w:themeColor="accent1" w:themeShade="80"/>
        </w:rPr>
        <w:t>Databases can also be linked, correlating consumer movements</w:t>
      </w:r>
      <w:r w:rsidR="00E70EE4" w:rsidRPr="1F5E9E68">
        <w:rPr>
          <w:i/>
          <w:iCs/>
          <w:color w:val="1F3864" w:themeColor="accent1" w:themeShade="80"/>
        </w:rPr>
        <w:t xml:space="preserve"> and </w:t>
      </w:r>
      <w:r w:rsidRPr="1F5E9E68">
        <w:rPr>
          <w:i/>
          <w:iCs/>
          <w:color w:val="1F3864" w:themeColor="accent1" w:themeShade="80"/>
        </w:rPr>
        <w:t>online browsing records to income tax and other personal financial data.</w:t>
      </w:r>
      <w:r w:rsidRPr="1F5E9E68">
        <w:rPr>
          <w:rStyle w:val="EndnoteReference"/>
          <w:i/>
          <w:iCs/>
          <w:color w:val="1F3864" w:themeColor="accent1" w:themeShade="80"/>
        </w:rPr>
        <w:endnoteReference w:id="56"/>
      </w:r>
      <w:r w:rsidRPr="1F5E9E68">
        <w:rPr>
          <w:i/>
          <w:iCs/>
          <w:color w:val="1F3864" w:themeColor="accent1" w:themeShade="80"/>
        </w:rPr>
        <w:t xml:space="preserve"> </w:t>
      </w:r>
      <w:r w:rsidR="009863EB" w:rsidRPr="1F5E9E68">
        <w:rPr>
          <w:i/>
          <w:iCs/>
          <w:color w:val="1F3864" w:themeColor="accent1" w:themeShade="80"/>
        </w:rPr>
        <w:t xml:space="preserve">The wealth of accumulated data </w:t>
      </w:r>
      <w:r w:rsidR="006F7846">
        <w:rPr>
          <w:i/>
          <w:iCs/>
          <w:color w:val="1F3864" w:themeColor="accent1" w:themeShade="80"/>
        </w:rPr>
        <w:t xml:space="preserve">may </w:t>
      </w:r>
      <w:r w:rsidR="009863EB" w:rsidRPr="1F5E9E68">
        <w:rPr>
          <w:i/>
          <w:iCs/>
          <w:color w:val="1F3864" w:themeColor="accent1" w:themeShade="80"/>
        </w:rPr>
        <w:t>create</w:t>
      </w:r>
      <w:r w:rsidR="000922C7">
        <w:rPr>
          <w:i/>
          <w:iCs/>
          <w:color w:val="1F3864" w:themeColor="accent1" w:themeShade="80"/>
        </w:rPr>
        <w:t xml:space="preserve"> </w:t>
      </w:r>
      <w:r w:rsidR="009863EB" w:rsidRPr="1F5E9E68">
        <w:rPr>
          <w:i/>
          <w:iCs/>
          <w:color w:val="1F3864" w:themeColor="accent1" w:themeShade="80"/>
        </w:rPr>
        <w:t xml:space="preserve">unique </w:t>
      </w:r>
      <w:r w:rsidR="009863EB" w:rsidRPr="1F5E9E68">
        <w:rPr>
          <w:i/>
          <w:iCs/>
          <w:color w:val="1F3864" w:themeColor="accent1" w:themeShade="80"/>
        </w:rPr>
        <w:lastRenderedPageBreak/>
        <w:t>consumer “fingerprint</w:t>
      </w:r>
      <w:r w:rsidR="00C31FE6" w:rsidRPr="1F5E9E68">
        <w:rPr>
          <w:i/>
          <w:iCs/>
          <w:color w:val="1F3864" w:themeColor="accent1" w:themeShade="80"/>
        </w:rPr>
        <w:t>s</w:t>
      </w:r>
      <w:r w:rsidR="009863EB" w:rsidRPr="1F5E9E68">
        <w:rPr>
          <w:i/>
          <w:iCs/>
          <w:color w:val="1F3864" w:themeColor="accent1" w:themeShade="80"/>
        </w:rPr>
        <w:t xml:space="preserve">” </w:t>
      </w:r>
      <w:r w:rsidR="00E70EE4" w:rsidRPr="1F5E9E68">
        <w:rPr>
          <w:i/>
          <w:iCs/>
          <w:color w:val="1F3864" w:themeColor="accent1" w:themeShade="80"/>
        </w:rPr>
        <w:t xml:space="preserve">that </w:t>
      </w:r>
      <w:r w:rsidR="00C31FE6" w:rsidRPr="1F5E9E68">
        <w:rPr>
          <w:i/>
          <w:iCs/>
          <w:color w:val="1F3864" w:themeColor="accent1" w:themeShade="80"/>
        </w:rPr>
        <w:t xml:space="preserve">may </w:t>
      </w:r>
      <w:r w:rsidRPr="1F5E9E68">
        <w:rPr>
          <w:i/>
          <w:iCs/>
          <w:color w:val="1F3864" w:themeColor="accent1" w:themeShade="80"/>
        </w:rPr>
        <w:t xml:space="preserve">persist </w:t>
      </w:r>
      <w:r w:rsidR="7B7E0EF6" w:rsidRPr="1F5E9E68">
        <w:rPr>
          <w:i/>
          <w:iCs/>
          <w:color w:val="1F3864" w:themeColor="accent1" w:themeShade="80"/>
        </w:rPr>
        <w:t xml:space="preserve">despite </w:t>
      </w:r>
      <w:r w:rsidR="00E70EE4" w:rsidRPr="1F5E9E68">
        <w:rPr>
          <w:i/>
          <w:iCs/>
          <w:color w:val="1F3864" w:themeColor="accent1" w:themeShade="80"/>
        </w:rPr>
        <w:t>the</w:t>
      </w:r>
      <w:r w:rsidRPr="1F5E9E68">
        <w:rPr>
          <w:i/>
          <w:iCs/>
          <w:color w:val="1F3864" w:themeColor="accent1" w:themeShade="80"/>
        </w:rPr>
        <w:t xml:space="preserve"> “anonymization” or “de-identification” of data.</w:t>
      </w:r>
      <w:r w:rsidR="00E70EE4" w:rsidRPr="1F5E9E68">
        <w:rPr>
          <w:rStyle w:val="EndnoteReference"/>
          <w:i/>
          <w:iCs/>
          <w:color w:val="1F3864" w:themeColor="accent1" w:themeShade="80"/>
        </w:rPr>
        <w:endnoteReference w:id="57"/>
      </w:r>
      <w:r w:rsidRPr="1F5E9E68">
        <w:rPr>
          <w:i/>
          <w:iCs/>
          <w:color w:val="1F3864" w:themeColor="accent1" w:themeShade="80"/>
        </w:rPr>
        <w:t xml:space="preserve"> </w:t>
      </w:r>
    </w:p>
    <w:p w14:paraId="4604C7C0" w14:textId="77777777" w:rsidR="006F7846" w:rsidRDefault="009863EB" w:rsidP="00F90C7B">
      <w:pPr>
        <w:ind w:left="360"/>
        <w:rPr>
          <w:i/>
          <w:iCs/>
          <w:color w:val="1F3864" w:themeColor="accent1" w:themeShade="80"/>
        </w:rPr>
      </w:pPr>
      <w:r w:rsidRPr="1F5E9E68">
        <w:rPr>
          <w:i/>
          <w:iCs/>
          <w:color w:val="1F3864" w:themeColor="accent1" w:themeShade="80"/>
        </w:rPr>
        <w:t xml:space="preserve">These consumer profiles can </w:t>
      </w:r>
      <w:r w:rsidR="006F7846">
        <w:rPr>
          <w:i/>
          <w:iCs/>
          <w:color w:val="1F3864" w:themeColor="accent1" w:themeShade="80"/>
        </w:rPr>
        <w:t xml:space="preserve">also </w:t>
      </w:r>
      <w:r w:rsidRPr="1F5E9E68">
        <w:rPr>
          <w:i/>
          <w:iCs/>
          <w:color w:val="1F3864" w:themeColor="accent1" w:themeShade="80"/>
        </w:rPr>
        <w:t>shape what individual consumers see</w:t>
      </w:r>
      <w:r w:rsidR="00AA191B" w:rsidRPr="1F5E9E68">
        <w:rPr>
          <w:i/>
          <w:iCs/>
          <w:color w:val="1F3864" w:themeColor="accent1" w:themeShade="80"/>
        </w:rPr>
        <w:t xml:space="preserve"> – such as </w:t>
      </w:r>
      <w:r w:rsidR="00C31FE6" w:rsidRPr="1F5E9E68">
        <w:rPr>
          <w:i/>
          <w:iCs/>
          <w:color w:val="1F3864" w:themeColor="accent1" w:themeShade="80"/>
        </w:rPr>
        <w:t xml:space="preserve">differential pricing, </w:t>
      </w:r>
      <w:r w:rsidR="008A1F02" w:rsidRPr="1F5E9E68">
        <w:rPr>
          <w:i/>
          <w:iCs/>
          <w:color w:val="1F3864" w:themeColor="accent1" w:themeShade="80"/>
        </w:rPr>
        <w:t xml:space="preserve">job listings, and </w:t>
      </w:r>
      <w:r w:rsidR="00E70EE4" w:rsidRPr="1F5E9E68">
        <w:rPr>
          <w:i/>
          <w:iCs/>
          <w:color w:val="1F3864" w:themeColor="accent1" w:themeShade="80"/>
        </w:rPr>
        <w:t xml:space="preserve">available </w:t>
      </w:r>
      <w:r w:rsidR="008A1F02" w:rsidRPr="1F5E9E68">
        <w:rPr>
          <w:i/>
          <w:iCs/>
          <w:color w:val="1F3864" w:themeColor="accent1" w:themeShade="80"/>
        </w:rPr>
        <w:t>rental housing</w:t>
      </w:r>
      <w:r w:rsidR="00AA191B" w:rsidRPr="1F5E9E68">
        <w:rPr>
          <w:i/>
          <w:iCs/>
          <w:color w:val="1F3864" w:themeColor="accent1" w:themeShade="80"/>
        </w:rPr>
        <w:t xml:space="preserve"> – with </w:t>
      </w:r>
      <w:r w:rsidRPr="1F5E9E68">
        <w:rPr>
          <w:i/>
          <w:iCs/>
          <w:color w:val="1F3864" w:themeColor="accent1" w:themeShade="80"/>
        </w:rPr>
        <w:t>considerable risk for bias and discrimination.</w:t>
      </w:r>
      <w:r w:rsidR="008A1F02" w:rsidRPr="1F5E9E68">
        <w:rPr>
          <w:rStyle w:val="EndnoteReference"/>
          <w:i/>
          <w:iCs/>
          <w:color w:val="1F3864" w:themeColor="accent1" w:themeShade="80"/>
        </w:rPr>
        <w:endnoteReference w:id="58"/>
      </w:r>
      <w:r w:rsidR="00B90BF2" w:rsidRPr="1F5E9E68">
        <w:rPr>
          <w:i/>
          <w:iCs/>
          <w:color w:val="1F3864" w:themeColor="accent1" w:themeShade="80"/>
        </w:rPr>
        <w:t xml:space="preserve"> </w:t>
      </w:r>
    </w:p>
    <w:p w14:paraId="60624210" w14:textId="71A03695" w:rsidR="006F7846" w:rsidRDefault="00AA191B" w:rsidP="00F90C7B">
      <w:pPr>
        <w:ind w:left="360"/>
        <w:rPr>
          <w:i/>
          <w:iCs/>
          <w:color w:val="1F3864" w:themeColor="accent1" w:themeShade="80"/>
        </w:rPr>
      </w:pPr>
      <w:r w:rsidRPr="1F5E9E68">
        <w:rPr>
          <w:i/>
          <w:iCs/>
          <w:color w:val="1F3864" w:themeColor="accent1" w:themeShade="80"/>
        </w:rPr>
        <w:t xml:space="preserve">Content shaping </w:t>
      </w:r>
      <w:r w:rsidR="006F7846">
        <w:rPr>
          <w:i/>
          <w:iCs/>
          <w:color w:val="1F3864" w:themeColor="accent1" w:themeShade="80"/>
        </w:rPr>
        <w:t xml:space="preserve">may also have </w:t>
      </w:r>
      <w:r w:rsidRPr="1F5E9E68">
        <w:rPr>
          <w:i/>
          <w:iCs/>
          <w:color w:val="1F3864" w:themeColor="accent1" w:themeShade="80"/>
        </w:rPr>
        <w:t>b</w:t>
      </w:r>
      <w:r w:rsidR="009863EB" w:rsidRPr="1F5E9E68">
        <w:rPr>
          <w:i/>
          <w:iCs/>
          <w:color w:val="1F3864" w:themeColor="accent1" w:themeShade="80"/>
        </w:rPr>
        <w:t>roader social impacts</w:t>
      </w:r>
      <w:r w:rsidRPr="1F5E9E68">
        <w:rPr>
          <w:i/>
          <w:iCs/>
          <w:color w:val="1F3864" w:themeColor="accent1" w:themeShade="80"/>
        </w:rPr>
        <w:t xml:space="preserve">, including propagation of misinformation, </w:t>
      </w:r>
      <w:r w:rsidR="004416AB" w:rsidRPr="1F5E9E68">
        <w:rPr>
          <w:i/>
          <w:iCs/>
          <w:color w:val="1F3864" w:themeColor="accent1" w:themeShade="80"/>
        </w:rPr>
        <w:t xml:space="preserve">political polarization, election interference, </w:t>
      </w:r>
      <w:r w:rsidRPr="1F5E9E68">
        <w:rPr>
          <w:i/>
          <w:iCs/>
          <w:color w:val="1F3864" w:themeColor="accent1" w:themeShade="80"/>
        </w:rPr>
        <w:t xml:space="preserve">and </w:t>
      </w:r>
      <w:r w:rsidR="004416AB" w:rsidRPr="1F5E9E68">
        <w:rPr>
          <w:i/>
          <w:iCs/>
          <w:color w:val="1F3864" w:themeColor="accent1" w:themeShade="80"/>
        </w:rPr>
        <w:t>self-harm (including children).</w:t>
      </w:r>
      <w:r w:rsidR="004416AB" w:rsidRPr="1F5E9E68">
        <w:rPr>
          <w:rStyle w:val="EndnoteReference"/>
          <w:i/>
          <w:iCs/>
          <w:color w:val="1F3864" w:themeColor="accent1" w:themeShade="80"/>
        </w:rPr>
        <w:endnoteReference w:id="59"/>
      </w:r>
      <w:r w:rsidR="004416AB" w:rsidRPr="1F5E9E68">
        <w:rPr>
          <w:i/>
          <w:iCs/>
          <w:color w:val="1F3864" w:themeColor="accent1" w:themeShade="80"/>
        </w:rPr>
        <w:t xml:space="preserve"> </w:t>
      </w:r>
    </w:p>
    <w:p w14:paraId="2F454B6B" w14:textId="00809860" w:rsidR="004416AB" w:rsidRPr="006F6114" w:rsidRDefault="00894388" w:rsidP="008546ED">
      <w:pPr>
        <w:ind w:left="360"/>
        <w:rPr>
          <w:i/>
          <w:iCs/>
          <w:color w:val="1F3864" w:themeColor="accent1" w:themeShade="80"/>
        </w:rPr>
      </w:pPr>
      <w:r w:rsidRPr="1F5E9E68">
        <w:rPr>
          <w:i/>
          <w:iCs/>
          <w:color w:val="1F3864" w:themeColor="accent1" w:themeShade="80"/>
        </w:rPr>
        <w:t>ToS</w:t>
      </w:r>
      <w:r w:rsidR="004416AB" w:rsidRPr="1F5E9E68">
        <w:rPr>
          <w:i/>
          <w:iCs/>
          <w:color w:val="1F3864" w:themeColor="accent1" w:themeShade="80"/>
        </w:rPr>
        <w:t xml:space="preserve"> may also authorize </w:t>
      </w:r>
      <w:r w:rsidR="009863EB" w:rsidRPr="1F5E9E68">
        <w:rPr>
          <w:i/>
          <w:iCs/>
          <w:color w:val="1F3864" w:themeColor="accent1" w:themeShade="80"/>
        </w:rPr>
        <w:t>transfer of data to data brokers who can sell services across borders (</w:t>
      </w:r>
      <w:r w:rsidR="004416AB" w:rsidRPr="1F5E9E68">
        <w:rPr>
          <w:i/>
          <w:iCs/>
          <w:color w:val="1F3864" w:themeColor="accent1" w:themeShade="80"/>
        </w:rPr>
        <w:t>where consumers in Canada have no expectations of rights or redress</w:t>
      </w:r>
      <w:r w:rsidR="009863EB" w:rsidRPr="1F5E9E68">
        <w:rPr>
          <w:i/>
          <w:iCs/>
          <w:color w:val="1F3864" w:themeColor="accent1" w:themeShade="80"/>
        </w:rPr>
        <w:t>)</w:t>
      </w:r>
      <w:r w:rsidR="004416AB" w:rsidRPr="1F5E9E68">
        <w:rPr>
          <w:rStyle w:val="EndnoteReference"/>
          <w:i/>
          <w:iCs/>
          <w:color w:val="1F3864" w:themeColor="accent1" w:themeShade="80"/>
        </w:rPr>
        <w:endnoteReference w:id="60"/>
      </w:r>
      <w:r w:rsidR="009863EB" w:rsidRPr="1F5E9E68">
        <w:rPr>
          <w:i/>
          <w:iCs/>
          <w:color w:val="1F3864" w:themeColor="accent1" w:themeShade="80"/>
        </w:rPr>
        <w:t xml:space="preserve"> or </w:t>
      </w:r>
      <w:r w:rsidR="00E70EE4" w:rsidRPr="1F5E9E68">
        <w:rPr>
          <w:i/>
          <w:iCs/>
          <w:color w:val="1F3864" w:themeColor="accent1" w:themeShade="80"/>
        </w:rPr>
        <w:t xml:space="preserve">who </w:t>
      </w:r>
      <w:r w:rsidR="009863EB" w:rsidRPr="1F5E9E68">
        <w:rPr>
          <w:i/>
          <w:iCs/>
          <w:color w:val="1F3864" w:themeColor="accent1" w:themeShade="80"/>
        </w:rPr>
        <w:t>make data available to police forces without a warrant.</w:t>
      </w:r>
      <w:r w:rsidR="009863EB" w:rsidRPr="1F5E9E68">
        <w:rPr>
          <w:rStyle w:val="EndnoteReference"/>
          <w:i/>
          <w:iCs/>
          <w:color w:val="1F3864" w:themeColor="accent1" w:themeShade="80"/>
        </w:rPr>
        <w:endnoteReference w:id="61"/>
      </w:r>
      <w:r w:rsidR="004416AB" w:rsidRPr="1F5E9E68">
        <w:rPr>
          <w:i/>
          <w:iCs/>
          <w:color w:val="1F3864" w:themeColor="accent1" w:themeShade="80"/>
        </w:rPr>
        <w:t xml:space="preserve"> </w:t>
      </w:r>
      <w:r w:rsidR="00AA191B" w:rsidRPr="1F5E9E68">
        <w:rPr>
          <w:i/>
          <w:iCs/>
          <w:color w:val="1F3864" w:themeColor="accent1" w:themeShade="80"/>
        </w:rPr>
        <w:t xml:space="preserve">Data may also </w:t>
      </w:r>
      <w:r w:rsidR="00C31FE6" w:rsidRPr="1F5E9E68">
        <w:rPr>
          <w:i/>
          <w:iCs/>
          <w:color w:val="1F3864" w:themeColor="accent1" w:themeShade="80"/>
        </w:rPr>
        <w:t xml:space="preserve">outlast </w:t>
      </w:r>
      <w:r w:rsidR="00AA191B" w:rsidRPr="1F5E9E68">
        <w:rPr>
          <w:i/>
          <w:iCs/>
          <w:color w:val="1F3864" w:themeColor="accent1" w:themeShade="80"/>
        </w:rPr>
        <w:t xml:space="preserve">the consumer / supplier relationship. Data deletion may </w:t>
      </w:r>
      <w:r w:rsidR="004416AB" w:rsidRPr="1F5E9E68">
        <w:rPr>
          <w:i/>
          <w:iCs/>
          <w:color w:val="1F3864" w:themeColor="accent1" w:themeShade="80"/>
        </w:rPr>
        <w:t xml:space="preserve">remove information from public view while </w:t>
      </w:r>
      <w:r w:rsidR="00AA191B" w:rsidRPr="1F5E9E68">
        <w:rPr>
          <w:i/>
          <w:iCs/>
          <w:color w:val="1F3864" w:themeColor="accent1" w:themeShade="80"/>
        </w:rPr>
        <w:t>platforms keep a private copy for their ongoing use</w:t>
      </w:r>
      <w:r w:rsidR="004416AB" w:rsidRPr="1F5E9E68">
        <w:rPr>
          <w:i/>
          <w:iCs/>
          <w:color w:val="1F3864" w:themeColor="accent1" w:themeShade="80"/>
        </w:rPr>
        <w:t>.</w:t>
      </w:r>
      <w:r w:rsidR="004416AB" w:rsidRPr="1F5E9E68">
        <w:rPr>
          <w:rStyle w:val="EndnoteReference"/>
          <w:i/>
          <w:iCs/>
          <w:color w:val="1F3864" w:themeColor="accent1" w:themeShade="80"/>
        </w:rPr>
        <w:endnoteReference w:id="62"/>
      </w:r>
    </w:p>
    <w:p w14:paraId="5623A169" w14:textId="2A5AF93A" w:rsidR="004416AB" w:rsidRPr="006F6114" w:rsidRDefault="003641C0" w:rsidP="006F6114">
      <w:pPr>
        <w:ind w:left="360"/>
        <w:rPr>
          <w:b/>
          <w:bCs/>
          <w:i/>
          <w:iCs/>
          <w:color w:val="1F3864" w:themeColor="accent1" w:themeShade="80"/>
          <w:highlight w:val="lightGray"/>
          <w:lang w:val="en-US" w:eastAsia="zh-CN"/>
        </w:rPr>
      </w:pPr>
      <w:r>
        <w:rPr>
          <w:b/>
          <w:bCs/>
          <w:i/>
          <w:iCs/>
          <w:color w:val="1F3864" w:themeColor="accent1" w:themeShade="80"/>
          <w:highlight w:val="lightGray"/>
          <w:lang w:val="en-US" w:eastAsia="zh-CN"/>
        </w:rPr>
        <w:t>“</w:t>
      </w:r>
      <w:r w:rsidR="004416AB" w:rsidRPr="006F6114">
        <w:rPr>
          <w:b/>
          <w:bCs/>
          <w:i/>
          <w:iCs/>
          <w:color w:val="1F3864" w:themeColor="accent1" w:themeShade="80"/>
          <w:highlight w:val="lightGray"/>
          <w:lang w:val="en-US" w:eastAsia="zh-CN"/>
        </w:rPr>
        <w:t>Use of Automated “Bot” Accounts</w:t>
      </w:r>
      <w:r>
        <w:rPr>
          <w:b/>
          <w:bCs/>
          <w:i/>
          <w:iCs/>
          <w:color w:val="1F3864" w:themeColor="accent1" w:themeShade="80"/>
          <w:highlight w:val="lightGray"/>
          <w:lang w:val="en-US" w:eastAsia="zh-CN"/>
        </w:rPr>
        <w:t>”</w:t>
      </w:r>
    </w:p>
    <w:p w14:paraId="2FF419A7" w14:textId="0D089BF5" w:rsidR="004416AB" w:rsidRPr="006F6114" w:rsidRDefault="00ED6908" w:rsidP="006F6114">
      <w:pPr>
        <w:ind w:left="360"/>
        <w:rPr>
          <w:i/>
          <w:iCs/>
          <w:color w:val="1F3864" w:themeColor="accent1" w:themeShade="80"/>
          <w:lang w:val="en-US" w:eastAsia="zh-CN"/>
        </w:rPr>
      </w:pPr>
      <w:r w:rsidRPr="008546ED">
        <w:rPr>
          <w:i/>
          <w:iCs/>
          <w:color w:val="1F3864" w:themeColor="accent1" w:themeShade="80"/>
          <w:highlight w:val="lightGray"/>
          <w:lang w:val="en-US" w:eastAsia="zh-CN"/>
        </w:rPr>
        <w:t>“You represent, warrant, and agree that you will not exploit the Service or collect any data incorporated in the Service in any automated manner through the use of bots, metaspiders, crawlers or any other automated means.”</w:t>
      </w:r>
    </w:p>
    <w:p w14:paraId="064D31AB" w14:textId="0F034417" w:rsidR="000953F8" w:rsidRDefault="000953F8" w:rsidP="006F6114">
      <w:pPr>
        <w:ind w:left="360"/>
        <w:rPr>
          <w:i/>
          <w:iCs/>
          <w:color w:val="1F3864" w:themeColor="accent1" w:themeShade="80"/>
        </w:rPr>
      </w:pPr>
      <w:r w:rsidRPr="000953F8">
        <w:rPr>
          <w:i/>
          <w:iCs/>
          <w:color w:val="1F3864" w:themeColor="accent1" w:themeShade="80"/>
        </w:rPr>
        <w:t xml:space="preserve">A </w:t>
      </w:r>
      <w:r w:rsidR="009E3535">
        <w:rPr>
          <w:i/>
          <w:iCs/>
          <w:color w:val="1F3864" w:themeColor="accent1" w:themeShade="80"/>
        </w:rPr>
        <w:t>robot or “</w:t>
      </w:r>
      <w:r w:rsidRPr="000953F8">
        <w:rPr>
          <w:i/>
          <w:iCs/>
          <w:color w:val="1F3864" w:themeColor="accent1" w:themeShade="80"/>
        </w:rPr>
        <w:t>bot</w:t>
      </w:r>
      <w:r w:rsidR="009E3535">
        <w:rPr>
          <w:i/>
          <w:iCs/>
          <w:color w:val="1F3864" w:themeColor="accent1" w:themeShade="80"/>
        </w:rPr>
        <w:t xml:space="preserve">” </w:t>
      </w:r>
      <w:r w:rsidRPr="000953F8">
        <w:rPr>
          <w:i/>
          <w:iCs/>
          <w:color w:val="1F3864" w:themeColor="accent1" w:themeShade="80"/>
        </w:rPr>
        <w:t>is the term commonly used for a</w:t>
      </w:r>
      <w:r w:rsidR="009E3535">
        <w:rPr>
          <w:i/>
          <w:iCs/>
          <w:color w:val="1F3864" w:themeColor="accent1" w:themeShade="80"/>
        </w:rPr>
        <w:t xml:space="preserve"> </w:t>
      </w:r>
      <w:r w:rsidRPr="000953F8">
        <w:rPr>
          <w:i/>
          <w:iCs/>
          <w:color w:val="1F3864" w:themeColor="accent1" w:themeShade="80"/>
        </w:rPr>
        <w:t xml:space="preserve">software agent that, once programmed and run, </w:t>
      </w:r>
      <w:r w:rsidR="009E3535">
        <w:rPr>
          <w:i/>
          <w:iCs/>
          <w:color w:val="1F3864" w:themeColor="accent1" w:themeShade="80"/>
        </w:rPr>
        <w:t>may perform certain automated tasks</w:t>
      </w:r>
      <w:r w:rsidRPr="000953F8">
        <w:rPr>
          <w:i/>
          <w:iCs/>
          <w:color w:val="1F3864" w:themeColor="accent1" w:themeShade="80"/>
        </w:rPr>
        <w:t>.</w:t>
      </w:r>
      <w:r>
        <w:rPr>
          <w:rStyle w:val="EndnoteReference"/>
          <w:i/>
          <w:iCs/>
          <w:color w:val="1F3864" w:themeColor="accent1" w:themeShade="80"/>
        </w:rPr>
        <w:endnoteReference w:id="63"/>
      </w:r>
      <w:r w:rsidRPr="000953F8">
        <w:rPr>
          <w:i/>
          <w:iCs/>
          <w:color w:val="1F3864" w:themeColor="accent1" w:themeShade="80"/>
        </w:rPr>
        <w:t xml:space="preserve"> Bots are typically used to automate tasks or processes that software can perform more quickly and efficiently than humans, particularly repetitive, iterative, </w:t>
      </w:r>
      <w:r w:rsidR="009E3535">
        <w:rPr>
          <w:i/>
          <w:iCs/>
          <w:color w:val="1F3864" w:themeColor="accent1" w:themeShade="80"/>
        </w:rPr>
        <w:t xml:space="preserve">or </w:t>
      </w:r>
      <w:r w:rsidRPr="000953F8">
        <w:rPr>
          <w:i/>
          <w:iCs/>
          <w:color w:val="1F3864" w:themeColor="accent1" w:themeShade="80"/>
        </w:rPr>
        <w:t>voluminous tasks</w:t>
      </w:r>
      <w:r>
        <w:rPr>
          <w:i/>
          <w:iCs/>
          <w:color w:val="1F3864" w:themeColor="accent1" w:themeShade="80"/>
        </w:rPr>
        <w:t>.</w:t>
      </w:r>
      <w:r>
        <w:rPr>
          <w:rStyle w:val="EndnoteReference"/>
          <w:i/>
          <w:iCs/>
          <w:color w:val="1F3864" w:themeColor="accent1" w:themeShade="80"/>
        </w:rPr>
        <w:endnoteReference w:id="64"/>
      </w:r>
    </w:p>
    <w:p w14:paraId="2172DAA2" w14:textId="3E28C696" w:rsidR="000953F8" w:rsidRDefault="000953F8" w:rsidP="006F6114">
      <w:pPr>
        <w:ind w:left="360"/>
        <w:rPr>
          <w:i/>
          <w:iCs/>
          <w:color w:val="1F3864" w:themeColor="accent1" w:themeShade="80"/>
        </w:rPr>
      </w:pPr>
      <w:r>
        <w:rPr>
          <w:i/>
          <w:iCs/>
          <w:color w:val="1F3864" w:themeColor="accent1" w:themeShade="80"/>
        </w:rPr>
        <w:t xml:space="preserve">Bots can be beneficial, for example, automating the comparison of prices </w:t>
      </w:r>
      <w:r w:rsidR="009E3535">
        <w:rPr>
          <w:i/>
          <w:iCs/>
          <w:color w:val="1F3864" w:themeColor="accent1" w:themeShade="80"/>
        </w:rPr>
        <w:t xml:space="preserve">from several suppliers, </w:t>
      </w:r>
      <w:r>
        <w:rPr>
          <w:i/>
          <w:iCs/>
          <w:color w:val="1F3864" w:themeColor="accent1" w:themeShade="80"/>
        </w:rPr>
        <w:t xml:space="preserve">or </w:t>
      </w:r>
      <w:r w:rsidR="009E3535">
        <w:rPr>
          <w:i/>
          <w:iCs/>
          <w:color w:val="1F3864" w:themeColor="accent1" w:themeShade="80"/>
        </w:rPr>
        <w:t>actively monitoring websites for changes and providing automatic notice.</w:t>
      </w:r>
    </w:p>
    <w:p w14:paraId="1948FF56" w14:textId="77777777" w:rsidR="006A37E7" w:rsidRDefault="006A37E7" w:rsidP="000953F8">
      <w:pPr>
        <w:ind w:left="360"/>
        <w:rPr>
          <w:i/>
          <w:iCs/>
          <w:color w:val="1F3864" w:themeColor="accent1" w:themeShade="80"/>
        </w:rPr>
      </w:pPr>
      <w:r>
        <w:rPr>
          <w:i/>
          <w:iCs/>
          <w:color w:val="1F3864" w:themeColor="accent1" w:themeShade="80"/>
        </w:rPr>
        <w:t>But b</w:t>
      </w:r>
      <w:r w:rsidR="000953F8">
        <w:rPr>
          <w:i/>
          <w:iCs/>
          <w:color w:val="1F3864" w:themeColor="accent1" w:themeShade="80"/>
        </w:rPr>
        <w:t xml:space="preserve">ots can also be harmful. </w:t>
      </w:r>
      <w:r w:rsidR="004416AB" w:rsidRPr="006F6114">
        <w:rPr>
          <w:i/>
          <w:iCs/>
          <w:color w:val="1F3864" w:themeColor="accent1" w:themeShade="80"/>
        </w:rPr>
        <w:t xml:space="preserve">Policies and terms on the use of automated content bots are important to counter-act the propagation of artificial content and misinformation. A recent UK study confirmed, for instance, that two-thirds of anti-vax propaganda online </w:t>
      </w:r>
      <w:r w:rsidR="003641C0">
        <w:rPr>
          <w:i/>
          <w:iCs/>
          <w:color w:val="1F3864" w:themeColor="accent1" w:themeShade="80"/>
        </w:rPr>
        <w:t xml:space="preserve">was </w:t>
      </w:r>
      <w:r w:rsidR="004416AB" w:rsidRPr="006F6114">
        <w:rPr>
          <w:i/>
          <w:iCs/>
          <w:color w:val="1F3864" w:themeColor="accent1" w:themeShade="80"/>
        </w:rPr>
        <w:t>created by just 12 influencers – most of whom were based in the United States.</w:t>
      </w:r>
      <w:r w:rsidR="004416AB" w:rsidRPr="006F6114">
        <w:rPr>
          <w:rStyle w:val="EndnoteReference"/>
          <w:i/>
          <w:iCs/>
          <w:color w:val="1F3864" w:themeColor="accent1" w:themeShade="80"/>
        </w:rPr>
        <w:endnoteReference w:id="65"/>
      </w:r>
      <w:r w:rsidR="004416AB" w:rsidRPr="006F6114">
        <w:rPr>
          <w:i/>
          <w:iCs/>
          <w:color w:val="1F3864" w:themeColor="accent1" w:themeShade="80"/>
        </w:rPr>
        <w:t xml:space="preserve"> Meanwhile Twitter recently deactivated 70 million bot accounts masquerading as real people to propel political narratives and misinformation campaigns.</w:t>
      </w:r>
      <w:r w:rsidR="004416AB" w:rsidRPr="006F6114">
        <w:rPr>
          <w:rStyle w:val="EndnoteReference"/>
          <w:i/>
          <w:iCs/>
          <w:color w:val="1F3864" w:themeColor="accent1" w:themeShade="80"/>
        </w:rPr>
        <w:endnoteReference w:id="66"/>
      </w:r>
    </w:p>
    <w:p w14:paraId="505C4313" w14:textId="1E53CEFD" w:rsidR="006A37E7" w:rsidRDefault="004416AB" w:rsidP="000953F8">
      <w:pPr>
        <w:ind w:left="360"/>
        <w:rPr>
          <w:i/>
          <w:iCs/>
          <w:color w:val="1F3864" w:themeColor="accent1" w:themeShade="80"/>
        </w:rPr>
      </w:pPr>
      <w:r w:rsidRPr="006F6114">
        <w:rPr>
          <w:i/>
          <w:iCs/>
          <w:color w:val="1F3864" w:themeColor="accent1" w:themeShade="80"/>
        </w:rPr>
        <w:t>While laudable, the efficacy of these terms is questioned. Litigation over the purchase of Twitter for instance revealed that the problem is an order of magnitude larger than earlier disclosed, and endlessly ongoing.</w:t>
      </w:r>
      <w:r w:rsidRPr="006F6114">
        <w:rPr>
          <w:rStyle w:val="EndnoteReference"/>
          <w:i/>
          <w:iCs/>
          <w:color w:val="1F3864" w:themeColor="accent1" w:themeShade="80"/>
        </w:rPr>
        <w:endnoteReference w:id="67"/>
      </w:r>
    </w:p>
    <w:p w14:paraId="4288F3B5" w14:textId="1038703E" w:rsidR="004416AB" w:rsidRPr="006F6114" w:rsidRDefault="004416AB" w:rsidP="000953F8">
      <w:pPr>
        <w:ind w:left="360"/>
        <w:rPr>
          <w:i/>
          <w:iCs/>
          <w:color w:val="1F3864" w:themeColor="accent1" w:themeShade="80"/>
        </w:rPr>
      </w:pPr>
      <w:r w:rsidRPr="006F6114">
        <w:rPr>
          <w:i/>
          <w:iCs/>
          <w:color w:val="1F3864" w:themeColor="accent1" w:themeShade="80"/>
        </w:rPr>
        <w:t>The policy can also be used to inhibit actions that are in the public interest, such as academics studying platforms and more transparently reporting on the issue.</w:t>
      </w:r>
      <w:r w:rsidRPr="006F6114">
        <w:rPr>
          <w:rStyle w:val="EndnoteReference"/>
          <w:i/>
          <w:iCs/>
          <w:color w:val="1F3864" w:themeColor="accent1" w:themeShade="80"/>
        </w:rPr>
        <w:endnoteReference w:id="68"/>
      </w:r>
      <w:r w:rsidRPr="006F6114">
        <w:rPr>
          <w:i/>
          <w:iCs/>
          <w:color w:val="1F3864" w:themeColor="accent1" w:themeShade="80"/>
        </w:rPr>
        <w:t xml:space="preserve"> Consumers, meanwhile, may be routinely consuming deceptive content. California has taken steps to address this with a bot labeling law coming into force in 2023, but critics are wary of how effective it will be.</w:t>
      </w:r>
      <w:r w:rsidRPr="006F6114">
        <w:rPr>
          <w:rStyle w:val="EndnoteReference"/>
          <w:i/>
          <w:iCs/>
          <w:color w:val="1F3864" w:themeColor="accent1" w:themeShade="80"/>
        </w:rPr>
        <w:endnoteReference w:id="69"/>
      </w:r>
    </w:p>
    <w:p w14:paraId="106B18F2" w14:textId="00420BFF" w:rsidR="004416AB" w:rsidRPr="006F6114" w:rsidRDefault="003641C0" w:rsidP="006F6114">
      <w:pPr>
        <w:ind w:left="360"/>
        <w:jc w:val="both"/>
        <w:rPr>
          <w:rFonts w:cstheme="minorHAnsi"/>
          <w:b/>
          <w:bCs/>
          <w:i/>
          <w:iCs/>
          <w:color w:val="1F3864" w:themeColor="accent1" w:themeShade="80"/>
          <w:highlight w:val="lightGray"/>
        </w:rPr>
      </w:pPr>
      <w:r>
        <w:rPr>
          <w:rFonts w:cstheme="minorHAnsi"/>
          <w:b/>
          <w:bCs/>
          <w:i/>
          <w:iCs/>
          <w:color w:val="1F3864" w:themeColor="accent1" w:themeShade="80"/>
          <w:highlight w:val="lightGray"/>
        </w:rPr>
        <w:t>“</w:t>
      </w:r>
      <w:r w:rsidR="004416AB" w:rsidRPr="006F6114">
        <w:rPr>
          <w:rFonts w:cstheme="minorHAnsi"/>
          <w:b/>
          <w:bCs/>
          <w:i/>
          <w:iCs/>
          <w:color w:val="1F3864" w:themeColor="accent1" w:themeShade="80"/>
          <w:highlight w:val="lightGray"/>
        </w:rPr>
        <w:t>Governing Law and Dispute Resolution</w:t>
      </w:r>
      <w:r>
        <w:rPr>
          <w:rFonts w:cstheme="minorHAnsi"/>
          <w:b/>
          <w:bCs/>
          <w:i/>
          <w:iCs/>
          <w:color w:val="1F3864" w:themeColor="accent1" w:themeShade="80"/>
          <w:highlight w:val="lightGray"/>
        </w:rPr>
        <w:t>”</w:t>
      </w:r>
    </w:p>
    <w:p w14:paraId="77A8C3EB" w14:textId="115F9C6F" w:rsidR="004416AB" w:rsidRPr="006F6114" w:rsidRDefault="003641C0" w:rsidP="006F6114">
      <w:pPr>
        <w:ind w:left="360"/>
        <w:jc w:val="both"/>
        <w:rPr>
          <w:rFonts w:cstheme="minorHAnsi"/>
          <w:i/>
          <w:iCs/>
          <w:color w:val="1F3864" w:themeColor="accent1" w:themeShade="80"/>
        </w:rPr>
      </w:pPr>
      <w:r>
        <w:rPr>
          <w:rFonts w:cstheme="minorHAnsi"/>
          <w:i/>
          <w:iCs/>
          <w:color w:val="1F3864" w:themeColor="accent1" w:themeShade="80"/>
          <w:highlight w:val="lightGray"/>
        </w:rPr>
        <w:t>“</w:t>
      </w:r>
      <w:r w:rsidR="004416AB" w:rsidRPr="006F6114">
        <w:rPr>
          <w:rFonts w:cstheme="minorHAnsi"/>
          <w:i/>
          <w:iCs/>
          <w:color w:val="1F3864" w:themeColor="accent1" w:themeShade="80"/>
          <w:highlight w:val="lightGray"/>
        </w:rPr>
        <w:t>Except to the extent expressly provided in this agreement, you agree to be governed by the laws of the State of California, excluding its conflicts of law provisions. You and the business agree to submit to the personal and exclusive jurisdiction of the courts located in California to resolve any dispute or claim arising from this Agreement.</w:t>
      </w:r>
      <w:r>
        <w:rPr>
          <w:rFonts w:cstheme="minorHAnsi"/>
          <w:i/>
          <w:iCs/>
          <w:color w:val="1F3864" w:themeColor="accent1" w:themeShade="80"/>
        </w:rPr>
        <w:t>”</w:t>
      </w:r>
    </w:p>
    <w:p w14:paraId="0BB8D0B8" w14:textId="05DE81AA" w:rsidR="006F6114" w:rsidRPr="006F6114" w:rsidRDefault="004416AB" w:rsidP="009955F6">
      <w:pPr>
        <w:ind w:left="360"/>
        <w:jc w:val="both"/>
        <w:rPr>
          <w:rFonts w:cstheme="minorHAnsi"/>
          <w:i/>
          <w:iCs/>
          <w:color w:val="1F3864" w:themeColor="accent1" w:themeShade="80"/>
        </w:rPr>
      </w:pPr>
      <w:r w:rsidRPr="006F6114">
        <w:rPr>
          <w:rFonts w:cstheme="minorHAnsi"/>
          <w:i/>
          <w:iCs/>
          <w:color w:val="1F3864" w:themeColor="accent1" w:themeShade="80"/>
        </w:rPr>
        <w:lastRenderedPageBreak/>
        <w:t>Terms like this can either assert or make it appear that disputes are resolved in foreign jurisdictions. Whether this is true or not, critics highlight that the term can mislead consumers and dissuade them from ever raising a dispute given perceived costs, complexity, and risk. In Canada</w:t>
      </w:r>
      <w:r w:rsidR="003641C0">
        <w:rPr>
          <w:rFonts w:cstheme="minorHAnsi"/>
          <w:i/>
          <w:iCs/>
          <w:color w:val="1F3864" w:themeColor="accent1" w:themeShade="80"/>
        </w:rPr>
        <w:t>,</w:t>
      </w:r>
      <w:r w:rsidRPr="006F6114">
        <w:rPr>
          <w:rFonts w:cstheme="minorHAnsi"/>
          <w:i/>
          <w:iCs/>
          <w:color w:val="1F3864" w:themeColor="accent1" w:themeShade="80"/>
        </w:rPr>
        <w:t xml:space="preserve"> gig economy platforms </w:t>
      </w:r>
      <w:r w:rsidR="003641C0">
        <w:rPr>
          <w:rFonts w:cstheme="minorHAnsi"/>
          <w:i/>
          <w:iCs/>
          <w:color w:val="1F3864" w:themeColor="accent1" w:themeShade="80"/>
        </w:rPr>
        <w:t xml:space="preserve">have used </w:t>
      </w:r>
      <w:r w:rsidRPr="006F6114">
        <w:rPr>
          <w:rFonts w:cstheme="minorHAnsi"/>
          <w:i/>
          <w:iCs/>
          <w:color w:val="1F3864" w:themeColor="accent1" w:themeShade="80"/>
        </w:rPr>
        <w:t>their ToS to define the employment status of workers as outside the ambit of employment and labour laws</w:t>
      </w:r>
      <w:r w:rsidR="003641C0">
        <w:rPr>
          <w:rFonts w:cstheme="minorHAnsi"/>
          <w:i/>
          <w:iCs/>
          <w:color w:val="1F3864" w:themeColor="accent1" w:themeShade="80"/>
        </w:rPr>
        <w:t xml:space="preserve">.  Similarly, </w:t>
      </w:r>
      <w:r w:rsidRPr="006F6114">
        <w:rPr>
          <w:rFonts w:cstheme="minorHAnsi"/>
          <w:i/>
          <w:iCs/>
          <w:color w:val="1F3864" w:themeColor="accent1" w:themeShade="80"/>
        </w:rPr>
        <w:t xml:space="preserve">Facebook sought to exempt itself from privacy legislation in British Columbia. </w:t>
      </w:r>
      <w:r w:rsidR="003641C0">
        <w:rPr>
          <w:rFonts w:cstheme="minorHAnsi"/>
          <w:i/>
          <w:iCs/>
          <w:color w:val="1F3864" w:themeColor="accent1" w:themeShade="80"/>
        </w:rPr>
        <w:t>In many cases, it appears actions like these are intentional</w:t>
      </w:r>
      <w:r w:rsidRPr="006F6114">
        <w:rPr>
          <w:rFonts w:cstheme="minorHAnsi"/>
          <w:i/>
          <w:iCs/>
          <w:color w:val="1F3864" w:themeColor="accent1" w:themeShade="80"/>
        </w:rPr>
        <w:t>.</w:t>
      </w:r>
      <w:r w:rsidRPr="006F6114">
        <w:rPr>
          <w:rStyle w:val="EndnoteReference"/>
          <w:rFonts w:cstheme="minorHAnsi"/>
          <w:i/>
          <w:iCs/>
          <w:color w:val="1F3864" w:themeColor="accent1" w:themeShade="80"/>
        </w:rPr>
        <w:endnoteReference w:id="70"/>
      </w:r>
      <w:r w:rsidRPr="006F6114">
        <w:rPr>
          <w:rFonts w:cstheme="minorHAnsi"/>
          <w:i/>
          <w:iCs/>
          <w:color w:val="1F3864" w:themeColor="accent1" w:themeShade="80"/>
        </w:rPr>
        <w:t xml:space="preserve"> </w:t>
      </w:r>
    </w:p>
    <w:p w14:paraId="29BC6C6F" w14:textId="70F92BBC" w:rsidR="004416AB" w:rsidRPr="006F6114" w:rsidRDefault="003641C0" w:rsidP="006F6114">
      <w:pPr>
        <w:ind w:left="360"/>
        <w:jc w:val="both"/>
        <w:rPr>
          <w:rFonts w:cstheme="minorHAnsi"/>
          <w:b/>
          <w:bCs/>
          <w:i/>
          <w:iCs/>
          <w:color w:val="1F3864" w:themeColor="accent1" w:themeShade="80"/>
          <w:highlight w:val="lightGray"/>
        </w:rPr>
      </w:pPr>
      <w:r>
        <w:rPr>
          <w:rFonts w:cstheme="minorHAnsi"/>
          <w:b/>
          <w:bCs/>
          <w:i/>
          <w:iCs/>
          <w:color w:val="1F3864" w:themeColor="accent1" w:themeShade="80"/>
          <w:highlight w:val="lightGray"/>
        </w:rPr>
        <w:t>“</w:t>
      </w:r>
      <w:r w:rsidR="004416AB" w:rsidRPr="006F6114">
        <w:rPr>
          <w:rFonts w:cstheme="minorHAnsi"/>
          <w:b/>
          <w:bCs/>
          <w:i/>
          <w:iCs/>
          <w:color w:val="1F3864" w:themeColor="accent1" w:themeShade="80"/>
          <w:highlight w:val="lightGray"/>
        </w:rPr>
        <w:t>Contract Changes</w:t>
      </w:r>
      <w:r>
        <w:rPr>
          <w:rFonts w:cstheme="minorHAnsi"/>
          <w:b/>
          <w:bCs/>
          <w:i/>
          <w:iCs/>
          <w:color w:val="1F3864" w:themeColor="accent1" w:themeShade="80"/>
          <w:highlight w:val="lightGray"/>
        </w:rPr>
        <w:t>”</w:t>
      </w:r>
    </w:p>
    <w:p w14:paraId="3C98A01D" w14:textId="40BD8E0D" w:rsidR="004416AB" w:rsidRPr="006F6114" w:rsidRDefault="003641C0" w:rsidP="006F6114">
      <w:pPr>
        <w:ind w:left="360"/>
        <w:jc w:val="both"/>
        <w:rPr>
          <w:rFonts w:cstheme="minorHAnsi"/>
          <w:i/>
          <w:iCs/>
          <w:color w:val="1F3864" w:themeColor="accent1" w:themeShade="80"/>
        </w:rPr>
      </w:pPr>
      <w:r>
        <w:rPr>
          <w:rFonts w:cstheme="minorHAnsi"/>
          <w:i/>
          <w:iCs/>
          <w:color w:val="1F3864" w:themeColor="accent1" w:themeShade="80"/>
          <w:highlight w:val="lightGray"/>
        </w:rPr>
        <w:t>“</w:t>
      </w:r>
      <w:r w:rsidR="004416AB" w:rsidRPr="006F6114">
        <w:rPr>
          <w:rFonts w:cstheme="minorHAnsi"/>
          <w:i/>
          <w:iCs/>
          <w:color w:val="1F3864" w:themeColor="accent1" w:themeShade="80"/>
          <w:highlight w:val="lightGray"/>
        </w:rPr>
        <w:t>The business reserves the right at any time to modify this agreement and to add new or additional terms or conditions on your use of the services. Such modifications and additional terms and conditions will be effective immediately and incorporated into this agreement. Your continued use of the Services will be deemed acceptance thereof.</w:t>
      </w:r>
      <w:r>
        <w:rPr>
          <w:rFonts w:cstheme="minorHAnsi"/>
          <w:i/>
          <w:iCs/>
          <w:color w:val="1F3864" w:themeColor="accent1" w:themeShade="80"/>
        </w:rPr>
        <w:t>”</w:t>
      </w:r>
    </w:p>
    <w:p w14:paraId="46433E71" w14:textId="4421164C" w:rsidR="004416AB" w:rsidRPr="006F6114" w:rsidRDefault="004416AB" w:rsidP="006F6114">
      <w:pPr>
        <w:ind w:left="360"/>
        <w:jc w:val="both"/>
        <w:rPr>
          <w:rFonts w:cstheme="minorHAnsi"/>
          <w:i/>
          <w:iCs/>
          <w:color w:val="1F3864" w:themeColor="accent1" w:themeShade="80"/>
        </w:rPr>
      </w:pPr>
      <w:r w:rsidRPr="006F6114">
        <w:rPr>
          <w:rFonts w:cstheme="minorHAnsi"/>
          <w:i/>
          <w:iCs/>
          <w:color w:val="1F3864" w:themeColor="accent1" w:themeShade="80"/>
        </w:rPr>
        <w:t xml:space="preserve">Terms like this not only assert the right to unilaterally change any part of the contract but to do so without any notice and plain-language summary provided to the consumer. Consumers are considered to consent by simply continuing to use the service as usual while they may be wholly ignorant of any changes to the ToS. </w:t>
      </w:r>
      <w:r w:rsidR="003641C0">
        <w:rPr>
          <w:rFonts w:cstheme="minorHAnsi"/>
          <w:i/>
          <w:iCs/>
          <w:color w:val="1F3864" w:themeColor="accent1" w:themeShade="80"/>
        </w:rPr>
        <w:t xml:space="preserve">This </w:t>
      </w:r>
      <w:r w:rsidRPr="006F6114">
        <w:rPr>
          <w:rFonts w:cstheme="minorHAnsi"/>
          <w:i/>
          <w:iCs/>
          <w:color w:val="1F3864" w:themeColor="accent1" w:themeShade="80"/>
        </w:rPr>
        <w:t xml:space="preserve">can trigger consumer backlash and reputational risk </w:t>
      </w:r>
      <w:r w:rsidR="00921218">
        <w:rPr>
          <w:rFonts w:cstheme="minorHAnsi"/>
          <w:i/>
          <w:iCs/>
          <w:color w:val="1F3864" w:themeColor="accent1" w:themeShade="80"/>
        </w:rPr>
        <w:t xml:space="preserve">to businesses </w:t>
      </w:r>
      <w:r w:rsidRPr="006F6114">
        <w:rPr>
          <w:rFonts w:cstheme="minorHAnsi"/>
          <w:i/>
          <w:iCs/>
          <w:color w:val="1F3864" w:themeColor="accent1" w:themeShade="80"/>
        </w:rPr>
        <w:t>where consumers discover and object to such terms.</w:t>
      </w:r>
    </w:p>
    <w:p w14:paraId="1CBF60F3" w14:textId="3864D27C" w:rsidR="004416AB" w:rsidRPr="006F6114" w:rsidRDefault="00921218" w:rsidP="006F6114">
      <w:pPr>
        <w:ind w:left="360"/>
        <w:rPr>
          <w:b/>
          <w:bCs/>
          <w:i/>
          <w:iCs/>
          <w:color w:val="1F3864" w:themeColor="accent1" w:themeShade="80"/>
          <w:highlight w:val="lightGray"/>
        </w:rPr>
      </w:pPr>
      <w:r>
        <w:rPr>
          <w:b/>
          <w:bCs/>
          <w:i/>
          <w:iCs/>
          <w:color w:val="1F3864" w:themeColor="accent1" w:themeShade="80"/>
          <w:highlight w:val="lightGray"/>
        </w:rPr>
        <w:t>“</w:t>
      </w:r>
      <w:r w:rsidR="004416AB" w:rsidRPr="006F6114">
        <w:rPr>
          <w:b/>
          <w:bCs/>
          <w:i/>
          <w:iCs/>
          <w:color w:val="1F3864" w:themeColor="accent1" w:themeShade="80"/>
          <w:highlight w:val="lightGray"/>
        </w:rPr>
        <w:t>Accounts, Passwords and Security</w:t>
      </w:r>
      <w:r>
        <w:rPr>
          <w:b/>
          <w:bCs/>
          <w:i/>
          <w:iCs/>
          <w:color w:val="1F3864" w:themeColor="accent1" w:themeShade="80"/>
          <w:highlight w:val="lightGray"/>
        </w:rPr>
        <w:t>”</w:t>
      </w:r>
    </w:p>
    <w:p w14:paraId="74F71354" w14:textId="123942C0" w:rsidR="004416AB" w:rsidRPr="006F6114" w:rsidRDefault="00921218" w:rsidP="006F6114">
      <w:pPr>
        <w:ind w:left="360"/>
        <w:jc w:val="both"/>
        <w:rPr>
          <w:rFonts w:cstheme="minorHAnsi"/>
          <w:i/>
          <w:iCs/>
          <w:color w:val="1F3864" w:themeColor="accent1" w:themeShade="80"/>
          <w:lang w:val="en-US" w:eastAsia="zh-CN"/>
        </w:rPr>
      </w:pPr>
      <w:r>
        <w:rPr>
          <w:rFonts w:cstheme="minorHAnsi"/>
          <w:i/>
          <w:iCs/>
          <w:color w:val="1F3864" w:themeColor="accent1" w:themeShade="80"/>
          <w:highlight w:val="lightGray"/>
          <w:lang w:val="en-US" w:eastAsia="zh-CN"/>
        </w:rPr>
        <w:t>“</w:t>
      </w:r>
      <w:r w:rsidR="004416AB" w:rsidRPr="006F6114">
        <w:rPr>
          <w:rFonts w:cstheme="minorHAnsi"/>
          <w:i/>
          <w:iCs/>
          <w:color w:val="1F3864" w:themeColor="accent1" w:themeShade="80"/>
          <w:highlight w:val="lightGray"/>
          <w:lang w:val="en-US" w:eastAsia="zh-CN"/>
        </w:rPr>
        <w:t>User might need to open an account and is responsible for maintaining the confidentiality of the password. The business is not liable for any losses if the user does not do so. Users agree to be governed by the business’ privacy policy and should know that nothing is ever totally secure on internet even if the transaction claims to be encrypted.</w:t>
      </w:r>
      <w:r>
        <w:rPr>
          <w:rFonts w:cstheme="minorHAnsi"/>
          <w:i/>
          <w:iCs/>
          <w:color w:val="1F3864" w:themeColor="accent1" w:themeShade="80"/>
          <w:lang w:val="en-US" w:eastAsia="zh-CN"/>
        </w:rPr>
        <w:t>”</w:t>
      </w:r>
    </w:p>
    <w:p w14:paraId="45AD818A" w14:textId="44613CA6" w:rsidR="004416AB" w:rsidRPr="006F6114" w:rsidRDefault="005B0CCE" w:rsidP="1F5E9E68">
      <w:pPr>
        <w:ind w:left="360"/>
        <w:rPr>
          <w:i/>
          <w:iCs/>
          <w:color w:val="1F3864" w:themeColor="accent1" w:themeShade="80"/>
        </w:rPr>
      </w:pPr>
      <w:r>
        <w:rPr>
          <w:i/>
          <w:iCs/>
          <w:color w:val="1F3864" w:themeColor="accent1" w:themeShade="80"/>
        </w:rPr>
        <w:t>Terms like this suggest that a user is responsible for</w:t>
      </w:r>
      <w:r w:rsidR="00270396">
        <w:rPr>
          <w:i/>
          <w:iCs/>
          <w:color w:val="1F3864" w:themeColor="accent1" w:themeShade="80"/>
        </w:rPr>
        <w:t xml:space="preserve"> not only the integrity of account passwords but also accept any losses from using the system, even where </w:t>
      </w:r>
      <w:r w:rsidR="006947CE">
        <w:rPr>
          <w:i/>
          <w:iCs/>
          <w:color w:val="1F3864" w:themeColor="accent1" w:themeShade="80"/>
        </w:rPr>
        <w:t>the system</w:t>
      </w:r>
      <w:r w:rsidR="00270396">
        <w:rPr>
          <w:i/>
          <w:iCs/>
          <w:color w:val="1F3864" w:themeColor="accent1" w:themeShade="80"/>
        </w:rPr>
        <w:t xml:space="preserve"> “claims” to be encrypted.</w:t>
      </w:r>
      <w:r>
        <w:rPr>
          <w:i/>
          <w:iCs/>
          <w:color w:val="1F3864" w:themeColor="accent1" w:themeShade="80"/>
        </w:rPr>
        <w:t xml:space="preserve"> </w:t>
      </w:r>
      <w:r w:rsidR="004416AB" w:rsidRPr="1F5E9E68">
        <w:rPr>
          <w:i/>
          <w:iCs/>
          <w:color w:val="1F3864" w:themeColor="accent1" w:themeShade="80"/>
        </w:rPr>
        <w:t>Businesses are responsible for creating security systems that can</w:t>
      </w:r>
      <w:r w:rsidR="00921218">
        <w:rPr>
          <w:i/>
          <w:iCs/>
          <w:color w:val="1F3864" w:themeColor="accent1" w:themeShade="80"/>
        </w:rPr>
        <w:t>not</w:t>
      </w:r>
      <w:r w:rsidR="004416AB" w:rsidRPr="1F5E9E68">
        <w:rPr>
          <w:i/>
          <w:iCs/>
          <w:color w:val="1F3864" w:themeColor="accent1" w:themeShade="80"/>
        </w:rPr>
        <w:t xml:space="preserve"> be breached through phishing, hacking, and other techniques that the user has little control over. Any los</w:t>
      </w:r>
      <w:r w:rsidR="3BB55CAF" w:rsidRPr="1F5E9E68">
        <w:rPr>
          <w:i/>
          <w:iCs/>
          <w:color w:val="1F3864" w:themeColor="accent1" w:themeShade="80"/>
        </w:rPr>
        <w:t>s</w:t>
      </w:r>
      <w:r w:rsidR="004416AB" w:rsidRPr="1F5E9E68">
        <w:rPr>
          <w:i/>
          <w:iCs/>
          <w:color w:val="1F3864" w:themeColor="accent1" w:themeShade="80"/>
        </w:rPr>
        <w:t xml:space="preserve">es, </w:t>
      </w:r>
      <w:r w:rsidR="00921218" w:rsidRPr="1F5E9E68">
        <w:rPr>
          <w:i/>
          <w:iCs/>
          <w:color w:val="1F3864" w:themeColor="accent1" w:themeShade="80"/>
        </w:rPr>
        <w:t>abuses,</w:t>
      </w:r>
      <w:r w:rsidR="004416AB" w:rsidRPr="1F5E9E68">
        <w:rPr>
          <w:i/>
          <w:iCs/>
          <w:color w:val="1F3864" w:themeColor="accent1" w:themeShade="80"/>
        </w:rPr>
        <w:t xml:space="preserve"> or exploitation a consumer faces may be deemed to be their own fault and waived by the same business that created the security system. Businesses may also bind consumers to privacy policies. These are often referenced as separate documents (requiring further clicking or downloading to read) and themselves can be thousands of words long. One </w:t>
      </w:r>
      <w:r w:rsidR="0A6F0620" w:rsidRPr="1F5E9E68">
        <w:rPr>
          <w:i/>
          <w:iCs/>
          <w:color w:val="1F3864" w:themeColor="accent1" w:themeShade="80"/>
        </w:rPr>
        <w:t xml:space="preserve">constellation of </w:t>
      </w:r>
      <w:r w:rsidR="004416AB" w:rsidRPr="1F5E9E68">
        <w:rPr>
          <w:i/>
          <w:iCs/>
          <w:color w:val="1F3864" w:themeColor="accent1" w:themeShade="80"/>
        </w:rPr>
        <w:t>ToS amounts to over 70,000 words, comparable in length to Harry Potter and the Sorcerer’s Stone.</w:t>
      </w:r>
      <w:r w:rsidR="004416AB" w:rsidRPr="00E670D1">
        <w:rPr>
          <w:rStyle w:val="EndnoteReference"/>
          <w:color w:val="1F3864" w:themeColor="accent1" w:themeShade="80"/>
        </w:rPr>
        <w:endnoteReference w:id="71"/>
      </w:r>
      <w:r w:rsidR="004416AB" w:rsidRPr="00E670D1">
        <w:rPr>
          <w:color w:val="1F3864" w:themeColor="accent1" w:themeShade="80"/>
        </w:rPr>
        <w:t xml:space="preserve"> </w:t>
      </w:r>
    </w:p>
    <w:p w14:paraId="2C4F6712" w14:textId="79158BF9" w:rsidR="004416AB" w:rsidRPr="006F6114" w:rsidRDefault="00921218" w:rsidP="006F6114">
      <w:pPr>
        <w:ind w:left="360"/>
        <w:rPr>
          <w:b/>
          <w:bCs/>
          <w:i/>
          <w:iCs/>
          <w:color w:val="1F3864" w:themeColor="accent1" w:themeShade="80"/>
          <w:highlight w:val="lightGray"/>
          <w:lang w:val="en-US" w:eastAsia="zh-CN"/>
        </w:rPr>
      </w:pPr>
      <w:r>
        <w:rPr>
          <w:b/>
          <w:bCs/>
          <w:i/>
          <w:iCs/>
          <w:color w:val="1F3864" w:themeColor="accent1" w:themeShade="80"/>
          <w:highlight w:val="lightGray"/>
          <w:lang w:val="en-US" w:eastAsia="zh-CN"/>
        </w:rPr>
        <w:t>“</w:t>
      </w:r>
      <w:r w:rsidR="004416AB" w:rsidRPr="006F6114">
        <w:rPr>
          <w:b/>
          <w:bCs/>
          <w:i/>
          <w:iCs/>
          <w:color w:val="1F3864" w:themeColor="accent1" w:themeShade="80"/>
          <w:highlight w:val="lightGray"/>
          <w:lang w:val="en-US" w:eastAsia="zh-CN"/>
        </w:rPr>
        <w:t>Terms of Content Services and Sales</w:t>
      </w:r>
      <w:r>
        <w:rPr>
          <w:b/>
          <w:bCs/>
          <w:i/>
          <w:iCs/>
          <w:color w:val="1F3864" w:themeColor="accent1" w:themeShade="80"/>
          <w:highlight w:val="lightGray"/>
          <w:lang w:val="en-US" w:eastAsia="zh-CN"/>
        </w:rPr>
        <w:t>”</w:t>
      </w:r>
    </w:p>
    <w:p w14:paraId="7D31F281" w14:textId="617DFC56" w:rsidR="004416AB" w:rsidRPr="006F6114" w:rsidRDefault="00921218" w:rsidP="006F6114">
      <w:pPr>
        <w:ind w:left="360"/>
        <w:rPr>
          <w:i/>
          <w:iCs/>
          <w:color w:val="1F3864" w:themeColor="accent1" w:themeShade="80"/>
          <w:lang w:val="en-US" w:eastAsia="zh-CN"/>
        </w:rPr>
      </w:pPr>
      <w:r>
        <w:rPr>
          <w:i/>
          <w:iCs/>
          <w:color w:val="1F3864" w:themeColor="accent1" w:themeShade="80"/>
          <w:highlight w:val="lightGray"/>
          <w:lang w:val="en-US" w:eastAsia="zh-CN"/>
        </w:rPr>
        <w:t>“</w:t>
      </w:r>
      <w:r w:rsidR="004416AB" w:rsidRPr="006F6114">
        <w:rPr>
          <w:i/>
          <w:iCs/>
          <w:color w:val="1F3864" w:themeColor="accent1" w:themeShade="80"/>
          <w:highlight w:val="lightGray"/>
          <w:lang w:val="en-US" w:eastAsia="zh-CN"/>
        </w:rPr>
        <w:t>This Agreement governs your use of the business’ services through which you can buy, get, license, rent or subscribe to content, Apps, and other in-app services (collectively, “Content”). It is your responsibility not to lose, destroy, or damage Content once downloaded. We encourage you to back up your Content regularly.</w:t>
      </w:r>
      <w:r>
        <w:rPr>
          <w:i/>
          <w:iCs/>
          <w:color w:val="1F3864" w:themeColor="accent1" w:themeShade="80"/>
          <w:lang w:val="en-US" w:eastAsia="zh-CN"/>
        </w:rPr>
        <w:t>”</w:t>
      </w:r>
    </w:p>
    <w:p w14:paraId="4BB537D6" w14:textId="3B134017" w:rsidR="006F6114" w:rsidRPr="006F6114" w:rsidRDefault="000301F6" w:rsidP="006F6114">
      <w:pPr>
        <w:ind w:left="360"/>
        <w:rPr>
          <w:i/>
          <w:iCs/>
          <w:color w:val="1F3864" w:themeColor="accent1" w:themeShade="80"/>
          <w:lang w:val="en-US" w:eastAsia="zh-CN"/>
        </w:rPr>
      </w:pPr>
      <w:r>
        <w:rPr>
          <w:i/>
          <w:iCs/>
          <w:color w:val="1F3864" w:themeColor="accent1" w:themeShade="80"/>
          <w:lang w:val="en-US" w:eastAsia="zh-CN"/>
        </w:rPr>
        <w:t xml:space="preserve">Terms like this use common words with common meaning – but may obscure practices that consumers are unaware of. </w:t>
      </w:r>
      <w:r w:rsidR="004416AB" w:rsidRPr="006F6114">
        <w:rPr>
          <w:i/>
          <w:iCs/>
          <w:color w:val="1F3864" w:themeColor="accent1" w:themeShade="80"/>
          <w:lang w:val="en-US" w:eastAsia="zh-CN"/>
        </w:rPr>
        <w:t xml:space="preserve">For instance, litigation is taking place in which a content vendor is arguing that “buy” doesn’t mean “to own,” </w:t>
      </w:r>
      <w:r w:rsidR="00E670D1">
        <w:rPr>
          <w:i/>
          <w:iCs/>
          <w:color w:val="1F3864" w:themeColor="accent1" w:themeShade="80"/>
          <w:lang w:val="en-US" w:eastAsia="zh-CN"/>
        </w:rPr>
        <w:t xml:space="preserve">but </w:t>
      </w:r>
      <w:r w:rsidR="004416AB" w:rsidRPr="006F6114">
        <w:rPr>
          <w:i/>
          <w:iCs/>
          <w:color w:val="1F3864" w:themeColor="accent1" w:themeShade="80"/>
          <w:lang w:val="en-US" w:eastAsia="zh-CN"/>
        </w:rPr>
        <w:t xml:space="preserve">rather </w:t>
      </w:r>
      <w:r w:rsidR="00E670D1">
        <w:rPr>
          <w:i/>
          <w:iCs/>
          <w:color w:val="1F3864" w:themeColor="accent1" w:themeShade="80"/>
          <w:lang w:val="en-US" w:eastAsia="zh-CN"/>
        </w:rPr>
        <w:t xml:space="preserve">only means a right to </w:t>
      </w:r>
      <w:r w:rsidR="004416AB" w:rsidRPr="006F6114">
        <w:rPr>
          <w:i/>
          <w:iCs/>
          <w:color w:val="1F3864" w:themeColor="accent1" w:themeShade="80"/>
          <w:lang w:val="en-US" w:eastAsia="zh-CN"/>
        </w:rPr>
        <w:t xml:space="preserve">access “licensed” </w:t>
      </w:r>
      <w:r w:rsidR="00E670D1">
        <w:rPr>
          <w:i/>
          <w:iCs/>
          <w:color w:val="1F3864" w:themeColor="accent1" w:themeShade="80"/>
          <w:lang w:val="en-US" w:eastAsia="zh-CN"/>
        </w:rPr>
        <w:t xml:space="preserve">content that the corporation can </w:t>
      </w:r>
      <w:r w:rsidR="004416AB" w:rsidRPr="006F6114">
        <w:rPr>
          <w:i/>
          <w:iCs/>
          <w:color w:val="1F3864" w:themeColor="accent1" w:themeShade="80"/>
          <w:lang w:val="en-US" w:eastAsia="zh-CN"/>
        </w:rPr>
        <w:t>unilaterally rescind at any time. In one documented case, a consumer lost over $20,000 of purchased iTunes content.</w:t>
      </w:r>
      <w:r w:rsidR="00E670D1">
        <w:rPr>
          <w:rStyle w:val="EndnoteReference"/>
          <w:i/>
          <w:iCs/>
          <w:color w:val="1F3864" w:themeColor="accent1" w:themeShade="80"/>
          <w:lang w:val="en-US" w:eastAsia="zh-CN"/>
        </w:rPr>
        <w:endnoteReference w:id="72"/>
      </w:r>
      <w:r w:rsidR="004416AB" w:rsidRPr="006F6114">
        <w:rPr>
          <w:i/>
          <w:iCs/>
          <w:color w:val="1F3864" w:themeColor="accent1" w:themeShade="80"/>
          <w:lang w:val="en-US" w:eastAsia="zh-CN"/>
        </w:rPr>
        <w:t xml:space="preserve"> Back-ups may </w:t>
      </w:r>
      <w:r>
        <w:rPr>
          <w:i/>
          <w:iCs/>
          <w:color w:val="1F3864" w:themeColor="accent1" w:themeShade="80"/>
          <w:lang w:val="en-US" w:eastAsia="zh-CN"/>
        </w:rPr>
        <w:t>also be unreliable. Back-</w:t>
      </w:r>
      <w:r>
        <w:rPr>
          <w:i/>
          <w:iCs/>
          <w:color w:val="1F3864" w:themeColor="accent1" w:themeShade="80"/>
          <w:lang w:val="en-US" w:eastAsia="zh-CN"/>
        </w:rPr>
        <w:lastRenderedPageBreak/>
        <w:t>ups may also be</w:t>
      </w:r>
      <w:r w:rsidRPr="006F6114">
        <w:rPr>
          <w:i/>
          <w:iCs/>
          <w:color w:val="1F3864" w:themeColor="accent1" w:themeShade="80"/>
          <w:lang w:val="en-US" w:eastAsia="zh-CN"/>
        </w:rPr>
        <w:t xml:space="preserve"> </w:t>
      </w:r>
      <w:r w:rsidR="004416AB" w:rsidRPr="006F6114">
        <w:rPr>
          <w:i/>
          <w:iCs/>
          <w:color w:val="1F3864" w:themeColor="accent1" w:themeShade="80"/>
          <w:lang w:val="en-US" w:eastAsia="zh-CN"/>
        </w:rPr>
        <w:t>governed by “Digital Rights Management” that can still leave a file inaccessible if rights are revoked. Backups of content may require the user to keep the content on proprietary platforms and isn’t necessarily portable.</w:t>
      </w:r>
    </w:p>
    <w:p w14:paraId="202EB678" w14:textId="45175720" w:rsidR="004416AB" w:rsidRPr="006F6114" w:rsidRDefault="00921218" w:rsidP="006F6114">
      <w:pPr>
        <w:ind w:left="360"/>
        <w:rPr>
          <w:b/>
          <w:bCs/>
          <w:i/>
          <w:iCs/>
          <w:color w:val="1F3864" w:themeColor="accent1" w:themeShade="80"/>
          <w:highlight w:val="lightGray"/>
          <w:lang w:val="en-US" w:eastAsia="zh-CN"/>
        </w:rPr>
      </w:pPr>
      <w:r>
        <w:rPr>
          <w:b/>
          <w:bCs/>
          <w:i/>
          <w:iCs/>
          <w:color w:val="1F3864" w:themeColor="accent1" w:themeShade="80"/>
          <w:highlight w:val="lightGray"/>
          <w:lang w:val="en-US" w:eastAsia="zh-CN"/>
        </w:rPr>
        <w:t>“</w:t>
      </w:r>
      <w:r w:rsidR="004416AB" w:rsidRPr="006F6114">
        <w:rPr>
          <w:b/>
          <w:bCs/>
          <w:i/>
          <w:iCs/>
          <w:color w:val="1F3864" w:themeColor="accent1" w:themeShade="80"/>
          <w:highlight w:val="lightGray"/>
          <w:lang w:val="en-US" w:eastAsia="zh-CN"/>
        </w:rPr>
        <w:t>Research</w:t>
      </w:r>
      <w:r>
        <w:rPr>
          <w:b/>
          <w:bCs/>
          <w:i/>
          <w:iCs/>
          <w:color w:val="1F3864" w:themeColor="accent1" w:themeShade="80"/>
          <w:highlight w:val="lightGray"/>
          <w:lang w:val="en-US" w:eastAsia="zh-CN"/>
        </w:rPr>
        <w:t>”</w:t>
      </w:r>
    </w:p>
    <w:p w14:paraId="3B1AE054" w14:textId="414EDD78" w:rsidR="004416AB" w:rsidRPr="006F6114" w:rsidRDefault="00921218" w:rsidP="006F6114">
      <w:pPr>
        <w:ind w:left="360"/>
        <w:rPr>
          <w:i/>
          <w:iCs/>
          <w:color w:val="1F3864" w:themeColor="accent1" w:themeShade="80"/>
          <w:lang w:val="en-US" w:eastAsia="zh-CN"/>
        </w:rPr>
      </w:pPr>
      <w:r>
        <w:rPr>
          <w:i/>
          <w:iCs/>
          <w:color w:val="1F3864" w:themeColor="accent1" w:themeShade="80"/>
          <w:highlight w:val="lightGray"/>
          <w:lang w:val="en-US" w:eastAsia="zh-CN"/>
        </w:rPr>
        <w:t>“</w:t>
      </w:r>
      <w:r w:rsidR="004416AB" w:rsidRPr="1F5E9E68">
        <w:rPr>
          <w:i/>
          <w:iCs/>
          <w:color w:val="1F3864" w:themeColor="accent1" w:themeShade="80"/>
          <w:highlight w:val="lightGray"/>
          <w:lang w:val="en-US" w:eastAsia="zh-CN"/>
        </w:rPr>
        <w:t>We use platform data, including public feedback, to conduct research and development for our services in order to provide you and others with a better, more intuitive and personalized experience.</w:t>
      </w:r>
      <w:r>
        <w:rPr>
          <w:i/>
          <w:iCs/>
          <w:color w:val="1F3864" w:themeColor="accent1" w:themeShade="80"/>
          <w:lang w:val="en-US" w:eastAsia="zh-CN"/>
        </w:rPr>
        <w:t>”</w:t>
      </w:r>
    </w:p>
    <w:p w14:paraId="154C1157" w14:textId="417641F8" w:rsidR="5B023B9A" w:rsidRDefault="5B023B9A" w:rsidP="008546ED">
      <w:pPr>
        <w:ind w:left="360"/>
        <w:rPr>
          <w:i/>
          <w:iCs/>
          <w:color w:val="1F3864" w:themeColor="accent1" w:themeShade="80"/>
          <w:highlight w:val="lightGray"/>
        </w:rPr>
      </w:pPr>
      <w:r w:rsidRPr="008546ED">
        <w:rPr>
          <w:i/>
          <w:iCs/>
          <w:color w:val="1F3864" w:themeColor="accent1" w:themeShade="80"/>
        </w:rPr>
        <w:t xml:space="preserve">Product testing on live users can have potentially life-altering consequences and may occur without any notice to the consumer. Research ethicists recently noted how “tweaks to widely used </w:t>
      </w:r>
      <w:r w:rsidR="64488F81" w:rsidRPr="008546ED">
        <w:rPr>
          <w:i/>
          <w:iCs/>
          <w:color w:val="1F3864" w:themeColor="accent1" w:themeShade="80"/>
        </w:rPr>
        <w:t>algorithms</w:t>
      </w:r>
      <w:r w:rsidRPr="008546ED">
        <w:rPr>
          <w:i/>
          <w:iCs/>
          <w:color w:val="1F3864" w:themeColor="accent1" w:themeShade="80"/>
        </w:rPr>
        <w:t xml:space="preserve"> can become social engineering experiments” with one recent </w:t>
      </w:r>
      <w:r w:rsidR="52E6A37F" w:rsidRPr="008546ED">
        <w:rPr>
          <w:i/>
          <w:iCs/>
          <w:color w:val="1F3864" w:themeColor="accent1" w:themeShade="80"/>
        </w:rPr>
        <w:t>example “affecting job prospects in ways that are invisible” to the consumer.</w:t>
      </w:r>
      <w:r w:rsidR="00A279C5">
        <w:rPr>
          <w:rStyle w:val="EndnoteReference"/>
          <w:i/>
          <w:iCs/>
          <w:color w:val="1F3864" w:themeColor="accent1" w:themeShade="80"/>
        </w:rPr>
        <w:endnoteReference w:id="73"/>
      </w:r>
      <w:r>
        <w:br/>
      </w:r>
    </w:p>
    <w:p w14:paraId="3A1BF742" w14:textId="63808005" w:rsidR="004416AB" w:rsidRPr="006F6114" w:rsidRDefault="00921218" w:rsidP="006F6114">
      <w:pPr>
        <w:ind w:left="360"/>
        <w:jc w:val="both"/>
        <w:rPr>
          <w:rFonts w:cstheme="minorHAnsi"/>
          <w:b/>
          <w:bCs/>
          <w:i/>
          <w:iCs/>
          <w:color w:val="1F3864" w:themeColor="accent1" w:themeShade="80"/>
          <w:highlight w:val="lightGray"/>
        </w:rPr>
      </w:pPr>
      <w:r>
        <w:rPr>
          <w:rFonts w:cstheme="minorHAnsi"/>
          <w:b/>
          <w:bCs/>
          <w:i/>
          <w:iCs/>
          <w:color w:val="1F3864" w:themeColor="accent1" w:themeShade="80"/>
          <w:highlight w:val="lightGray"/>
        </w:rPr>
        <w:t>“</w:t>
      </w:r>
      <w:r w:rsidR="004416AB" w:rsidRPr="006F6114">
        <w:rPr>
          <w:rFonts w:cstheme="minorHAnsi"/>
          <w:b/>
          <w:bCs/>
          <w:i/>
          <w:iCs/>
          <w:color w:val="1F3864" w:themeColor="accent1" w:themeShade="80"/>
          <w:highlight w:val="lightGray"/>
        </w:rPr>
        <w:t>Product Pricing</w:t>
      </w:r>
      <w:r>
        <w:rPr>
          <w:rFonts w:cstheme="minorHAnsi"/>
          <w:b/>
          <w:bCs/>
          <w:i/>
          <w:iCs/>
          <w:color w:val="1F3864" w:themeColor="accent1" w:themeShade="80"/>
          <w:highlight w:val="lightGray"/>
        </w:rPr>
        <w:t>”</w:t>
      </w:r>
    </w:p>
    <w:p w14:paraId="5DE978E4" w14:textId="2E420602" w:rsidR="004416AB" w:rsidRPr="006F6114" w:rsidRDefault="00921218" w:rsidP="006F6114">
      <w:pPr>
        <w:ind w:left="360"/>
        <w:jc w:val="both"/>
        <w:rPr>
          <w:rFonts w:cstheme="minorHAnsi"/>
          <w:i/>
          <w:iCs/>
          <w:color w:val="1F3864" w:themeColor="accent1" w:themeShade="80"/>
        </w:rPr>
      </w:pPr>
      <w:r>
        <w:rPr>
          <w:rFonts w:cstheme="minorHAnsi"/>
          <w:i/>
          <w:iCs/>
          <w:color w:val="1F3864" w:themeColor="accent1" w:themeShade="80"/>
          <w:highlight w:val="lightGray"/>
        </w:rPr>
        <w:t>“</w:t>
      </w:r>
      <w:r w:rsidR="004416AB" w:rsidRPr="006F6114">
        <w:rPr>
          <w:rFonts w:cstheme="minorHAnsi"/>
          <w:i/>
          <w:iCs/>
          <w:color w:val="1F3864" w:themeColor="accent1" w:themeShade="80"/>
          <w:highlight w:val="lightGray"/>
        </w:rPr>
        <w:t>The business can change prices or offerings without notice and the products and services are governed by their respective ToS.</w:t>
      </w:r>
      <w:r>
        <w:rPr>
          <w:rFonts w:cstheme="minorHAnsi"/>
          <w:i/>
          <w:iCs/>
          <w:color w:val="1F3864" w:themeColor="accent1" w:themeShade="80"/>
        </w:rPr>
        <w:t>”</w:t>
      </w:r>
    </w:p>
    <w:p w14:paraId="60CF9B77" w14:textId="6C8E927C" w:rsidR="004416AB" w:rsidRPr="006F6114" w:rsidRDefault="00D275A5" w:rsidP="006F6114">
      <w:pPr>
        <w:ind w:left="360"/>
        <w:jc w:val="both"/>
        <w:rPr>
          <w:rFonts w:cstheme="minorHAnsi"/>
          <w:i/>
          <w:iCs/>
          <w:color w:val="1F3864" w:themeColor="accent1" w:themeShade="80"/>
        </w:rPr>
      </w:pPr>
      <w:r>
        <w:rPr>
          <w:rFonts w:cstheme="minorHAnsi"/>
          <w:i/>
          <w:iCs/>
          <w:color w:val="1F3864" w:themeColor="accent1" w:themeShade="80"/>
        </w:rPr>
        <w:t>Terms like this are reasonably understood to allow for natural variations in pricing</w:t>
      </w:r>
      <w:r w:rsidR="00683C7E">
        <w:rPr>
          <w:rFonts w:cstheme="minorHAnsi"/>
          <w:i/>
          <w:iCs/>
          <w:color w:val="1F3864" w:themeColor="accent1" w:themeShade="80"/>
        </w:rPr>
        <w:t xml:space="preserve"> from time to time</w:t>
      </w:r>
      <w:r>
        <w:rPr>
          <w:rFonts w:cstheme="minorHAnsi"/>
          <w:i/>
          <w:iCs/>
          <w:color w:val="1F3864" w:themeColor="accent1" w:themeShade="80"/>
        </w:rPr>
        <w:t>. The term may also be used to authorize practices consumers are less familiar with, such as “variable”</w:t>
      </w:r>
      <w:r w:rsidR="00966A91">
        <w:rPr>
          <w:rFonts w:cstheme="minorHAnsi"/>
          <w:i/>
          <w:iCs/>
          <w:color w:val="1F3864" w:themeColor="accent1" w:themeShade="80"/>
        </w:rPr>
        <w:t xml:space="preserve">, </w:t>
      </w:r>
      <w:r>
        <w:rPr>
          <w:rFonts w:cstheme="minorHAnsi"/>
          <w:i/>
          <w:iCs/>
          <w:color w:val="1F3864" w:themeColor="accent1" w:themeShade="80"/>
        </w:rPr>
        <w:t xml:space="preserve">“dynamic” </w:t>
      </w:r>
      <w:r w:rsidR="00966A91">
        <w:rPr>
          <w:rFonts w:cstheme="minorHAnsi"/>
          <w:i/>
          <w:iCs/>
          <w:color w:val="1F3864" w:themeColor="accent1" w:themeShade="80"/>
        </w:rPr>
        <w:t xml:space="preserve">or “differential” </w:t>
      </w:r>
      <w:r>
        <w:rPr>
          <w:rFonts w:cstheme="minorHAnsi"/>
          <w:i/>
          <w:iCs/>
          <w:color w:val="1F3864" w:themeColor="accent1" w:themeShade="80"/>
        </w:rPr>
        <w:t xml:space="preserve">pricing. These practices may rely on </w:t>
      </w:r>
      <w:r w:rsidR="00966A91">
        <w:rPr>
          <w:rFonts w:cstheme="minorHAnsi"/>
          <w:i/>
          <w:iCs/>
          <w:color w:val="1F3864" w:themeColor="accent1" w:themeShade="80"/>
        </w:rPr>
        <w:t xml:space="preserve">general </w:t>
      </w:r>
      <w:r>
        <w:rPr>
          <w:rFonts w:cstheme="minorHAnsi"/>
          <w:i/>
          <w:iCs/>
          <w:color w:val="1F3864" w:themeColor="accent1" w:themeShade="80"/>
        </w:rPr>
        <w:t>characteristics or a profile of a specific consumer to set pricing</w:t>
      </w:r>
      <w:r w:rsidR="00966A91">
        <w:rPr>
          <w:rFonts w:cstheme="minorHAnsi"/>
          <w:i/>
          <w:iCs/>
          <w:color w:val="1F3864" w:themeColor="accent1" w:themeShade="80"/>
        </w:rPr>
        <w:t>, often with the consumer unaware that the price they see online may be different than others</w:t>
      </w:r>
      <w:r>
        <w:rPr>
          <w:rFonts w:cstheme="minorHAnsi"/>
          <w:i/>
          <w:iCs/>
          <w:color w:val="1F3864" w:themeColor="accent1" w:themeShade="80"/>
        </w:rPr>
        <w:t>.</w:t>
      </w:r>
      <w:r w:rsidR="00966A91">
        <w:rPr>
          <w:rFonts w:cstheme="minorHAnsi"/>
          <w:i/>
          <w:iCs/>
          <w:color w:val="1F3864" w:themeColor="accent1" w:themeShade="80"/>
        </w:rPr>
        <w:t xml:space="preserve"> </w:t>
      </w:r>
      <w:r w:rsidR="004416AB" w:rsidRPr="006F6114">
        <w:rPr>
          <w:rFonts w:cstheme="minorHAnsi"/>
          <w:i/>
          <w:iCs/>
          <w:color w:val="1F3864" w:themeColor="accent1" w:themeShade="80"/>
        </w:rPr>
        <w:t xml:space="preserve">There are several published examples of practices related to live “variable pricing.” Marketplace sites typically use a data profile about a consumer to automatically adjust prices, for instance, charging </w:t>
      </w:r>
      <w:r w:rsidR="00966A91">
        <w:rPr>
          <w:rFonts w:cstheme="minorHAnsi"/>
          <w:i/>
          <w:iCs/>
          <w:color w:val="1F3864" w:themeColor="accent1" w:themeShade="80"/>
        </w:rPr>
        <w:t xml:space="preserve">lower prices to consumer tracked as previously visiting a discount website, or charging </w:t>
      </w:r>
      <w:r w:rsidR="004416AB" w:rsidRPr="006F6114">
        <w:rPr>
          <w:rFonts w:cstheme="minorHAnsi"/>
          <w:i/>
          <w:iCs/>
          <w:color w:val="1F3864" w:themeColor="accent1" w:themeShade="80"/>
        </w:rPr>
        <w:t>higher prices to consumers who reside in wealthier postal codes.</w:t>
      </w:r>
      <w:r w:rsidR="00966A91">
        <w:rPr>
          <w:rStyle w:val="EndnoteReference"/>
          <w:rFonts w:cstheme="minorHAnsi"/>
          <w:i/>
          <w:iCs/>
          <w:color w:val="1F3864" w:themeColor="accent1" w:themeShade="80"/>
        </w:rPr>
        <w:endnoteReference w:id="74"/>
      </w:r>
      <w:r w:rsidR="00054FA8">
        <w:rPr>
          <w:rFonts w:cstheme="minorHAnsi"/>
          <w:i/>
          <w:iCs/>
          <w:color w:val="1F3864" w:themeColor="accent1" w:themeShade="80"/>
        </w:rPr>
        <w:t xml:space="preserve"> Academics suggest that </w:t>
      </w:r>
      <w:r w:rsidR="00054FA8" w:rsidRPr="00054FA8">
        <w:rPr>
          <w:rFonts w:cstheme="minorHAnsi"/>
          <w:i/>
          <w:iCs/>
          <w:color w:val="1F3864" w:themeColor="accent1" w:themeShade="80"/>
        </w:rPr>
        <w:t xml:space="preserve">personalized and dynamic pricing </w:t>
      </w:r>
      <w:r w:rsidR="00054FA8">
        <w:rPr>
          <w:rFonts w:cstheme="minorHAnsi"/>
          <w:i/>
          <w:iCs/>
          <w:color w:val="1F3864" w:themeColor="accent1" w:themeShade="80"/>
        </w:rPr>
        <w:t>is</w:t>
      </w:r>
      <w:r w:rsidR="00054FA8" w:rsidRPr="00054FA8">
        <w:rPr>
          <w:rFonts w:cstheme="minorHAnsi"/>
          <w:i/>
          <w:iCs/>
          <w:color w:val="1F3864" w:themeColor="accent1" w:themeShade="80"/>
        </w:rPr>
        <w:t xml:space="preserve"> </w:t>
      </w:r>
      <w:r w:rsidR="00054FA8">
        <w:rPr>
          <w:rFonts w:cstheme="minorHAnsi"/>
          <w:i/>
          <w:iCs/>
          <w:color w:val="1F3864" w:themeColor="accent1" w:themeShade="80"/>
        </w:rPr>
        <w:t xml:space="preserve">market </w:t>
      </w:r>
      <w:r w:rsidR="00054FA8" w:rsidRPr="00054FA8">
        <w:rPr>
          <w:rFonts w:cstheme="minorHAnsi"/>
          <w:i/>
          <w:iCs/>
          <w:color w:val="1F3864" w:themeColor="accent1" w:themeShade="80"/>
        </w:rPr>
        <w:t>inefficient as well as arguably unfair</w:t>
      </w:r>
      <w:r w:rsidR="00054FA8">
        <w:rPr>
          <w:rFonts w:cstheme="minorHAnsi"/>
          <w:i/>
          <w:iCs/>
          <w:color w:val="1F3864" w:themeColor="accent1" w:themeShade="80"/>
        </w:rPr>
        <w:t>.</w:t>
      </w:r>
      <w:r w:rsidR="00054FA8">
        <w:rPr>
          <w:rStyle w:val="EndnoteReference"/>
          <w:rFonts w:cstheme="minorHAnsi"/>
          <w:i/>
          <w:iCs/>
          <w:color w:val="1F3864" w:themeColor="accent1" w:themeShade="80"/>
        </w:rPr>
        <w:endnoteReference w:id="75"/>
      </w:r>
      <w:r w:rsidR="00054FA8">
        <w:rPr>
          <w:rFonts w:cstheme="minorHAnsi"/>
          <w:i/>
          <w:iCs/>
          <w:color w:val="1F3864" w:themeColor="accent1" w:themeShade="80"/>
        </w:rPr>
        <w:t xml:space="preserve"> </w:t>
      </w:r>
      <w:r w:rsidR="00683C7E">
        <w:rPr>
          <w:rFonts w:cstheme="minorHAnsi"/>
          <w:i/>
          <w:iCs/>
          <w:color w:val="1F3864" w:themeColor="accent1" w:themeShade="80"/>
        </w:rPr>
        <w:br/>
      </w:r>
    </w:p>
    <w:p w14:paraId="4B4658ED" w14:textId="2B6E543A" w:rsidR="004416AB" w:rsidRPr="006F6114" w:rsidRDefault="00D275A5" w:rsidP="006F6114">
      <w:pPr>
        <w:ind w:left="360"/>
        <w:rPr>
          <w:b/>
          <w:bCs/>
          <w:i/>
          <w:iCs/>
          <w:color w:val="1F3864" w:themeColor="accent1" w:themeShade="80"/>
          <w:highlight w:val="lightGray"/>
        </w:rPr>
      </w:pPr>
      <w:r>
        <w:rPr>
          <w:b/>
          <w:bCs/>
          <w:i/>
          <w:iCs/>
          <w:color w:val="1F3864" w:themeColor="accent1" w:themeShade="80"/>
          <w:highlight w:val="lightGray"/>
        </w:rPr>
        <w:t>“</w:t>
      </w:r>
      <w:r w:rsidR="004416AB" w:rsidRPr="006F6114">
        <w:rPr>
          <w:b/>
          <w:bCs/>
          <w:i/>
          <w:iCs/>
          <w:color w:val="1F3864" w:themeColor="accent1" w:themeShade="80"/>
          <w:highlight w:val="lightGray"/>
        </w:rPr>
        <w:t>Disclaimers, Limitation of Liability, and Indemnity</w:t>
      </w:r>
      <w:r>
        <w:rPr>
          <w:b/>
          <w:bCs/>
          <w:i/>
          <w:iCs/>
          <w:color w:val="1F3864" w:themeColor="accent1" w:themeShade="80"/>
          <w:highlight w:val="lightGray"/>
        </w:rPr>
        <w:t>”</w:t>
      </w:r>
    </w:p>
    <w:p w14:paraId="64CE5316" w14:textId="6DFACC8B" w:rsidR="004416AB" w:rsidRPr="006F6114" w:rsidRDefault="00921218" w:rsidP="006F6114">
      <w:pPr>
        <w:ind w:left="360"/>
        <w:jc w:val="both"/>
        <w:rPr>
          <w:rFonts w:cstheme="minorHAnsi"/>
          <w:i/>
          <w:iCs/>
          <w:color w:val="1F3864" w:themeColor="accent1" w:themeShade="80"/>
        </w:rPr>
      </w:pPr>
      <w:r>
        <w:rPr>
          <w:rFonts w:cstheme="minorHAnsi"/>
          <w:i/>
          <w:iCs/>
          <w:color w:val="1F3864" w:themeColor="accent1" w:themeShade="80"/>
          <w:highlight w:val="lightGray"/>
          <w:lang w:val="en-US" w:eastAsia="zh-CN"/>
        </w:rPr>
        <w:t>“</w:t>
      </w:r>
      <w:r w:rsidR="004416AB" w:rsidRPr="006F6114">
        <w:rPr>
          <w:rFonts w:cstheme="minorHAnsi"/>
          <w:i/>
          <w:iCs/>
          <w:color w:val="1F3864" w:themeColor="accent1" w:themeShade="80"/>
          <w:highlight w:val="lightGray"/>
          <w:lang w:val="en-US" w:eastAsia="zh-CN"/>
        </w:rPr>
        <w:t>The business disclaims all responsibility of problems resulting from using the site. The business is not liable for anything unless prohibited by law and it details the extent of any liability.</w:t>
      </w:r>
      <w:r w:rsidR="004416AB" w:rsidRPr="006F6114">
        <w:rPr>
          <w:rFonts w:cstheme="minorHAnsi"/>
          <w:i/>
          <w:iCs/>
          <w:color w:val="1F3864" w:themeColor="accent1" w:themeShade="80"/>
          <w:highlight w:val="lightGray"/>
        </w:rPr>
        <w:t xml:space="preserve"> The business is indemnified against all third-party claims.</w:t>
      </w:r>
      <w:r>
        <w:rPr>
          <w:rFonts w:cstheme="minorHAnsi"/>
          <w:i/>
          <w:iCs/>
          <w:color w:val="1F3864" w:themeColor="accent1" w:themeShade="80"/>
        </w:rPr>
        <w:t>”</w:t>
      </w:r>
    </w:p>
    <w:p w14:paraId="5A566EC6" w14:textId="4CC3195A" w:rsidR="004416AB" w:rsidRPr="006F6114" w:rsidRDefault="004416AB" w:rsidP="1F5E9E68">
      <w:pPr>
        <w:ind w:left="360"/>
        <w:jc w:val="both"/>
        <w:rPr>
          <w:i/>
          <w:iCs/>
          <w:color w:val="1F3864" w:themeColor="accent1" w:themeShade="80"/>
          <w:lang w:val="en-US" w:eastAsia="zh-CN"/>
        </w:rPr>
      </w:pPr>
      <w:r w:rsidRPr="1F5E9E68">
        <w:rPr>
          <w:i/>
          <w:iCs/>
          <w:color w:val="1F3864" w:themeColor="accent1" w:themeShade="80"/>
          <w:lang w:val="en-US" w:eastAsia="zh-CN"/>
        </w:rPr>
        <w:t xml:space="preserve">These kinds of terms are criticized for broadly waiving consumer rights. </w:t>
      </w:r>
      <w:r w:rsidR="00921218">
        <w:rPr>
          <w:i/>
          <w:iCs/>
          <w:color w:val="1F3864" w:themeColor="accent1" w:themeShade="80"/>
          <w:lang w:val="en-US" w:eastAsia="zh-CN"/>
        </w:rPr>
        <w:t xml:space="preserve">These terms can also be </w:t>
      </w:r>
      <w:r w:rsidRPr="1F5E9E68">
        <w:rPr>
          <w:i/>
          <w:iCs/>
          <w:color w:val="1F3864" w:themeColor="accent1" w:themeShade="80"/>
          <w:lang w:val="en-US" w:eastAsia="zh-CN"/>
        </w:rPr>
        <w:t>used in the dispute resolution process to coerce consumers into accepting los</w:t>
      </w:r>
      <w:r w:rsidR="0D918F76" w:rsidRPr="1F5E9E68">
        <w:rPr>
          <w:i/>
          <w:iCs/>
          <w:color w:val="1F3864" w:themeColor="accent1" w:themeShade="80"/>
          <w:lang w:val="en-US" w:eastAsia="zh-CN"/>
        </w:rPr>
        <w:t>s</w:t>
      </w:r>
      <w:r w:rsidRPr="1F5E9E68">
        <w:rPr>
          <w:i/>
          <w:iCs/>
          <w:color w:val="1F3864" w:themeColor="accent1" w:themeShade="80"/>
          <w:lang w:val="en-US" w:eastAsia="zh-CN"/>
        </w:rPr>
        <w:t xml:space="preserve">es that </w:t>
      </w:r>
      <w:r w:rsidR="00921218">
        <w:rPr>
          <w:i/>
          <w:iCs/>
          <w:color w:val="1F3864" w:themeColor="accent1" w:themeShade="80"/>
          <w:lang w:val="en-US" w:eastAsia="zh-CN"/>
        </w:rPr>
        <w:t>they should not be responsible for</w:t>
      </w:r>
      <w:r w:rsidRPr="1F5E9E68">
        <w:rPr>
          <w:i/>
          <w:iCs/>
          <w:color w:val="1F3864" w:themeColor="accent1" w:themeShade="80"/>
          <w:lang w:val="en-US" w:eastAsia="zh-CN"/>
        </w:rPr>
        <w:t xml:space="preserve">. </w:t>
      </w:r>
    </w:p>
    <w:p w14:paraId="18D48196" w14:textId="4FAB9549" w:rsidR="004416AB" w:rsidRDefault="00722A8B" w:rsidP="006F6114">
      <w:pPr>
        <w:spacing w:after="0"/>
        <w:ind w:left="360"/>
        <w:jc w:val="both"/>
        <w:rPr>
          <w:rFonts w:cstheme="minorHAnsi"/>
          <w:i/>
          <w:iCs/>
          <w:color w:val="1F3864" w:themeColor="accent1" w:themeShade="80"/>
          <w:lang w:val="en-US" w:eastAsia="zh-CN"/>
        </w:rPr>
      </w:pPr>
      <w:r w:rsidRPr="006F6114">
        <w:rPr>
          <w:rFonts w:cstheme="minorHAnsi"/>
          <w:i/>
          <w:iCs/>
          <w:color w:val="1F3864" w:themeColor="accent1" w:themeShade="80"/>
          <w:lang w:val="en-US" w:eastAsia="zh-CN"/>
        </w:rPr>
        <w:t xml:space="preserve"> </w:t>
      </w:r>
    </w:p>
    <w:p w14:paraId="3FED818C" w14:textId="77777777" w:rsidR="005C0F7D" w:rsidRDefault="005C0F7D" w:rsidP="006F6114">
      <w:pPr>
        <w:spacing w:after="0"/>
        <w:ind w:left="360"/>
        <w:jc w:val="both"/>
        <w:rPr>
          <w:rFonts w:cstheme="minorHAnsi"/>
          <w:i/>
          <w:iCs/>
          <w:color w:val="1F3864" w:themeColor="accent1" w:themeShade="80"/>
          <w:lang w:val="en-US" w:eastAsia="zh-CN"/>
        </w:rPr>
      </w:pPr>
    </w:p>
    <w:p w14:paraId="2385E934" w14:textId="77777777" w:rsidR="005C0F7D" w:rsidRDefault="005C0F7D" w:rsidP="006F6114">
      <w:pPr>
        <w:spacing w:after="0"/>
        <w:ind w:left="360"/>
        <w:jc w:val="both"/>
        <w:rPr>
          <w:rFonts w:cstheme="minorHAnsi"/>
          <w:i/>
          <w:iCs/>
          <w:color w:val="1F3864" w:themeColor="accent1" w:themeShade="80"/>
          <w:lang w:val="en-US" w:eastAsia="zh-CN"/>
        </w:rPr>
      </w:pPr>
    </w:p>
    <w:p w14:paraId="18495235" w14:textId="77777777" w:rsidR="005C0F7D" w:rsidRDefault="005C0F7D" w:rsidP="006F6114">
      <w:pPr>
        <w:spacing w:after="0"/>
        <w:ind w:left="360"/>
        <w:jc w:val="both"/>
        <w:rPr>
          <w:rFonts w:cstheme="minorHAnsi"/>
          <w:i/>
          <w:iCs/>
          <w:color w:val="1F3864" w:themeColor="accent1" w:themeShade="80"/>
          <w:lang w:val="en-US" w:eastAsia="zh-CN"/>
        </w:rPr>
      </w:pPr>
    </w:p>
    <w:p w14:paraId="62B17264" w14:textId="77777777" w:rsidR="005C0F7D" w:rsidRDefault="005C0F7D" w:rsidP="006F6114">
      <w:pPr>
        <w:spacing w:after="0"/>
        <w:ind w:left="360"/>
        <w:jc w:val="both"/>
        <w:rPr>
          <w:rFonts w:cstheme="minorHAnsi"/>
          <w:i/>
          <w:iCs/>
          <w:color w:val="1F3864" w:themeColor="accent1" w:themeShade="80"/>
          <w:lang w:val="en-US" w:eastAsia="zh-CN"/>
        </w:rPr>
      </w:pPr>
    </w:p>
    <w:p w14:paraId="2239E5C1" w14:textId="77777777" w:rsidR="005C0F7D" w:rsidRPr="006F6114" w:rsidRDefault="005C0F7D" w:rsidP="006F6114">
      <w:pPr>
        <w:spacing w:after="0"/>
        <w:ind w:left="360"/>
        <w:jc w:val="both"/>
        <w:rPr>
          <w:rFonts w:cstheme="minorHAnsi"/>
          <w:i/>
          <w:iCs/>
          <w:color w:val="1F3864" w:themeColor="accent1" w:themeShade="80"/>
          <w:lang w:val="en-US" w:eastAsia="zh-CN"/>
        </w:rPr>
      </w:pPr>
    </w:p>
    <w:p w14:paraId="698FEFEB" w14:textId="51F40195" w:rsidR="006F6114" w:rsidRPr="006F6114" w:rsidRDefault="006F6114" w:rsidP="006F6114">
      <w:pPr>
        <w:spacing w:after="0"/>
        <w:ind w:left="360"/>
        <w:jc w:val="both"/>
        <w:rPr>
          <w:rFonts w:cstheme="minorHAnsi"/>
          <w:i/>
          <w:iCs/>
          <w:color w:val="1F3864" w:themeColor="accent1" w:themeShade="80"/>
          <w:lang w:val="en-US" w:eastAsia="zh-CN"/>
        </w:rPr>
      </w:pPr>
    </w:p>
    <w:p w14:paraId="4A67E6D0" w14:textId="4A373C65" w:rsidR="004416AB" w:rsidRPr="00385036" w:rsidRDefault="0004490B" w:rsidP="0004490B">
      <w:pPr>
        <w:pStyle w:val="Heading2"/>
      </w:pPr>
      <w:bookmarkStart w:id="35" w:name="_Toc138151832"/>
      <w:bookmarkStart w:id="36" w:name="_Toc113832383"/>
      <w:r>
        <w:lastRenderedPageBreak/>
        <w:t xml:space="preserve">2.3 </w:t>
      </w:r>
      <w:r w:rsidR="00FF2E9A" w:rsidRPr="0004490B">
        <w:t>Case</w:t>
      </w:r>
      <w:r w:rsidR="00FF2E9A" w:rsidRPr="00385036">
        <w:t xml:space="preserve"> </w:t>
      </w:r>
      <w:r w:rsidR="009955F6" w:rsidRPr="00385036">
        <w:t>S</w:t>
      </w:r>
      <w:r w:rsidR="00FF2E9A" w:rsidRPr="00385036">
        <w:t>tudy:</w:t>
      </w:r>
      <w:r w:rsidR="0066550A" w:rsidRPr="00385036">
        <w:t xml:space="preserve"> </w:t>
      </w:r>
      <w:r w:rsidR="00943449" w:rsidRPr="00385036">
        <w:t xml:space="preserve">The </w:t>
      </w:r>
      <w:r w:rsidR="0066550A" w:rsidRPr="00385036">
        <w:t>Tim Horton’s App</w:t>
      </w:r>
      <w:bookmarkEnd w:id="35"/>
      <w:r w:rsidR="0066550A" w:rsidRPr="00385036">
        <w:t xml:space="preserve"> </w:t>
      </w:r>
      <w:bookmarkEnd w:id="36"/>
    </w:p>
    <w:p w14:paraId="0F0E9F05" w14:textId="77777777" w:rsidR="004416AB" w:rsidRDefault="004416AB" w:rsidP="008037D4">
      <w:pPr>
        <w:spacing w:after="0"/>
      </w:pPr>
    </w:p>
    <w:p w14:paraId="7DC01F88" w14:textId="77777777" w:rsidR="00DC7324" w:rsidRDefault="004416AB" w:rsidP="00DC7324">
      <w:pPr>
        <w:spacing w:after="0"/>
      </w:pPr>
      <w:r>
        <w:t xml:space="preserve">A recent investigation in Canada </w:t>
      </w:r>
      <w:r w:rsidR="00CC58CE">
        <w:t>is</w:t>
      </w:r>
      <w:r>
        <w:t xml:space="preserve"> a case study into how ToS </w:t>
      </w:r>
      <w:r w:rsidR="002F50E3">
        <w:t>can</w:t>
      </w:r>
      <w:r>
        <w:t xml:space="preserve"> fail to </w:t>
      </w:r>
      <w:r w:rsidR="002D0CC9">
        <w:t xml:space="preserve">adequately </w:t>
      </w:r>
      <w:r>
        <w:t>inform consumers</w:t>
      </w:r>
      <w:r w:rsidR="007B3930">
        <w:t xml:space="preserve">, match </w:t>
      </w:r>
      <w:r w:rsidR="002D0CC9">
        <w:t xml:space="preserve">contractual promises </w:t>
      </w:r>
      <w:r w:rsidR="007B3930">
        <w:t>with practices,</w:t>
      </w:r>
      <w:r>
        <w:t xml:space="preserve"> </w:t>
      </w:r>
      <w:r w:rsidR="002D0CC9">
        <w:t>or</w:t>
      </w:r>
      <w:r w:rsidR="007B3930">
        <w:t xml:space="preserve"> </w:t>
      </w:r>
      <w:r w:rsidR="00C62001">
        <w:t xml:space="preserve">fairly </w:t>
      </w:r>
      <w:r w:rsidR="007B3930">
        <w:t>balance corporate and consumer interests.</w:t>
      </w:r>
    </w:p>
    <w:p w14:paraId="1BDC23A6" w14:textId="77777777" w:rsidR="00DC7324" w:rsidRDefault="00DC7324" w:rsidP="00DC7324">
      <w:pPr>
        <w:spacing w:after="0"/>
      </w:pPr>
    </w:p>
    <w:p w14:paraId="15359277" w14:textId="77777777" w:rsidR="00665456" w:rsidRDefault="007B3930" w:rsidP="00665456">
      <w:pPr>
        <w:spacing w:after="0"/>
      </w:pPr>
      <w:r>
        <w:t xml:space="preserve">The Tim Horton’s app </w:t>
      </w:r>
      <w:r w:rsidR="00B00820">
        <w:t xml:space="preserve">was used by </w:t>
      </w:r>
      <w:r>
        <w:t xml:space="preserve">customers </w:t>
      </w:r>
      <w:r w:rsidR="00B00820">
        <w:t xml:space="preserve">to </w:t>
      </w:r>
      <w:r>
        <w:t xml:space="preserve">place orders, receive special offers and discounts, collect reward points, and participate in contests and giveaways. </w:t>
      </w:r>
      <w:r w:rsidR="007562AB">
        <w:t>From the launch of the app in 2017 through to July 2020, c</w:t>
      </w:r>
      <w:r w:rsidR="004416AB" w:rsidRPr="00DE168B">
        <w:t xml:space="preserve">onsumers in Canada </w:t>
      </w:r>
      <w:r>
        <w:t xml:space="preserve">downloaded the app </w:t>
      </w:r>
      <w:r w:rsidR="004416AB" w:rsidRPr="00DE168B">
        <w:t>8.6 million times</w:t>
      </w:r>
      <w:r>
        <w:t xml:space="preserve"> </w:t>
      </w:r>
      <w:r w:rsidR="002466A4">
        <w:t xml:space="preserve">with </w:t>
      </w:r>
      <w:r w:rsidR="004416AB" w:rsidRPr="00DE168B">
        <w:t>1.6 million active users.</w:t>
      </w:r>
      <w:r w:rsidR="004416AB">
        <w:rPr>
          <w:rStyle w:val="EndnoteReference"/>
        </w:rPr>
        <w:endnoteReference w:id="76"/>
      </w:r>
    </w:p>
    <w:p w14:paraId="2190812D" w14:textId="77777777" w:rsidR="00665456" w:rsidRDefault="00665456" w:rsidP="00665456">
      <w:pPr>
        <w:spacing w:after="0"/>
      </w:pPr>
    </w:p>
    <w:p w14:paraId="55B8240A" w14:textId="4340A1EB" w:rsidR="004416AB" w:rsidRDefault="002466A4" w:rsidP="00665456">
      <w:pPr>
        <w:spacing w:after="0"/>
      </w:pPr>
      <w:r>
        <w:t xml:space="preserve">Customers downloading the app were asked to consent to the following notice of </w:t>
      </w:r>
      <w:r w:rsidR="007B3930">
        <w:t>location tracking:</w:t>
      </w:r>
    </w:p>
    <w:p w14:paraId="1DC01A4D" w14:textId="77777777" w:rsidR="00665456" w:rsidRPr="00DE168B" w:rsidRDefault="00665456" w:rsidP="00665456">
      <w:pPr>
        <w:spacing w:after="0"/>
      </w:pPr>
    </w:p>
    <w:p w14:paraId="144B7CFC" w14:textId="654245AD" w:rsidR="004416AB" w:rsidRPr="00DE168B" w:rsidRDefault="004416AB" w:rsidP="0020356A">
      <w:pPr>
        <w:pStyle w:val="ListParagraph"/>
        <w:numPr>
          <w:ilvl w:val="0"/>
          <w:numId w:val="2"/>
        </w:numPr>
      </w:pPr>
      <w:r>
        <w:t xml:space="preserve">On </w:t>
      </w:r>
      <w:r w:rsidRPr="00DE168B">
        <w:t>Android</w:t>
      </w:r>
      <w:r>
        <w:t xml:space="preserve"> devices: </w:t>
      </w:r>
      <w:r w:rsidRPr="00DE168B">
        <w:t>“Allow Tim Hortons to access your location while you are using the app? We use your location to help you find nearby restaurants and provide you with more relevant marketing &amp; offers.”</w:t>
      </w:r>
    </w:p>
    <w:p w14:paraId="2F0691DC" w14:textId="11D4C1F6" w:rsidR="004416AB" w:rsidRPr="00DE168B" w:rsidRDefault="004416AB" w:rsidP="0020356A">
      <w:pPr>
        <w:pStyle w:val="ListParagraph"/>
        <w:numPr>
          <w:ilvl w:val="0"/>
          <w:numId w:val="2"/>
        </w:numPr>
      </w:pPr>
      <w:r>
        <w:t xml:space="preserve">On </w:t>
      </w:r>
      <w:r w:rsidRPr="00DE168B">
        <w:t xml:space="preserve">iOS </w:t>
      </w:r>
      <w:r>
        <w:t xml:space="preserve">iPhones: </w:t>
      </w:r>
      <w:r w:rsidR="00C30AC2">
        <w:t>“</w:t>
      </w:r>
      <w:r w:rsidRPr="00DE168B">
        <w:t>We use your location to help you find nearby restaurants and provide you with more relevant marketing &amp; offers.</w:t>
      </w:r>
      <w:r w:rsidR="00C30AC2">
        <w:t>”</w:t>
      </w:r>
      <w:r w:rsidRPr="00DE168B">
        <w:rPr>
          <w:rStyle w:val="EndnoteReference"/>
        </w:rPr>
        <w:endnoteReference w:id="77"/>
      </w:r>
    </w:p>
    <w:p w14:paraId="3931DB4B" w14:textId="77777777" w:rsidR="007B3930" w:rsidRDefault="007B3930" w:rsidP="00493D6F">
      <w:r>
        <w:t>No further information was given. The prompt offered a simple “yes/no” option.</w:t>
      </w:r>
    </w:p>
    <w:p w14:paraId="2A16753F" w14:textId="49FBD63D" w:rsidR="004416AB" w:rsidRDefault="00AD2CF4" w:rsidP="00493D6F">
      <w:r>
        <w:t xml:space="preserve">In 2020, </w:t>
      </w:r>
      <w:r w:rsidR="002466A4">
        <w:t xml:space="preserve">a single </w:t>
      </w:r>
      <w:r w:rsidR="00641872">
        <w:t xml:space="preserve">Tim Horton’s </w:t>
      </w:r>
      <w:r w:rsidR="004416AB">
        <w:t xml:space="preserve">customer – a journalist – was </w:t>
      </w:r>
      <w:r w:rsidR="00641872">
        <w:t xml:space="preserve">curious about </w:t>
      </w:r>
      <w:r w:rsidR="002466A4">
        <w:t xml:space="preserve">the </w:t>
      </w:r>
      <w:r w:rsidR="00641872">
        <w:t xml:space="preserve">prompt and what it meant in practice. </w:t>
      </w:r>
      <w:r w:rsidR="006F27DA">
        <w:t>He shared his surprising findings in a National Post article detailing how he:</w:t>
      </w:r>
    </w:p>
    <w:p w14:paraId="31D87B7B" w14:textId="77777777" w:rsidR="00DC7324" w:rsidRDefault="004A2CF4" w:rsidP="00DC7324">
      <w:pPr>
        <w:pStyle w:val="Quote"/>
        <w:jc w:val="left"/>
        <w:rPr>
          <w:i/>
          <w:iCs/>
        </w:rPr>
      </w:pPr>
      <w:r w:rsidRPr="1F5E9E68">
        <w:rPr>
          <w:i/>
          <w:iCs/>
        </w:rPr>
        <w:t>…</w:t>
      </w:r>
      <w:r w:rsidR="006F27DA" w:rsidRPr="1F5E9E68">
        <w:rPr>
          <w:i/>
          <w:iCs/>
        </w:rPr>
        <w:t xml:space="preserve"> </w:t>
      </w:r>
      <w:r w:rsidR="004416AB" w:rsidRPr="1F5E9E68">
        <w:rPr>
          <w:i/>
          <w:iCs/>
        </w:rPr>
        <w:t>discovered that despite granting the Tim Hortons app permission to access the location functionality of his mobile phone while the App was open, in reality the app was tracking his location even when the app was closed (more than 2,700 times in less than 5 months), to infer his home, place of work, travel status, and when he was visiting a competitor.</w:t>
      </w:r>
      <w:r w:rsidR="004416AB" w:rsidRPr="1F5E9E68">
        <w:rPr>
          <w:rStyle w:val="EndnoteReference"/>
          <w:i/>
          <w:iCs/>
        </w:rPr>
        <w:endnoteReference w:id="78"/>
      </w:r>
    </w:p>
    <w:p w14:paraId="52E4B926" w14:textId="77777777" w:rsidR="00DC7324" w:rsidRDefault="00DC7324" w:rsidP="00DC7324">
      <w:pPr>
        <w:pStyle w:val="Quote"/>
        <w:ind w:left="0"/>
        <w:jc w:val="left"/>
        <w:rPr>
          <w:i/>
          <w:iCs/>
        </w:rPr>
      </w:pPr>
    </w:p>
    <w:p w14:paraId="378343A9" w14:textId="16F1786B" w:rsidR="004416AB" w:rsidRPr="00DC7324" w:rsidRDefault="00AD2CF4" w:rsidP="00DC7324">
      <w:pPr>
        <w:pStyle w:val="Quote"/>
        <w:ind w:left="0"/>
        <w:jc w:val="left"/>
        <w:rPr>
          <w:i/>
          <w:iCs/>
        </w:rPr>
      </w:pPr>
      <w:r>
        <w:t>T</w:t>
      </w:r>
      <w:r w:rsidR="004416AB">
        <w:t>he article triggered a joint investigation of Privacy Commissioners to Canada, Quebec, British Columbia, and Alberta. The</w:t>
      </w:r>
      <w:r w:rsidR="004A2CF4">
        <w:t xml:space="preserve"> Privacy Commissioner’s 2021 </w:t>
      </w:r>
      <w:r w:rsidR="004416AB" w:rsidRPr="009867CE">
        <w:rPr>
          <w:i/>
          <w:iCs/>
        </w:rPr>
        <w:t>Final Report</w:t>
      </w:r>
      <w:r w:rsidR="004416AB">
        <w:t xml:space="preserve"> makes several findings which helpfully describe the gap that may exist between the ToS consumers (may) read and real-world practice and consequences.</w:t>
      </w:r>
      <w:r w:rsidR="00F40F89">
        <w:rPr>
          <w:rStyle w:val="EndnoteReference"/>
        </w:rPr>
        <w:endnoteReference w:id="79"/>
      </w:r>
      <w:r w:rsidR="004A2CF4">
        <w:t xml:space="preserve"> Their findings include</w:t>
      </w:r>
      <w:r w:rsidR="00D01F68">
        <w:t xml:space="preserve"> the following</w:t>
      </w:r>
      <w:r w:rsidR="006A7413">
        <w:t>:</w:t>
      </w:r>
    </w:p>
    <w:p w14:paraId="29441BE9" w14:textId="77777777" w:rsidR="00DC7324" w:rsidRDefault="00DC7324" w:rsidP="00E46ABE">
      <w:pPr>
        <w:rPr>
          <w:b/>
          <w:bCs/>
        </w:rPr>
      </w:pPr>
    </w:p>
    <w:p w14:paraId="1D42BFB3" w14:textId="2B9FB734" w:rsidR="004416AB" w:rsidRPr="00217D7B" w:rsidRDefault="004416AB" w:rsidP="00E46ABE">
      <w:r>
        <w:rPr>
          <w:b/>
          <w:bCs/>
        </w:rPr>
        <w:t xml:space="preserve">The Tim Horton ToS Included </w:t>
      </w:r>
      <w:r w:rsidRPr="00E46ABE">
        <w:rPr>
          <w:b/>
          <w:bCs/>
        </w:rPr>
        <w:t>Misleading Terms</w:t>
      </w:r>
    </w:p>
    <w:p w14:paraId="41C76909" w14:textId="1BD59CFB" w:rsidR="004416AB" w:rsidRPr="00217D7B" w:rsidRDefault="004416AB" w:rsidP="004A2CF4">
      <w:pPr>
        <w:ind w:left="720"/>
        <w:rPr>
          <w:i/>
          <w:iCs/>
        </w:rPr>
      </w:pPr>
      <w:r w:rsidRPr="1F5E9E68">
        <w:rPr>
          <w:i/>
          <w:iCs/>
        </w:rPr>
        <w:t>The Tim Hortons app asked for permission to access the mobile device’s geolocation functions, but misled many users to believe information would only be accessed when the app was in use. In reality, the app tracked users as long as the device was on, continually collecting their location data… People who downloaded the Tim Hortons app had their movements tracked and recorded every few minutes of every day, even when their app was not open…</w:t>
      </w:r>
      <w:r w:rsidRPr="1F5E9E68">
        <w:rPr>
          <w:rStyle w:val="EndnoteReference"/>
          <w:i/>
          <w:iCs/>
        </w:rPr>
        <w:endnoteReference w:id="80"/>
      </w:r>
    </w:p>
    <w:p w14:paraId="7BA16AFF" w14:textId="287B03D4" w:rsidR="004416AB" w:rsidRDefault="004416AB" w:rsidP="00217D7B">
      <w:r>
        <w:rPr>
          <w:b/>
          <w:bCs/>
        </w:rPr>
        <w:t>Tim Horton’s Failed to Get Proper C</w:t>
      </w:r>
      <w:r w:rsidRPr="00217D7B">
        <w:rPr>
          <w:b/>
          <w:bCs/>
        </w:rPr>
        <w:t>onsent</w:t>
      </w:r>
    </w:p>
    <w:p w14:paraId="7BCB5C34" w14:textId="7A92A67A" w:rsidR="004416AB" w:rsidRPr="00217D7B" w:rsidRDefault="004416AB" w:rsidP="004A2CF4">
      <w:pPr>
        <w:ind w:left="720"/>
        <w:rPr>
          <w:i/>
          <w:iCs/>
        </w:rPr>
      </w:pPr>
      <w:r w:rsidRPr="1F5E9E68">
        <w:rPr>
          <w:i/>
          <w:iCs/>
        </w:rPr>
        <w:t>We found that Tim Hortons did not obtain valid consent… Tim Hortons failed to inform Users that it would collect their location information even when the App was closed… Tim Hortons also failed to ensure Users understood the consequences of consenting to the continual collection of granular location data when the app was closed.</w:t>
      </w:r>
      <w:r w:rsidRPr="1F5E9E68">
        <w:rPr>
          <w:rStyle w:val="EndnoteReference"/>
          <w:i/>
          <w:iCs/>
        </w:rPr>
        <w:endnoteReference w:id="81"/>
      </w:r>
    </w:p>
    <w:p w14:paraId="5C682F5E" w14:textId="59175B2F" w:rsidR="004416AB" w:rsidRDefault="004416AB" w:rsidP="00217D7B">
      <w:r>
        <w:rPr>
          <w:b/>
          <w:bCs/>
        </w:rPr>
        <w:lastRenderedPageBreak/>
        <w:t xml:space="preserve">Tim Horton’s Explanations Were </w:t>
      </w:r>
      <w:r w:rsidRPr="00217D7B">
        <w:rPr>
          <w:b/>
          <w:bCs/>
        </w:rPr>
        <w:t>Misleading</w:t>
      </w:r>
    </w:p>
    <w:p w14:paraId="1A15526B" w14:textId="36226AF8" w:rsidR="004416AB" w:rsidRDefault="004416AB" w:rsidP="004A2CF4">
      <w:pPr>
        <w:ind w:left="720"/>
        <w:rPr>
          <w:i/>
          <w:iCs/>
        </w:rPr>
      </w:pPr>
      <w:r w:rsidRPr="1F5E9E68">
        <w:rPr>
          <w:i/>
          <w:iCs/>
        </w:rPr>
        <w:t>[Tim Horton’s] also made misleading statements to Users (in certain permission requests and FAQs) that it would only collect information when the App was open.</w:t>
      </w:r>
      <w:r w:rsidRPr="1F5E9E68">
        <w:rPr>
          <w:rStyle w:val="EndnoteReference"/>
          <w:i/>
          <w:iCs/>
        </w:rPr>
        <w:endnoteReference w:id="82"/>
      </w:r>
    </w:p>
    <w:p w14:paraId="5D7CD3AD" w14:textId="6A6A9451" w:rsidR="004E119B" w:rsidRDefault="00C30D48" w:rsidP="00217D7B">
      <w:pPr>
        <w:rPr>
          <w:highlight w:val="lightGray"/>
        </w:rPr>
      </w:pPr>
      <w:r w:rsidRPr="1F5E9E68">
        <w:rPr>
          <w:highlight w:val="lightGray"/>
        </w:rPr>
        <w:t xml:space="preserve">SIDEBAR: </w:t>
      </w:r>
      <w:r w:rsidRPr="1F5E9E68">
        <w:rPr>
          <w:b/>
          <w:bCs/>
          <w:highlight w:val="lightGray"/>
        </w:rPr>
        <w:t xml:space="preserve">What </w:t>
      </w:r>
      <w:r w:rsidR="006A7413">
        <w:rPr>
          <w:b/>
          <w:bCs/>
          <w:highlight w:val="lightGray"/>
        </w:rPr>
        <w:t>D</w:t>
      </w:r>
      <w:r w:rsidRPr="1F5E9E68">
        <w:rPr>
          <w:b/>
          <w:bCs/>
          <w:highlight w:val="lightGray"/>
        </w:rPr>
        <w:t xml:space="preserve">ata </w:t>
      </w:r>
      <w:r w:rsidR="006A7413">
        <w:rPr>
          <w:b/>
          <w:bCs/>
          <w:highlight w:val="lightGray"/>
        </w:rPr>
        <w:t>D</w:t>
      </w:r>
      <w:r w:rsidRPr="1F5E9E68">
        <w:rPr>
          <w:b/>
          <w:bCs/>
          <w:highlight w:val="lightGray"/>
        </w:rPr>
        <w:t xml:space="preserve">id the </w:t>
      </w:r>
      <w:r w:rsidR="006A7413">
        <w:rPr>
          <w:b/>
          <w:bCs/>
          <w:highlight w:val="lightGray"/>
        </w:rPr>
        <w:t>Tim Horton’s A</w:t>
      </w:r>
      <w:r w:rsidRPr="1F5E9E68">
        <w:rPr>
          <w:b/>
          <w:bCs/>
          <w:highlight w:val="lightGray"/>
        </w:rPr>
        <w:t xml:space="preserve">pp </w:t>
      </w:r>
      <w:r w:rsidR="006A7413">
        <w:rPr>
          <w:b/>
          <w:bCs/>
          <w:highlight w:val="lightGray"/>
        </w:rPr>
        <w:t>Collect</w:t>
      </w:r>
      <w:r w:rsidRPr="1F5E9E68">
        <w:rPr>
          <w:b/>
          <w:bCs/>
          <w:highlight w:val="lightGray"/>
        </w:rPr>
        <w:t>?</w:t>
      </w:r>
      <w:r w:rsidRPr="1F5E9E68">
        <w:rPr>
          <w:highlight w:val="lightGray"/>
        </w:rPr>
        <w:t xml:space="preserve"> </w:t>
      </w:r>
      <w:r w:rsidR="00EE151B" w:rsidRPr="1F5E9E68">
        <w:rPr>
          <w:highlight w:val="lightGray"/>
        </w:rPr>
        <w:t>The media report details the kinds of information gathered to create a profile of consumers. For instance, the journalist found various identifiers produced by the app and disclosed in his data profile</w:t>
      </w:r>
      <w:r w:rsidR="006A7413">
        <w:rPr>
          <w:highlight w:val="lightGray"/>
        </w:rPr>
        <w:t xml:space="preserve">, </w:t>
      </w:r>
      <w:r w:rsidR="004E119B" w:rsidRPr="1F5E9E68">
        <w:rPr>
          <w:highlight w:val="lightGray"/>
        </w:rPr>
        <w:t>including:</w:t>
      </w:r>
      <w:r w:rsidRPr="1F5E9E68">
        <w:rPr>
          <w:highlight w:val="lightGray"/>
        </w:rPr>
        <w:t xml:space="preserve"> </w:t>
      </w:r>
    </w:p>
    <w:p w14:paraId="7C8469ED" w14:textId="77777777" w:rsidR="004E119B" w:rsidRPr="004E119B" w:rsidRDefault="00D231A1" w:rsidP="004E119B">
      <w:pPr>
        <w:pStyle w:val="ListParagraph"/>
        <w:numPr>
          <w:ilvl w:val="0"/>
          <w:numId w:val="79"/>
        </w:numPr>
      </w:pPr>
      <w:r w:rsidRPr="004E119B">
        <w:rPr>
          <w:highlight w:val="lightGray"/>
        </w:rPr>
        <w:t xml:space="preserve">“user.started_traveling” </w:t>
      </w:r>
      <w:r w:rsidR="004E119B" w:rsidRPr="004E119B">
        <w:rPr>
          <w:highlight w:val="lightGray"/>
        </w:rPr>
        <w:t xml:space="preserve">which </w:t>
      </w:r>
      <w:r w:rsidRPr="004E119B">
        <w:rPr>
          <w:highlight w:val="lightGray"/>
        </w:rPr>
        <w:t>recorded a trip the author took to Morocco and a hotel stay in Manitoba.</w:t>
      </w:r>
    </w:p>
    <w:p w14:paraId="568E9DAE" w14:textId="79FCEB35" w:rsidR="004E119B" w:rsidRPr="004E119B" w:rsidRDefault="00D231A1" w:rsidP="004E119B">
      <w:pPr>
        <w:pStyle w:val="ListParagraph"/>
        <w:numPr>
          <w:ilvl w:val="0"/>
          <w:numId w:val="79"/>
        </w:numPr>
      </w:pPr>
      <w:r w:rsidRPr="1F5E9E68">
        <w:rPr>
          <w:highlight w:val="lightGray"/>
        </w:rPr>
        <w:t xml:space="preserve">“user.entered_place / user.exited_place” </w:t>
      </w:r>
      <w:r w:rsidR="004E119B" w:rsidRPr="1F5E9E68">
        <w:rPr>
          <w:highlight w:val="lightGray"/>
        </w:rPr>
        <w:t>which tracked</w:t>
      </w:r>
      <w:r w:rsidRPr="1F5E9E68">
        <w:rPr>
          <w:highlight w:val="lightGray"/>
        </w:rPr>
        <w:t xml:space="preserve"> when the author went in and out of a restaurant, including details like “confidence:low” if </w:t>
      </w:r>
      <w:r w:rsidR="004E119B" w:rsidRPr="1F5E9E68">
        <w:rPr>
          <w:highlight w:val="lightGray"/>
        </w:rPr>
        <w:t>he</w:t>
      </w:r>
      <w:r w:rsidRPr="1F5E9E68">
        <w:rPr>
          <w:highlight w:val="lightGray"/>
        </w:rPr>
        <w:t xml:space="preserve"> merely walked past </w:t>
      </w:r>
      <w:r w:rsidR="3D457D7E" w:rsidRPr="1F5E9E68">
        <w:rPr>
          <w:highlight w:val="lightGray"/>
        </w:rPr>
        <w:t xml:space="preserve">the restaurant </w:t>
      </w:r>
      <w:r w:rsidRPr="1F5E9E68">
        <w:rPr>
          <w:highlight w:val="lightGray"/>
        </w:rPr>
        <w:t xml:space="preserve">and “place_chain_name: Starbucks” if the location was a known </w:t>
      </w:r>
      <w:r w:rsidR="004E119B" w:rsidRPr="1F5E9E68">
        <w:rPr>
          <w:highlight w:val="lightGray"/>
        </w:rPr>
        <w:t>restaurant</w:t>
      </w:r>
      <w:r w:rsidRPr="1F5E9E68">
        <w:rPr>
          <w:highlight w:val="lightGray"/>
        </w:rPr>
        <w:t>.</w:t>
      </w:r>
    </w:p>
    <w:p w14:paraId="3E8B2583" w14:textId="5EBC28D0" w:rsidR="004E119B" w:rsidRPr="004E119B" w:rsidRDefault="00D231A1" w:rsidP="004E119B">
      <w:pPr>
        <w:pStyle w:val="ListParagraph"/>
        <w:numPr>
          <w:ilvl w:val="0"/>
          <w:numId w:val="79"/>
        </w:numPr>
      </w:pPr>
      <w:r w:rsidRPr="1F5E9E68">
        <w:rPr>
          <w:highlight w:val="lightGray"/>
        </w:rPr>
        <w:t xml:space="preserve"> “radar_insights_state_home:True” tracked when the author was at home</w:t>
      </w:r>
      <w:r w:rsidR="004E119B">
        <w:t xml:space="preserve"> </w:t>
      </w:r>
      <w:r w:rsidR="004E119B" w:rsidRPr="1F5E9E68">
        <w:rPr>
          <w:highlight w:val="lightGray"/>
        </w:rPr>
        <w:t>and at what time of day</w:t>
      </w:r>
      <w:r w:rsidR="02C50F9A" w:rsidRPr="1F5E9E68">
        <w:rPr>
          <w:highlight w:val="lightGray"/>
        </w:rPr>
        <w:t>.</w:t>
      </w:r>
    </w:p>
    <w:p w14:paraId="616E6BA2" w14:textId="26651A32" w:rsidR="00C30D48" w:rsidRPr="00DC7324" w:rsidRDefault="00D231A1" w:rsidP="004E119B">
      <w:pPr>
        <w:pStyle w:val="ListParagraph"/>
        <w:numPr>
          <w:ilvl w:val="0"/>
          <w:numId w:val="79"/>
        </w:numPr>
      </w:pPr>
      <w:r w:rsidRPr="004E119B">
        <w:rPr>
          <w:highlight w:val="lightGray"/>
        </w:rPr>
        <w:t xml:space="preserve">“user.entered_office / user.exited_office” tracked </w:t>
      </w:r>
      <w:r w:rsidR="004E119B">
        <w:rPr>
          <w:highlight w:val="lightGray"/>
        </w:rPr>
        <w:t>when</w:t>
      </w:r>
      <w:r w:rsidRPr="004E119B">
        <w:rPr>
          <w:highlight w:val="lightGray"/>
        </w:rPr>
        <w:t xml:space="preserve"> the author was at work, including pinpointing the location of his desk in the building. It also used this tag to track when the author visited his girlfriend.</w:t>
      </w:r>
      <w:r w:rsidR="00EE151B" w:rsidRPr="004E119B">
        <w:rPr>
          <w:rStyle w:val="EndnoteReference"/>
          <w:highlight w:val="lightGray"/>
        </w:rPr>
        <w:t xml:space="preserve"> </w:t>
      </w:r>
      <w:r w:rsidR="00EE151B" w:rsidRPr="00DC7324">
        <w:rPr>
          <w:rStyle w:val="EndnoteReference"/>
          <w:highlight w:val="lightGray"/>
        </w:rPr>
        <w:endnoteReference w:id="83"/>
      </w:r>
    </w:p>
    <w:p w14:paraId="6C026ED8" w14:textId="25C5AB30" w:rsidR="004416AB" w:rsidRDefault="004416AB" w:rsidP="00217D7B">
      <w:pPr>
        <w:rPr>
          <w:b/>
          <w:bCs/>
        </w:rPr>
      </w:pPr>
      <w:r>
        <w:rPr>
          <w:b/>
          <w:bCs/>
        </w:rPr>
        <w:t xml:space="preserve">Tim Horton’s Shared </w:t>
      </w:r>
      <w:r w:rsidRPr="00217D7B">
        <w:rPr>
          <w:b/>
          <w:bCs/>
        </w:rPr>
        <w:t>Third-Party Data</w:t>
      </w:r>
      <w:r>
        <w:rPr>
          <w:b/>
          <w:bCs/>
        </w:rPr>
        <w:t xml:space="preserve"> With Potentially </w:t>
      </w:r>
      <w:r w:rsidRPr="00217D7B">
        <w:rPr>
          <w:b/>
          <w:bCs/>
        </w:rPr>
        <w:t xml:space="preserve">Systemic </w:t>
      </w:r>
      <w:r>
        <w:rPr>
          <w:b/>
          <w:bCs/>
        </w:rPr>
        <w:t>Consequences</w:t>
      </w:r>
    </w:p>
    <w:p w14:paraId="3F0785AC" w14:textId="332DA8A2" w:rsidR="004416AB" w:rsidRPr="00217D7B" w:rsidRDefault="004416AB" w:rsidP="004A2CF4">
      <w:pPr>
        <w:ind w:left="720"/>
        <w:rPr>
          <w:i/>
          <w:iCs/>
        </w:rPr>
      </w:pPr>
      <w:r w:rsidRPr="1F5E9E68">
        <w:rPr>
          <w:i/>
          <w:iCs/>
        </w:rPr>
        <w:t xml:space="preserve">Tim Hortons’ contract with </w:t>
      </w:r>
      <w:bookmarkStart w:id="37" w:name="_Hlk138064754"/>
      <w:r w:rsidRPr="1F5E9E68">
        <w:rPr>
          <w:i/>
          <w:iCs/>
        </w:rPr>
        <w:t>an American third-party location services supplier</w:t>
      </w:r>
      <w:bookmarkEnd w:id="37"/>
      <w:r w:rsidRPr="1F5E9E68">
        <w:rPr>
          <w:i/>
          <w:iCs/>
        </w:rPr>
        <w:t xml:space="preserve"> contained language so vague and permissive that it would have allowed the company to sell “de-identified” location data for its own purposes. There is a real risk that de-identified geolocation data could be re-identified… Location data is highly sensitive because it can be used to infer where people live and work, reveal trips to medical clinics. It can be used to make deductions about religious beliefs, sexual preferences, social political affiliations and more.</w:t>
      </w:r>
      <w:r w:rsidRPr="1F5E9E68">
        <w:rPr>
          <w:rStyle w:val="EndnoteReference"/>
          <w:i/>
          <w:iCs/>
        </w:rPr>
        <w:endnoteReference w:id="84"/>
      </w:r>
    </w:p>
    <w:p w14:paraId="7860AD5A" w14:textId="001D6D7F" w:rsidR="004416AB" w:rsidRPr="00217D7B" w:rsidRDefault="004416AB" w:rsidP="00217D7B">
      <w:pPr>
        <w:rPr>
          <w:b/>
          <w:bCs/>
        </w:rPr>
      </w:pPr>
      <w:r w:rsidRPr="00217D7B">
        <w:rPr>
          <w:b/>
          <w:bCs/>
        </w:rPr>
        <w:t xml:space="preserve">ToS Must Be Reformed </w:t>
      </w:r>
    </w:p>
    <w:p w14:paraId="1E9FF72C" w14:textId="6E8287AF" w:rsidR="004416AB" w:rsidRPr="00217D7B" w:rsidRDefault="004416AB" w:rsidP="004A2CF4">
      <w:pPr>
        <w:ind w:left="720"/>
        <w:rPr>
          <w:i/>
          <w:iCs/>
        </w:rPr>
      </w:pPr>
      <w:r w:rsidRPr="1F5E9E68">
        <w:rPr>
          <w:i/>
          <w:iCs/>
        </w:rPr>
        <w:t>Organizations must implement robust contractual safeguards to limit service providers’ use and disclosure of their app users’ information, including in de-identified form. Failure to do so could put those users at risk of having their data used by data aggregators in ways they never envisioned, including for detailed profiling.</w:t>
      </w:r>
      <w:r w:rsidRPr="1F5E9E68">
        <w:rPr>
          <w:rStyle w:val="EndnoteReference"/>
          <w:i/>
          <w:iCs/>
        </w:rPr>
        <w:endnoteReference w:id="85"/>
      </w:r>
    </w:p>
    <w:p w14:paraId="79DA04BC" w14:textId="15C8DC04" w:rsidR="004416AB" w:rsidRDefault="004416AB" w:rsidP="00493D6F">
      <w:r>
        <w:t>The four privacy authorities recommended that Tim Horton’s and any third-party recipients voluntarily delete the collected data; develop an effective privacy management program with clear communication to consumers about practices; and report back on these efforts.</w:t>
      </w:r>
      <w:r>
        <w:rPr>
          <w:rStyle w:val="EndnoteReference"/>
        </w:rPr>
        <w:endnoteReference w:id="86"/>
      </w:r>
      <w:r w:rsidR="009E0094">
        <w:t xml:space="preserve"> </w:t>
      </w:r>
      <w:r w:rsidR="008D1CD8">
        <w:t xml:space="preserve">Many questioned the strength of these </w:t>
      </w:r>
      <w:r w:rsidR="00BF5579">
        <w:t>mea</w:t>
      </w:r>
      <w:r w:rsidR="006E53D7">
        <w:t>s</w:t>
      </w:r>
      <w:r w:rsidR="00BF5579">
        <w:t>ures</w:t>
      </w:r>
      <w:r w:rsidR="008D1CD8">
        <w:t>.</w:t>
      </w:r>
      <w:r w:rsidR="00044B9D">
        <w:rPr>
          <w:rStyle w:val="EndnoteReference"/>
        </w:rPr>
        <w:endnoteReference w:id="87"/>
      </w:r>
      <w:r w:rsidR="009E0094">
        <w:t xml:space="preserve"> </w:t>
      </w:r>
    </w:p>
    <w:p w14:paraId="5AEE6031" w14:textId="55AD5134" w:rsidR="004416AB" w:rsidRDefault="004416AB" w:rsidP="00493D6F">
      <w:r>
        <w:t xml:space="preserve">A class action claim </w:t>
      </w:r>
      <w:r w:rsidR="00261BF4">
        <w:t xml:space="preserve">against Tim Horton’s </w:t>
      </w:r>
      <w:r>
        <w:t xml:space="preserve">was </w:t>
      </w:r>
      <w:r w:rsidR="00AD2CF4">
        <w:t xml:space="preserve">also filed </w:t>
      </w:r>
      <w:r>
        <w:t>on behalf of consumers</w:t>
      </w:r>
      <w:r w:rsidRPr="000A7594">
        <w:t xml:space="preserve"> in Quebec, British Columbia, and Ontario</w:t>
      </w:r>
      <w:r>
        <w:t>. The case recently settled. Tim Horton’s agreed to compensate app users with “</w:t>
      </w:r>
      <w:r w:rsidRPr="008E4FC4">
        <w:t>a free hot beverage and a free baked good worth a little under $9 CAD plus tax.</w:t>
      </w:r>
      <w:r>
        <w:t>”</w:t>
      </w:r>
      <w:r w:rsidR="00D01F68">
        <w:rPr>
          <w:rStyle w:val="EndnoteReference"/>
        </w:rPr>
        <w:endnoteReference w:id="88"/>
      </w:r>
      <w:r>
        <w:t xml:space="preserve"> The corporation maintains that “</w:t>
      </w:r>
      <w:r w:rsidRPr="00A45D1F">
        <w:t>the proposed settlement is not an admission of wrongdoing</w:t>
      </w:r>
      <w:r>
        <w:t>.”</w:t>
      </w:r>
      <w:r>
        <w:rPr>
          <w:rStyle w:val="EndnoteReference"/>
        </w:rPr>
        <w:endnoteReference w:id="89"/>
      </w:r>
      <w:r w:rsidR="0033573B">
        <w:t xml:space="preserve"> Others suggest that the </w:t>
      </w:r>
      <w:r w:rsidR="00AD2CF4">
        <w:t>“</w:t>
      </w:r>
      <w:r w:rsidR="0033573B">
        <w:t>price of privacy</w:t>
      </w:r>
      <w:r w:rsidR="00AD2CF4">
        <w:t>”</w:t>
      </w:r>
      <w:r w:rsidR="0033573B">
        <w:t xml:space="preserve"> should </w:t>
      </w:r>
      <w:r w:rsidR="00044B9D">
        <w:t>“</w:t>
      </w:r>
      <w:r w:rsidR="0033573B">
        <w:t xml:space="preserve">add up to more than the cost of </w:t>
      </w:r>
      <w:r w:rsidR="00AD2CF4">
        <w:t>a</w:t>
      </w:r>
      <w:r w:rsidR="0033573B">
        <w:t xml:space="preserve"> coffee and donut.</w:t>
      </w:r>
      <w:r w:rsidR="00044B9D">
        <w:t>”</w:t>
      </w:r>
      <w:r w:rsidR="0033573B">
        <w:rPr>
          <w:rStyle w:val="EndnoteReference"/>
        </w:rPr>
        <w:endnoteReference w:id="90"/>
      </w:r>
    </w:p>
    <w:p w14:paraId="2515A26B" w14:textId="77777777" w:rsidR="00403FC6" w:rsidRDefault="00403FC6" w:rsidP="00403FC6">
      <w:pPr>
        <w:spacing w:after="0"/>
        <w:rPr>
          <w:lang w:val="en-US"/>
        </w:rPr>
      </w:pPr>
    </w:p>
    <w:p w14:paraId="4A04A628" w14:textId="0CFAFE6E" w:rsidR="00403FC6" w:rsidRPr="000B24CF" w:rsidRDefault="00403FC6" w:rsidP="00403FC6">
      <w:pPr>
        <w:spacing w:after="0"/>
        <w:rPr>
          <w:b/>
          <w:bCs/>
          <w:lang w:val="en-US"/>
        </w:rPr>
      </w:pPr>
      <w:r w:rsidRPr="000B24CF">
        <w:rPr>
          <w:b/>
          <w:bCs/>
          <w:highlight w:val="lightGray"/>
          <w:lang w:val="en-US"/>
        </w:rPr>
        <w:t xml:space="preserve">[SIDEBAR: What </w:t>
      </w:r>
      <w:r w:rsidR="006A7413">
        <w:rPr>
          <w:b/>
          <w:bCs/>
          <w:highlight w:val="lightGray"/>
          <w:lang w:val="en-US"/>
        </w:rPr>
        <w:t>I</w:t>
      </w:r>
      <w:r w:rsidRPr="000B24CF">
        <w:rPr>
          <w:b/>
          <w:bCs/>
          <w:highlight w:val="lightGray"/>
          <w:lang w:val="en-US"/>
        </w:rPr>
        <w:t xml:space="preserve">s </w:t>
      </w:r>
      <w:r w:rsidR="006A7413">
        <w:rPr>
          <w:b/>
          <w:bCs/>
          <w:highlight w:val="lightGray"/>
          <w:lang w:val="en-US"/>
        </w:rPr>
        <w:t>A</w:t>
      </w:r>
      <w:r w:rsidRPr="000B24CF">
        <w:rPr>
          <w:b/>
          <w:bCs/>
          <w:highlight w:val="lightGray"/>
          <w:lang w:val="en-US"/>
        </w:rPr>
        <w:t xml:space="preserve"> </w:t>
      </w:r>
      <w:r w:rsidR="006A7413">
        <w:rPr>
          <w:b/>
          <w:bCs/>
          <w:highlight w:val="lightGray"/>
          <w:lang w:val="en-US"/>
        </w:rPr>
        <w:t>C</w:t>
      </w:r>
      <w:r w:rsidRPr="000B24CF">
        <w:rPr>
          <w:b/>
          <w:bCs/>
          <w:highlight w:val="lightGray"/>
          <w:lang w:val="en-US"/>
        </w:rPr>
        <w:t xml:space="preserve">onsumer </w:t>
      </w:r>
      <w:r w:rsidR="006A7413">
        <w:rPr>
          <w:b/>
          <w:bCs/>
          <w:highlight w:val="lightGray"/>
          <w:lang w:val="en-US"/>
        </w:rPr>
        <w:t>W</w:t>
      </w:r>
      <w:r w:rsidRPr="000B24CF">
        <w:rPr>
          <w:b/>
          <w:bCs/>
          <w:highlight w:val="lightGray"/>
          <w:lang w:val="en-US"/>
        </w:rPr>
        <w:t>orth?</w:t>
      </w:r>
      <w:r w:rsidR="006F0DB1">
        <w:rPr>
          <w:b/>
          <w:bCs/>
          <w:highlight w:val="lightGray"/>
          <w:lang w:val="en-US"/>
        </w:rPr>
        <w:t xml:space="preserve"> </w:t>
      </w:r>
      <w:r w:rsidR="006F0DB1" w:rsidRPr="006F0DB1">
        <w:rPr>
          <w:highlight w:val="lightGray"/>
          <w:lang w:val="en-US"/>
        </w:rPr>
        <w:t>Digital services companies</w:t>
      </w:r>
      <w:r w:rsidR="006F0DB1">
        <w:rPr>
          <w:highlight w:val="lightGray"/>
          <w:lang w:val="en-US"/>
        </w:rPr>
        <w:t xml:space="preserve"> often measure the value of their “daily active users” </w:t>
      </w:r>
      <w:r w:rsidR="00591797">
        <w:rPr>
          <w:highlight w:val="lightGray"/>
          <w:lang w:val="en-US"/>
        </w:rPr>
        <w:t xml:space="preserve">(DAU) </w:t>
      </w:r>
      <w:r w:rsidR="006F0DB1">
        <w:rPr>
          <w:highlight w:val="lightGray"/>
          <w:lang w:val="en-US"/>
        </w:rPr>
        <w:t xml:space="preserve">in terms of their “market value.” This represents the per-share market </w:t>
      </w:r>
      <w:r w:rsidR="006F0DB1">
        <w:rPr>
          <w:highlight w:val="lightGray"/>
          <w:lang w:val="en-US"/>
        </w:rPr>
        <w:lastRenderedPageBreak/>
        <w:t>capitalization value of each DAU recorded by the platform. These numbers also reveal revenue and net income per user.</w:t>
      </w:r>
      <w:r w:rsidR="006F0DB1">
        <w:rPr>
          <w:b/>
          <w:bCs/>
          <w:highlight w:val="lightGray"/>
          <w:lang w:val="en-US"/>
        </w:rPr>
        <w:t xml:space="preserve"> </w:t>
      </w:r>
      <w:r w:rsidRPr="000B24CF">
        <w:rPr>
          <w:rStyle w:val="EndnoteReference"/>
          <w:b/>
          <w:bCs/>
          <w:highlight w:val="lightGray"/>
          <w:lang w:val="en-US"/>
        </w:rPr>
        <w:endnoteReference w:id="91"/>
      </w:r>
    </w:p>
    <w:p w14:paraId="2F672AB8" w14:textId="77777777" w:rsidR="00403FC6" w:rsidRDefault="00403FC6" w:rsidP="00403FC6">
      <w:pPr>
        <w:spacing w:after="0"/>
        <w:rPr>
          <w:lang w:val="en-US"/>
        </w:rPr>
      </w:pPr>
    </w:p>
    <w:p w14:paraId="273A0AC0" w14:textId="77777777" w:rsidR="007F0422" w:rsidRDefault="007F0422" w:rsidP="00403FC6"/>
    <w:p w14:paraId="162F0669" w14:textId="366A4DDE" w:rsidR="00403FC6" w:rsidRDefault="00403FC6" w:rsidP="00403FC6">
      <w:r>
        <w:rPr>
          <w:noProof/>
          <w:lang w:val="en-US"/>
        </w:rPr>
        <w:drawing>
          <wp:inline distT="0" distB="0" distL="0" distR="0" wp14:anchorId="2CFACE20" wp14:editId="2CC25F38">
            <wp:extent cx="4660654" cy="3009814"/>
            <wp:effectExtent l="0" t="0" r="6985"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65430" cy="3012899"/>
                    </a:xfrm>
                    <a:prstGeom prst="rect">
                      <a:avLst/>
                    </a:prstGeom>
                    <a:noFill/>
                    <a:ln>
                      <a:noFill/>
                    </a:ln>
                  </pic:spPr>
                </pic:pic>
              </a:graphicData>
            </a:graphic>
          </wp:inline>
        </w:drawing>
      </w:r>
    </w:p>
    <w:p w14:paraId="574B8285" w14:textId="77777777" w:rsidR="007F0422" w:rsidRDefault="007F0422" w:rsidP="009C08E6">
      <w:pPr>
        <w:pStyle w:val="Heading2"/>
      </w:pPr>
    </w:p>
    <w:p w14:paraId="379C1D8F" w14:textId="77777777" w:rsidR="009C08E6" w:rsidRDefault="009C08E6" w:rsidP="00656D47"/>
    <w:p w14:paraId="46C2C10E" w14:textId="77777777" w:rsidR="000340BA" w:rsidRDefault="000340BA">
      <w:pPr>
        <w:rPr>
          <w:rFonts w:asciiTheme="majorHAnsi" w:eastAsiaTheme="majorEastAsia" w:hAnsiTheme="majorHAnsi" w:cstheme="majorBidi"/>
          <w:b/>
          <w:color w:val="2F5496" w:themeColor="accent1" w:themeShade="BF"/>
          <w:sz w:val="28"/>
          <w:szCs w:val="32"/>
        </w:rPr>
      </w:pPr>
      <w:r>
        <w:br w:type="page"/>
      </w:r>
    </w:p>
    <w:p w14:paraId="60A99E22" w14:textId="29549D6B" w:rsidR="004416AB" w:rsidRDefault="004416AB" w:rsidP="00ED42F3">
      <w:pPr>
        <w:pStyle w:val="Heading1"/>
        <w:numPr>
          <w:ilvl w:val="0"/>
          <w:numId w:val="1"/>
        </w:numPr>
        <w:spacing w:before="0"/>
      </w:pPr>
      <w:bookmarkStart w:id="39" w:name="_Toc113832384"/>
      <w:bookmarkStart w:id="40" w:name="_Toc138151833"/>
      <w:r>
        <w:lastRenderedPageBreak/>
        <w:t xml:space="preserve">Consumer Protection </w:t>
      </w:r>
      <w:r w:rsidR="00DD639B">
        <w:t>Law</w:t>
      </w:r>
      <w:r>
        <w:t xml:space="preserve"> in Ontario</w:t>
      </w:r>
      <w:bookmarkEnd w:id="39"/>
      <w:r w:rsidR="00965178">
        <w:t xml:space="preserve"> and Across Canada</w:t>
      </w:r>
      <w:bookmarkEnd w:id="40"/>
    </w:p>
    <w:p w14:paraId="2947B279" w14:textId="77777777" w:rsidR="00446735" w:rsidRPr="00010ED5" w:rsidRDefault="00446735" w:rsidP="008037D4">
      <w:pPr>
        <w:spacing w:after="0"/>
      </w:pPr>
    </w:p>
    <w:p w14:paraId="4F5A224F" w14:textId="60433BE4" w:rsidR="00FA08E3" w:rsidRDefault="0004490B" w:rsidP="0004490B">
      <w:pPr>
        <w:pStyle w:val="Heading2"/>
      </w:pPr>
      <w:bookmarkStart w:id="41" w:name="_Toc138151834"/>
      <w:bookmarkStart w:id="42" w:name="_Toc113832386"/>
      <w:r>
        <w:t xml:space="preserve">3.1 </w:t>
      </w:r>
      <w:r w:rsidR="004416AB">
        <w:t>Ontario’s Consumer Protection Act</w:t>
      </w:r>
      <w:bookmarkEnd w:id="41"/>
    </w:p>
    <w:p w14:paraId="7CAFA834" w14:textId="77777777" w:rsidR="00FA08E3" w:rsidRPr="00FA08E3" w:rsidRDefault="00FA08E3" w:rsidP="00FA08E3">
      <w:pPr>
        <w:spacing w:after="0"/>
      </w:pPr>
    </w:p>
    <w:p w14:paraId="3B013BF5" w14:textId="7D21B57D" w:rsidR="000822F1" w:rsidRDefault="0004490B" w:rsidP="0004490B">
      <w:pPr>
        <w:pStyle w:val="Heading3"/>
      </w:pPr>
      <w:bookmarkStart w:id="43" w:name="_Toc138151835"/>
      <w:r>
        <w:t xml:space="preserve">3.1.1 </w:t>
      </w:r>
      <w:r w:rsidR="00FA08E3">
        <w:t>Introduction</w:t>
      </w:r>
      <w:bookmarkEnd w:id="43"/>
      <w:r w:rsidR="004416AB">
        <w:t xml:space="preserve"> </w:t>
      </w:r>
      <w:bookmarkEnd w:id="42"/>
    </w:p>
    <w:p w14:paraId="7168D76E" w14:textId="77777777" w:rsidR="00FA08E3" w:rsidRDefault="00FA08E3" w:rsidP="008037D4">
      <w:pPr>
        <w:spacing w:after="0"/>
      </w:pPr>
    </w:p>
    <w:p w14:paraId="30B4D8C6" w14:textId="302DA7C7" w:rsidR="00FA08E3" w:rsidRDefault="000822F1" w:rsidP="00FA08E3">
      <w:pPr>
        <w:rPr>
          <w:rFonts w:cs="Times New Roman"/>
          <w:szCs w:val="24"/>
          <w:lang w:val="en-US"/>
        </w:rPr>
      </w:pPr>
      <w:r>
        <w:t xml:space="preserve">Ontario’s </w:t>
      </w:r>
      <w:r w:rsidR="00094ABC">
        <w:t>central</w:t>
      </w:r>
      <w:r>
        <w:t xml:space="preserve"> piece of </w:t>
      </w:r>
      <w:r w:rsidR="008A4F68">
        <w:t>consumer</w:t>
      </w:r>
      <w:r w:rsidR="00B539ED">
        <w:t xml:space="preserve"> contracting</w:t>
      </w:r>
      <w:r w:rsidR="008A4F68">
        <w:t xml:space="preserve"> </w:t>
      </w:r>
      <w:r>
        <w:t xml:space="preserve">legislation is the </w:t>
      </w:r>
      <w:r w:rsidRPr="1F5E9E68">
        <w:rPr>
          <w:rFonts w:cs="Times New Roman"/>
          <w:i/>
          <w:iCs/>
          <w:lang w:val="en-US"/>
        </w:rPr>
        <w:t>Consumer Protection Act, 2002</w:t>
      </w:r>
      <w:r w:rsidRPr="1F5E9E68">
        <w:rPr>
          <w:rFonts w:cs="Times New Roman"/>
          <w:lang w:val="en-US"/>
        </w:rPr>
        <w:t xml:space="preserve"> (CPA)</w:t>
      </w:r>
      <w:r w:rsidRPr="1F5E9E68">
        <w:rPr>
          <w:rFonts w:cs="Times New Roman"/>
          <w:i/>
          <w:iCs/>
          <w:lang w:val="en-US"/>
        </w:rPr>
        <w:t>.</w:t>
      </w:r>
      <w:r w:rsidRPr="1F5E9E68">
        <w:rPr>
          <w:rStyle w:val="EndnoteReference"/>
          <w:rFonts w:cs="Times New Roman"/>
          <w:lang w:val="en-US"/>
        </w:rPr>
        <w:endnoteReference w:id="92"/>
      </w:r>
      <w:r w:rsidRPr="1F5E9E68">
        <w:rPr>
          <w:rFonts w:cs="Times New Roman"/>
          <w:lang w:val="en-US"/>
        </w:rPr>
        <w:t xml:space="preserve"> </w:t>
      </w:r>
      <w:r>
        <w:t xml:space="preserve">This legislation </w:t>
      </w:r>
      <w:r w:rsidRPr="00A4511F">
        <w:t xml:space="preserve">is intended </w:t>
      </w:r>
      <w:r w:rsidR="003F16AD">
        <w:t xml:space="preserve">to </w:t>
      </w:r>
      <w:r w:rsidRPr="00A4511F">
        <w:t>support a competitive marketplace</w:t>
      </w:r>
      <w:r>
        <w:t xml:space="preserve"> while protect</w:t>
      </w:r>
      <w:r w:rsidR="00611C53">
        <w:t xml:space="preserve">ing </w:t>
      </w:r>
      <w:r>
        <w:t xml:space="preserve">individuals </w:t>
      </w:r>
      <w:r w:rsidR="00D613B5">
        <w:t>entering</w:t>
      </w:r>
      <w:r>
        <w:t xml:space="preserve"> contracts for </w:t>
      </w:r>
      <w:r w:rsidRPr="00A4511F">
        <w:t>personal, family or household purposes</w:t>
      </w:r>
      <w:r w:rsidR="00094ABC">
        <w:t xml:space="preserve"> (as distinct from any “</w:t>
      </w:r>
      <w:r w:rsidRPr="00A4511F">
        <w:t>business purposes</w:t>
      </w:r>
      <w:r w:rsidR="00094ABC">
        <w:t>”)</w:t>
      </w:r>
      <w:r w:rsidRPr="00A4511F">
        <w:t>.</w:t>
      </w:r>
    </w:p>
    <w:p w14:paraId="754D1D28" w14:textId="75E02257" w:rsidR="00C15443" w:rsidRDefault="00094ABC" w:rsidP="00FA08E3">
      <w:pPr>
        <w:rPr>
          <w:lang w:val="en-US"/>
        </w:rPr>
      </w:pPr>
      <w:r>
        <w:rPr>
          <w:lang w:val="en-US"/>
        </w:rPr>
        <w:t xml:space="preserve">The CPA </w:t>
      </w:r>
      <w:r w:rsidR="004B18B4">
        <w:rPr>
          <w:lang w:val="en-US"/>
        </w:rPr>
        <w:t>asserts a very</w:t>
      </w:r>
      <w:r>
        <w:rPr>
          <w:lang w:val="en-US"/>
        </w:rPr>
        <w:t xml:space="preserve"> broad jurisdiction over consumer activities.</w:t>
      </w:r>
      <w:r w:rsidR="00611C53">
        <w:rPr>
          <w:lang w:val="en-US"/>
        </w:rPr>
        <w:t xml:space="preserve"> The CPA states that it governs </w:t>
      </w:r>
      <w:r w:rsidRPr="002D7E22">
        <w:rPr>
          <w:lang w:val="en-US"/>
        </w:rPr>
        <w:t>all consumer transactions “if the consumer or the person engaging in the transaction with the consumer is located in Ontario when the transaction takes place.”</w:t>
      </w:r>
      <w:r w:rsidRPr="1F5E9E68">
        <w:rPr>
          <w:rStyle w:val="EndnoteReference"/>
          <w:rFonts w:cs="Times New Roman"/>
          <w:lang w:val="en-US"/>
        </w:rPr>
        <w:endnoteReference w:id="93"/>
      </w:r>
      <w:r w:rsidR="009E0094">
        <w:rPr>
          <w:lang w:val="en-US"/>
        </w:rPr>
        <w:t xml:space="preserve"> </w:t>
      </w:r>
    </w:p>
    <w:p w14:paraId="3371D07D" w14:textId="10C2CC66" w:rsidR="00611C53" w:rsidRDefault="00611C53" w:rsidP="00611C53">
      <w:pPr>
        <w:rPr>
          <w:lang w:val="en-US"/>
        </w:rPr>
      </w:pPr>
      <w:r>
        <w:rPr>
          <w:lang w:val="en-US"/>
        </w:rPr>
        <w:t>“</w:t>
      </w:r>
      <w:r w:rsidR="00C15443">
        <w:rPr>
          <w:lang w:val="en-US"/>
        </w:rPr>
        <w:t>C</w:t>
      </w:r>
      <w:r>
        <w:rPr>
          <w:lang w:val="en-US"/>
        </w:rPr>
        <w:t xml:space="preserve">onsumer transactions” </w:t>
      </w:r>
      <w:r w:rsidR="00C15443">
        <w:rPr>
          <w:lang w:val="en-US"/>
        </w:rPr>
        <w:t xml:space="preserve">are further defined to </w:t>
      </w:r>
      <w:r>
        <w:rPr>
          <w:lang w:val="en-US"/>
        </w:rPr>
        <w:t>include transactions with</w:t>
      </w:r>
      <w:r w:rsidR="00CF7EA0">
        <w:rPr>
          <w:lang w:val="en-US"/>
        </w:rPr>
        <w:t>:</w:t>
      </w:r>
    </w:p>
    <w:p w14:paraId="5866C235" w14:textId="10BAD0DF" w:rsidR="00611C53" w:rsidRDefault="00611C53" w:rsidP="00611C53">
      <w:pPr>
        <w:ind w:left="720"/>
        <w:rPr>
          <w:i/>
        </w:rPr>
      </w:pPr>
      <w:r w:rsidRPr="1F5E9E68">
        <w:rPr>
          <w:i/>
          <w:iCs/>
        </w:rPr>
        <w:t>…an Ontario nexus, with either the consumer being resident in Ontario or the supplier engaging in a transaction with a consumer that is resident in Ontario (i.e., the Act applies to suppliers that are not Ontario-based)</w:t>
      </w:r>
      <w:r w:rsidR="003F16AD" w:rsidRPr="1F5E9E68">
        <w:rPr>
          <w:i/>
          <w:iCs/>
        </w:rPr>
        <w:t>.</w:t>
      </w:r>
      <w:r w:rsidRPr="1F5E9E68">
        <w:rPr>
          <w:rStyle w:val="EndnoteReference"/>
        </w:rPr>
        <w:endnoteReference w:id="94"/>
      </w:r>
      <w:r w:rsidRPr="003F16AD">
        <w:rPr>
          <w:iCs/>
        </w:rPr>
        <w:t xml:space="preserve"> </w:t>
      </w:r>
    </w:p>
    <w:p w14:paraId="6727BCD7" w14:textId="5CBF5815" w:rsidR="00611C53" w:rsidRDefault="00611C53" w:rsidP="00611C53">
      <w:pPr>
        <w:rPr>
          <w:lang w:val="en-US"/>
        </w:rPr>
      </w:pPr>
      <w:r w:rsidRPr="00611C53">
        <w:t>Consumer transactions also include “</w:t>
      </w:r>
      <w:r w:rsidR="009840C3" w:rsidRPr="00611C53">
        <w:t>consumer agreements and all business dealings with a consumer prior to, at the time of</w:t>
      </w:r>
      <w:r w:rsidR="3FED7A01" w:rsidRPr="00611C53">
        <w:t>,</w:t>
      </w:r>
      <w:r w:rsidR="009840C3" w:rsidRPr="00611C53">
        <w:t xml:space="preserve"> and after the entering into, of a consumer agreement.”</w:t>
      </w:r>
      <w:r w:rsidR="009840C3" w:rsidRPr="00611C53">
        <w:rPr>
          <w:rStyle w:val="EndnoteReference"/>
        </w:rPr>
        <w:endnoteReference w:id="95"/>
      </w:r>
      <w:r w:rsidR="009E0094">
        <w:rPr>
          <w:lang w:val="en-US"/>
        </w:rPr>
        <w:t xml:space="preserve"> </w:t>
      </w:r>
    </w:p>
    <w:p w14:paraId="2C3F417F" w14:textId="4949BD32" w:rsidR="00DD65E3" w:rsidRDefault="003672C6" w:rsidP="000822F1">
      <w:r>
        <w:t xml:space="preserve">Courts </w:t>
      </w:r>
      <w:r w:rsidR="00C15443">
        <w:t xml:space="preserve">have </w:t>
      </w:r>
      <w:r w:rsidR="00611C53">
        <w:t>acknowledge</w:t>
      </w:r>
      <w:r w:rsidR="00C15443">
        <w:t>d</w:t>
      </w:r>
      <w:r w:rsidR="00611C53">
        <w:t xml:space="preserve"> the </w:t>
      </w:r>
      <w:r w:rsidR="003F16AD">
        <w:t xml:space="preserve">central </w:t>
      </w:r>
      <w:r w:rsidR="00611C53">
        <w:t xml:space="preserve">remedial purpose of the CPA. In a recent decision, the Ontario Superior Court of Justice stated that </w:t>
      </w:r>
      <w:r w:rsidR="00867A7D">
        <w:t>c</w:t>
      </w:r>
      <w:r>
        <w:t>onsumers are</w:t>
      </w:r>
      <w:r w:rsidR="00DD65E3">
        <w:t>:</w:t>
      </w:r>
    </w:p>
    <w:p w14:paraId="41E3ECA6" w14:textId="74F4734F" w:rsidR="00DD65E3" w:rsidRDefault="006F09FA" w:rsidP="00FA08E3">
      <w:pPr>
        <w:pStyle w:val="Quote"/>
        <w:jc w:val="left"/>
      </w:pPr>
      <w:r w:rsidRPr="1F5E9E68">
        <w:rPr>
          <w:i/>
          <w:iCs/>
        </w:rPr>
        <w:t xml:space="preserve">… </w:t>
      </w:r>
      <w:r w:rsidR="003672C6" w:rsidRPr="1F5E9E68">
        <w:rPr>
          <w:i/>
          <w:iCs/>
        </w:rPr>
        <w:t>relatively unsophisticated, less powerful, and more vulnerable than busines</w:t>
      </w:r>
      <w:r w:rsidR="00854550" w:rsidRPr="1F5E9E68">
        <w:rPr>
          <w:i/>
          <w:iCs/>
        </w:rPr>
        <w:t>ses</w:t>
      </w:r>
      <w:r w:rsidR="003672C6" w:rsidRPr="1F5E9E68">
        <w:rPr>
          <w:i/>
          <w:iCs/>
        </w:rPr>
        <w:t>, and are the very group who the Act was designed to protect… as remedial legislation that should be liberally construed in order to give effect to its objects</w:t>
      </w:r>
      <w:r w:rsidR="00854550" w:rsidRPr="1F5E9E68">
        <w:rPr>
          <w:i/>
          <w:iCs/>
        </w:rPr>
        <w:t>..</w:t>
      </w:r>
      <w:r w:rsidR="003672C6" w:rsidRPr="1F5E9E68">
        <w:rPr>
          <w:i/>
          <w:iCs/>
        </w:rPr>
        <w:t>.</w:t>
      </w:r>
      <w:r w:rsidR="00854550" w:rsidRPr="1F5E9E68">
        <w:rPr>
          <w:i/>
          <w:iCs/>
        </w:rPr>
        <w:t xml:space="preserve"> an identified class of individuals – consumers</w:t>
      </w:r>
      <w:r w:rsidR="00854550">
        <w:t>.</w:t>
      </w:r>
      <w:r w:rsidR="003672C6">
        <w:rPr>
          <w:rStyle w:val="EndnoteReference"/>
        </w:rPr>
        <w:endnoteReference w:id="96"/>
      </w:r>
    </w:p>
    <w:p w14:paraId="1554DC04" w14:textId="77777777" w:rsidR="00094ABC" w:rsidRDefault="00094ABC" w:rsidP="00FA08E3">
      <w:pPr>
        <w:pStyle w:val="Quote"/>
        <w:jc w:val="left"/>
      </w:pPr>
    </w:p>
    <w:p w14:paraId="5E6CD11B" w14:textId="251A2EBE" w:rsidR="004E2761" w:rsidRDefault="00FA08E3" w:rsidP="00FA08E3">
      <w:pPr>
        <w:pStyle w:val="Quote"/>
        <w:jc w:val="left"/>
      </w:pPr>
      <w:r w:rsidRPr="1F5E9E68">
        <w:rPr>
          <w:i/>
          <w:iCs/>
        </w:rPr>
        <w:t>[</w:t>
      </w:r>
      <w:r w:rsidR="009840C3" w:rsidRPr="1F5E9E68">
        <w:rPr>
          <w:i/>
          <w:iCs/>
        </w:rPr>
        <w:t>Additionally,</w:t>
      </w:r>
      <w:r w:rsidRPr="1F5E9E68">
        <w:rPr>
          <w:i/>
          <w:iCs/>
        </w:rPr>
        <w:t>]</w:t>
      </w:r>
      <w:r w:rsidR="009840C3" w:rsidRPr="1F5E9E68">
        <w:rPr>
          <w:i/>
          <w:iCs/>
        </w:rPr>
        <w:t xml:space="preserve"> </w:t>
      </w:r>
      <w:r w:rsidRPr="1F5E9E68">
        <w:rPr>
          <w:i/>
          <w:iCs/>
        </w:rPr>
        <w:t>[c]</w:t>
      </w:r>
      <w:r w:rsidR="009840C3" w:rsidRPr="1F5E9E68">
        <w:rPr>
          <w:i/>
          <w:iCs/>
        </w:rPr>
        <w:t>onsumer protection legislation is inherently focused on consumers as its main objectives are: (1) protecting consumers; (2) restoring balance in the contractual relationship between suppliers and consumers; and (3) eliminating unfair and misleading practices</w:t>
      </w:r>
      <w:r w:rsidR="009840C3">
        <w:t>.</w:t>
      </w:r>
      <w:r w:rsidR="009840C3">
        <w:rPr>
          <w:rStyle w:val="EndnoteReference"/>
        </w:rPr>
        <w:endnoteReference w:id="97"/>
      </w:r>
    </w:p>
    <w:p w14:paraId="23C49B72" w14:textId="77777777" w:rsidR="00DD65E3" w:rsidRDefault="00DD65E3" w:rsidP="000822F1"/>
    <w:p w14:paraId="572BA4EF" w14:textId="4F358DAB" w:rsidR="00FB7CE1" w:rsidRDefault="00611C53" w:rsidP="000822F1">
      <w:r>
        <w:t xml:space="preserve">A </w:t>
      </w:r>
      <w:r w:rsidR="00C15443">
        <w:t xml:space="preserve">second </w:t>
      </w:r>
      <w:r>
        <w:t>Ontario Superior Court further held that</w:t>
      </w:r>
      <w:r w:rsidR="00FB7CE1">
        <w:t>:</w:t>
      </w:r>
    </w:p>
    <w:p w14:paraId="4384B1EB" w14:textId="659155B3" w:rsidR="006F09FA" w:rsidRDefault="00FB7CE1" w:rsidP="00FA08E3">
      <w:pPr>
        <w:pStyle w:val="Quote"/>
        <w:jc w:val="left"/>
      </w:pPr>
      <w:r w:rsidRPr="1F5E9E68">
        <w:rPr>
          <w:i/>
          <w:iCs/>
        </w:rPr>
        <w:t xml:space="preserve">A court or tribunal must look at the real essence of the transaction and disregard the technical or formal nature. This provision </w:t>
      </w:r>
      <w:r w:rsidR="00CD2517" w:rsidRPr="1F5E9E68">
        <w:t xml:space="preserve">[CPA section 3, an </w:t>
      </w:r>
      <w:r w:rsidR="00CD2517">
        <w:t xml:space="preserve">“anti-avoidance” provision] </w:t>
      </w:r>
      <w:r w:rsidRPr="1F5E9E68">
        <w:rPr>
          <w:i/>
          <w:iCs/>
        </w:rPr>
        <w:t>attempts to address transactions that are structured in an attempt to avoid the application of the Act, as well as instances where it is not expressly clear that the agreement or transaction falls within the purview of the Act.</w:t>
      </w:r>
      <w:r>
        <w:rPr>
          <w:rStyle w:val="EndnoteReference"/>
        </w:rPr>
        <w:endnoteReference w:id="98"/>
      </w:r>
    </w:p>
    <w:p w14:paraId="046956F1" w14:textId="77777777" w:rsidR="00576B6D" w:rsidRDefault="00576B6D" w:rsidP="00576B6D">
      <w:pPr>
        <w:spacing w:after="0"/>
      </w:pPr>
    </w:p>
    <w:p w14:paraId="39605AAB" w14:textId="77777777" w:rsidR="00C15443" w:rsidRDefault="00C15443" w:rsidP="0004490B">
      <w:pPr>
        <w:pStyle w:val="Heading3"/>
      </w:pPr>
    </w:p>
    <w:p w14:paraId="7777E720" w14:textId="77777777" w:rsidR="00516AFF" w:rsidRPr="00516AFF" w:rsidRDefault="00516AFF" w:rsidP="00516AFF"/>
    <w:p w14:paraId="7914C971" w14:textId="39DEF4C1" w:rsidR="00FA08E3" w:rsidRDefault="0004490B" w:rsidP="0004490B">
      <w:pPr>
        <w:pStyle w:val="Heading3"/>
      </w:pPr>
      <w:bookmarkStart w:id="44" w:name="_Toc138151836"/>
      <w:r>
        <w:lastRenderedPageBreak/>
        <w:t xml:space="preserve">3.1.2 </w:t>
      </w:r>
      <w:r w:rsidR="00B8770E">
        <w:t xml:space="preserve">General </w:t>
      </w:r>
      <w:r w:rsidR="00FA08E3">
        <w:t>Protections and Standard Terms</w:t>
      </w:r>
      <w:bookmarkEnd w:id="44"/>
    </w:p>
    <w:p w14:paraId="20807AA9" w14:textId="77777777" w:rsidR="00576B6D" w:rsidRDefault="00576B6D" w:rsidP="00576B6D">
      <w:pPr>
        <w:spacing w:after="0"/>
      </w:pPr>
    </w:p>
    <w:p w14:paraId="1381C742" w14:textId="598584D2" w:rsidR="004416AB" w:rsidRDefault="00C15443" w:rsidP="00576B6D">
      <w:pPr>
        <w:spacing w:after="0"/>
      </w:pPr>
      <w:r>
        <w:t>T</w:t>
      </w:r>
      <w:r w:rsidR="00CD2517">
        <w:t xml:space="preserve">he </w:t>
      </w:r>
      <w:r w:rsidR="004416AB" w:rsidRPr="00A4511F">
        <w:t>CPA</w:t>
      </w:r>
      <w:r w:rsidR="004416AB">
        <w:t xml:space="preserve"> </w:t>
      </w:r>
      <w:r w:rsidR="00EB2279">
        <w:t xml:space="preserve">sets out </w:t>
      </w:r>
      <w:r w:rsidR="00FD3483">
        <w:t xml:space="preserve">many explicit </w:t>
      </w:r>
      <w:r w:rsidR="00EB2279">
        <w:t>protections and standard terms to ensure basic fairness to consumers</w:t>
      </w:r>
      <w:r w:rsidR="00FD3483">
        <w:t>, including</w:t>
      </w:r>
      <w:r w:rsidR="00EB2279">
        <w:t>:</w:t>
      </w:r>
      <w:r w:rsidR="00204EF2">
        <w:br/>
      </w:r>
    </w:p>
    <w:p w14:paraId="09BAA80B" w14:textId="77777777" w:rsidR="00C15443" w:rsidRPr="00C15443" w:rsidRDefault="00C15443" w:rsidP="00470F77">
      <w:pPr>
        <w:pStyle w:val="ListParagraph"/>
        <w:numPr>
          <w:ilvl w:val="0"/>
          <w:numId w:val="61"/>
        </w:numPr>
      </w:pPr>
      <w:r w:rsidRPr="00C15443">
        <w:t xml:space="preserve">Establishing and protecting basic consumer rights with respect to </w:t>
      </w:r>
      <w:r w:rsidRPr="007A41A0">
        <w:t>consumer agreements.</w:t>
      </w:r>
      <w:r w:rsidRPr="00C15443">
        <w:rPr>
          <w:rStyle w:val="EndnoteReference"/>
        </w:rPr>
        <w:endnoteReference w:id="99"/>
      </w:r>
    </w:p>
    <w:p w14:paraId="68423A27" w14:textId="3CB8665C" w:rsidR="004416AB" w:rsidRPr="00C15443" w:rsidRDefault="00FD3483" w:rsidP="00470F77">
      <w:pPr>
        <w:pStyle w:val="ListParagraph"/>
        <w:numPr>
          <w:ilvl w:val="0"/>
          <w:numId w:val="61"/>
        </w:numPr>
      </w:pPr>
      <w:r w:rsidRPr="00C15443">
        <w:t>Banning</w:t>
      </w:r>
      <w:r w:rsidR="004416AB" w:rsidRPr="00C15443">
        <w:t xml:space="preserve"> unfair practices </w:t>
      </w:r>
      <w:r w:rsidR="00886076" w:rsidRPr="00C15443">
        <w:t xml:space="preserve">like </w:t>
      </w:r>
      <w:r w:rsidR="00886076" w:rsidRPr="007A41A0">
        <w:t>deception</w:t>
      </w:r>
      <w:r w:rsidR="00886076" w:rsidRPr="00C15443">
        <w:t xml:space="preserve"> and </w:t>
      </w:r>
      <w:r w:rsidR="00886076" w:rsidRPr="007A41A0">
        <w:t>unconscionable terms</w:t>
      </w:r>
      <w:r w:rsidR="00C15443" w:rsidRPr="00C15443">
        <w:t xml:space="preserve"> </w:t>
      </w:r>
      <w:r w:rsidRPr="00C15443">
        <w:t>w</w:t>
      </w:r>
      <w:r w:rsidR="004416AB" w:rsidRPr="00C15443">
        <w:t>here “the consumer transaction is excessively one-sided in favour of someone other than the consumer,” where “the terms of the consumer transaction are so averse to the consumer as to be inequitable</w:t>
      </w:r>
      <w:r w:rsidRPr="00C15443">
        <w:t>,</w:t>
      </w:r>
      <w:r w:rsidR="004416AB" w:rsidRPr="00C15443">
        <w:t xml:space="preserve">” </w:t>
      </w:r>
      <w:r w:rsidRPr="00C15443">
        <w:t xml:space="preserve">and </w:t>
      </w:r>
      <w:r w:rsidR="004416AB" w:rsidRPr="00C15443">
        <w:t>where “the consumer is being subjected to undue pressure to enter into a consumer transaction</w:t>
      </w:r>
      <w:r w:rsidRPr="00C15443">
        <w:t>.</w:t>
      </w:r>
      <w:r w:rsidR="004416AB" w:rsidRPr="00C15443">
        <w:t>”</w:t>
      </w:r>
      <w:r w:rsidR="004416AB" w:rsidRPr="00C15443">
        <w:rPr>
          <w:rStyle w:val="EndnoteReference"/>
        </w:rPr>
        <w:endnoteReference w:id="100"/>
      </w:r>
    </w:p>
    <w:p w14:paraId="4FBDDD7B" w14:textId="502EFE7B" w:rsidR="004416AB" w:rsidRPr="00C15443" w:rsidRDefault="00FD3483" w:rsidP="00470F77">
      <w:pPr>
        <w:pStyle w:val="ListParagraph"/>
        <w:numPr>
          <w:ilvl w:val="0"/>
          <w:numId w:val="61"/>
        </w:numPr>
      </w:pPr>
      <w:r w:rsidRPr="00C15443">
        <w:t xml:space="preserve">Establishing </w:t>
      </w:r>
      <w:r w:rsidR="00886076" w:rsidRPr="00C15443">
        <w:t xml:space="preserve">forms of </w:t>
      </w:r>
      <w:r w:rsidR="00886076" w:rsidRPr="007A41A0">
        <w:t>notice</w:t>
      </w:r>
      <w:r w:rsidR="00886076" w:rsidRPr="00C15443">
        <w:t xml:space="preserve"> and </w:t>
      </w:r>
      <w:r w:rsidR="00886076" w:rsidRPr="007A41A0">
        <w:t>disclosure</w:t>
      </w:r>
      <w:r w:rsidR="00886076" w:rsidRPr="00C15443">
        <w:t xml:space="preserve">, including </w:t>
      </w:r>
      <w:r w:rsidRPr="00C15443">
        <w:t>which contracts must be in writing</w:t>
      </w:r>
      <w:r w:rsidR="004416AB" w:rsidRPr="00C15443">
        <w:t xml:space="preserve">, what information must be provided, and additional rules </w:t>
      </w:r>
      <w:r w:rsidR="00C15443" w:rsidRPr="00C15443">
        <w:t xml:space="preserve">governing </w:t>
      </w:r>
      <w:r w:rsidR="00DF68DA" w:rsidRPr="00C15443">
        <w:t>specific types of</w:t>
      </w:r>
      <w:r w:rsidR="004416AB" w:rsidRPr="00C15443">
        <w:t xml:space="preserve"> contracts</w:t>
      </w:r>
      <w:r w:rsidRPr="00C15443">
        <w:t>.</w:t>
      </w:r>
      <w:r w:rsidR="004E41A8" w:rsidRPr="00C15443">
        <w:rPr>
          <w:rStyle w:val="EndnoteReference"/>
        </w:rPr>
        <w:endnoteReference w:id="101"/>
      </w:r>
    </w:p>
    <w:p w14:paraId="41E6A66E" w14:textId="55D49604" w:rsidR="004416AB" w:rsidRPr="00C15443" w:rsidRDefault="00FD3483" w:rsidP="00470F77">
      <w:pPr>
        <w:pStyle w:val="ListParagraph"/>
        <w:numPr>
          <w:ilvl w:val="0"/>
          <w:numId w:val="61"/>
        </w:numPr>
      </w:pPr>
      <w:r w:rsidRPr="00C15443">
        <w:t xml:space="preserve">Protecting </w:t>
      </w:r>
      <w:r w:rsidRPr="007A41A0">
        <w:t>vulnerable persons</w:t>
      </w:r>
      <w:r w:rsidRPr="00C15443">
        <w:t xml:space="preserve"> where “</w:t>
      </w:r>
      <w:r w:rsidR="004416AB" w:rsidRPr="00C15443">
        <w:t>the consumer is not reasonably able to protect his or her interests because of disability, ignorance, illiteracy, inability to understand the language of an agreement or similar factors</w:t>
      </w:r>
      <w:r w:rsidR="00730E47">
        <w:t>.</w:t>
      </w:r>
      <w:r w:rsidR="004416AB" w:rsidRPr="00C15443">
        <w:t>”</w:t>
      </w:r>
      <w:r w:rsidR="004416AB" w:rsidRPr="00C15443">
        <w:rPr>
          <w:rStyle w:val="EndnoteReference"/>
        </w:rPr>
        <w:endnoteReference w:id="102"/>
      </w:r>
    </w:p>
    <w:p w14:paraId="0C25E073" w14:textId="6A273CD9" w:rsidR="00AA53AF" w:rsidRPr="00C15443" w:rsidRDefault="00AA53AF" w:rsidP="00470F77">
      <w:pPr>
        <w:pStyle w:val="ListParagraph"/>
        <w:numPr>
          <w:ilvl w:val="0"/>
          <w:numId w:val="61"/>
        </w:numPr>
      </w:pPr>
      <w:r w:rsidRPr="00C15443">
        <w:t xml:space="preserve">Facilitating </w:t>
      </w:r>
      <w:r w:rsidRPr="007A41A0">
        <w:t>access to justice</w:t>
      </w:r>
      <w:r w:rsidRPr="00C15443">
        <w:t xml:space="preserve"> through a complaints and investigation mechanism at the Consumer Protection Ontario (under the Ministry of Public and Business Service Delivery), and </w:t>
      </w:r>
      <w:r w:rsidR="37082BF0" w:rsidRPr="00C15443">
        <w:t xml:space="preserve">the </w:t>
      </w:r>
      <w:r w:rsidRPr="00C15443">
        <w:t>right to commence actions through the Superior Court of Justice.</w:t>
      </w:r>
      <w:r w:rsidRPr="00C15443">
        <w:rPr>
          <w:rStyle w:val="EndnoteReference"/>
        </w:rPr>
        <w:endnoteReference w:id="103"/>
      </w:r>
    </w:p>
    <w:p w14:paraId="488B8F45" w14:textId="6E372136" w:rsidR="004416AB" w:rsidRDefault="00FD3483" w:rsidP="00470F77">
      <w:pPr>
        <w:pStyle w:val="ListParagraph"/>
        <w:numPr>
          <w:ilvl w:val="0"/>
          <w:numId w:val="61"/>
        </w:numPr>
      </w:pPr>
      <w:r>
        <w:t xml:space="preserve">Prohibiting </w:t>
      </w:r>
      <w:r w:rsidR="00EB2279">
        <w:t xml:space="preserve">terms that would require </w:t>
      </w:r>
      <w:r w:rsidR="004416AB">
        <w:t>mandatory arbitration of disputes</w:t>
      </w:r>
      <w:r w:rsidR="004416AB">
        <w:rPr>
          <w:rStyle w:val="EndnoteReference"/>
        </w:rPr>
        <w:endnoteReference w:id="104"/>
      </w:r>
    </w:p>
    <w:p w14:paraId="12FC2BCB" w14:textId="44CEB03E" w:rsidR="004416AB" w:rsidRDefault="00FD3483" w:rsidP="00470F77">
      <w:pPr>
        <w:pStyle w:val="ListParagraph"/>
        <w:numPr>
          <w:ilvl w:val="0"/>
          <w:numId w:val="61"/>
        </w:numPr>
      </w:pPr>
      <w:r>
        <w:t xml:space="preserve">Prohibiting </w:t>
      </w:r>
      <w:r w:rsidR="00EB2279">
        <w:t xml:space="preserve">terms that would </w:t>
      </w:r>
      <w:r w:rsidR="004416AB">
        <w:t>waive the right to commence or become a member in a class action</w:t>
      </w:r>
      <w:r w:rsidR="00AA53AF">
        <w:t>.</w:t>
      </w:r>
      <w:r w:rsidR="004416AB">
        <w:rPr>
          <w:rStyle w:val="EndnoteReference"/>
        </w:rPr>
        <w:endnoteReference w:id="105"/>
      </w:r>
    </w:p>
    <w:p w14:paraId="71BADF1C" w14:textId="1AA0D7F9" w:rsidR="00576B6D" w:rsidRPr="0065498C" w:rsidRDefault="006B76B2" w:rsidP="0065498C">
      <w:pPr>
        <w:rPr>
          <w:rFonts w:cs="Times New Roman"/>
          <w:szCs w:val="24"/>
          <w:lang w:val="en-US"/>
        </w:rPr>
      </w:pPr>
      <w:r>
        <w:rPr>
          <w:rFonts w:cs="Times New Roman"/>
          <w:szCs w:val="24"/>
          <w:lang w:val="en-US"/>
        </w:rPr>
        <w:t>To achieve these objectives t</w:t>
      </w:r>
      <w:r w:rsidR="002C51A5">
        <w:rPr>
          <w:rFonts w:cs="Times New Roman"/>
          <w:szCs w:val="24"/>
          <w:lang w:val="en-US"/>
        </w:rPr>
        <w:t>he</w:t>
      </w:r>
      <w:r w:rsidR="008A5AC7">
        <w:rPr>
          <w:rFonts w:cs="Times New Roman"/>
          <w:szCs w:val="24"/>
          <w:lang w:val="en-US"/>
        </w:rPr>
        <w:t xml:space="preserve"> CPA </w:t>
      </w:r>
      <w:r w:rsidR="00D7132A">
        <w:rPr>
          <w:rFonts w:cs="Times New Roman"/>
          <w:szCs w:val="24"/>
          <w:lang w:val="en-US"/>
        </w:rPr>
        <w:t xml:space="preserve">adopts </w:t>
      </w:r>
      <w:r w:rsidR="00D038B5">
        <w:rPr>
          <w:rFonts w:cs="Times New Roman"/>
          <w:szCs w:val="24"/>
          <w:lang w:val="en-US"/>
        </w:rPr>
        <w:t>a mix</w:t>
      </w:r>
      <w:r w:rsidR="004E41A8">
        <w:rPr>
          <w:rFonts w:cs="Times New Roman"/>
          <w:szCs w:val="24"/>
          <w:lang w:val="en-US"/>
        </w:rPr>
        <w:t xml:space="preserve"> of </w:t>
      </w:r>
      <w:r w:rsidR="00AA53AF">
        <w:rPr>
          <w:rFonts w:cs="Times New Roman"/>
          <w:szCs w:val="24"/>
          <w:lang w:val="en-US"/>
        </w:rPr>
        <w:t xml:space="preserve">legislative and regulatory provisions. </w:t>
      </w:r>
      <w:r w:rsidR="00730E47">
        <w:rPr>
          <w:rFonts w:cs="Times New Roman"/>
          <w:szCs w:val="24"/>
          <w:lang w:val="en-US"/>
        </w:rPr>
        <w:t xml:space="preserve">CPA Parts 2 and 3 establish rules </w:t>
      </w:r>
      <w:r w:rsidR="00AA53AF">
        <w:rPr>
          <w:rFonts w:cs="Times New Roman"/>
          <w:szCs w:val="24"/>
          <w:lang w:val="en-US"/>
        </w:rPr>
        <w:t>govern</w:t>
      </w:r>
      <w:r w:rsidR="00730E47">
        <w:rPr>
          <w:rFonts w:cs="Times New Roman"/>
          <w:szCs w:val="24"/>
          <w:lang w:val="en-US"/>
        </w:rPr>
        <w:t>ing</w:t>
      </w:r>
      <w:r w:rsidR="00AA53AF">
        <w:rPr>
          <w:rFonts w:cs="Times New Roman"/>
          <w:szCs w:val="24"/>
          <w:lang w:val="en-US"/>
        </w:rPr>
        <w:t xml:space="preserve"> consumer agreements in general</w:t>
      </w:r>
      <w:r w:rsidR="00730E47">
        <w:rPr>
          <w:rFonts w:cs="Times New Roman"/>
          <w:szCs w:val="24"/>
          <w:lang w:val="en-US"/>
        </w:rPr>
        <w:t xml:space="preserve">, while </w:t>
      </w:r>
      <w:r w:rsidR="000A1193">
        <w:rPr>
          <w:rFonts w:cs="Times New Roman"/>
          <w:szCs w:val="24"/>
          <w:lang w:val="en-US"/>
        </w:rPr>
        <w:t>CPA Part</w:t>
      </w:r>
      <w:r w:rsidR="00730E47">
        <w:rPr>
          <w:rFonts w:cs="Times New Roman"/>
          <w:szCs w:val="24"/>
          <w:lang w:val="en-US"/>
        </w:rPr>
        <w:t xml:space="preserve">s 4 – 8 </w:t>
      </w:r>
      <w:r w:rsidR="000A1193">
        <w:rPr>
          <w:rFonts w:cs="Times New Roman"/>
          <w:szCs w:val="24"/>
          <w:lang w:val="en-US"/>
        </w:rPr>
        <w:t>establish</w:t>
      </w:r>
      <w:r w:rsidR="00AA53AF">
        <w:rPr>
          <w:rFonts w:cs="Times New Roman"/>
          <w:szCs w:val="24"/>
          <w:lang w:val="en-US"/>
        </w:rPr>
        <w:t xml:space="preserve"> </w:t>
      </w:r>
      <w:r w:rsidR="000A1193">
        <w:rPr>
          <w:rFonts w:cs="Times New Roman"/>
          <w:szCs w:val="24"/>
          <w:lang w:val="en-US"/>
        </w:rPr>
        <w:t xml:space="preserve">specific </w:t>
      </w:r>
      <w:r w:rsidR="00C15443">
        <w:rPr>
          <w:rFonts w:cs="Times New Roman"/>
          <w:szCs w:val="24"/>
          <w:lang w:val="en-US"/>
        </w:rPr>
        <w:t xml:space="preserve">rules governing </w:t>
      </w:r>
      <w:r w:rsidR="00AA53AF">
        <w:rPr>
          <w:rFonts w:cs="Times New Roman"/>
          <w:szCs w:val="24"/>
          <w:lang w:val="en-US"/>
        </w:rPr>
        <w:t>certain types of commercial activity and transactions.</w:t>
      </w:r>
    </w:p>
    <w:p w14:paraId="13C42B07" w14:textId="517D4C8C" w:rsidR="006B0809" w:rsidRDefault="006B0809" w:rsidP="00576B6D">
      <w:pPr>
        <w:spacing w:after="0"/>
        <w:rPr>
          <w:rFonts w:cs="Times New Roman"/>
          <w:szCs w:val="24"/>
          <w:lang w:val="en-US"/>
        </w:rPr>
      </w:pPr>
      <w:r>
        <w:rPr>
          <w:rFonts w:cs="Times New Roman"/>
          <w:szCs w:val="24"/>
          <w:lang w:val="en-US"/>
        </w:rPr>
        <w:t xml:space="preserve">Parts 2 and 3 of the CPA </w:t>
      </w:r>
      <w:r w:rsidR="00B23DDF">
        <w:rPr>
          <w:rFonts w:cs="Times New Roman"/>
          <w:szCs w:val="24"/>
          <w:lang w:val="en-US"/>
        </w:rPr>
        <w:t xml:space="preserve">are </w:t>
      </w:r>
      <w:r w:rsidR="000A1193">
        <w:rPr>
          <w:rFonts w:cs="Times New Roman"/>
          <w:szCs w:val="24"/>
          <w:lang w:val="en-US"/>
        </w:rPr>
        <w:t>generally</w:t>
      </w:r>
      <w:r w:rsidR="00B23DDF">
        <w:rPr>
          <w:rFonts w:cs="Times New Roman"/>
          <w:szCs w:val="24"/>
          <w:lang w:val="en-US"/>
        </w:rPr>
        <w:t xml:space="preserve"> applicable </w:t>
      </w:r>
      <w:r>
        <w:rPr>
          <w:rFonts w:cs="Times New Roman"/>
          <w:szCs w:val="24"/>
          <w:lang w:val="en-US"/>
        </w:rPr>
        <w:t xml:space="preserve">to most transactions. </w:t>
      </w:r>
      <w:r w:rsidR="00D038B5">
        <w:rPr>
          <w:rFonts w:cs="Times New Roman"/>
          <w:szCs w:val="24"/>
          <w:lang w:val="en-US"/>
        </w:rPr>
        <w:t xml:space="preserve">Part 2 includes several </w:t>
      </w:r>
      <w:r w:rsidR="00FD3483">
        <w:rPr>
          <w:rFonts w:cs="Times New Roman"/>
          <w:szCs w:val="24"/>
          <w:lang w:val="en-US"/>
        </w:rPr>
        <w:t xml:space="preserve">prohibitions or limitations </w:t>
      </w:r>
      <w:r w:rsidR="00B23DDF">
        <w:rPr>
          <w:rFonts w:cs="Times New Roman"/>
          <w:szCs w:val="24"/>
          <w:lang w:val="en-US"/>
        </w:rPr>
        <w:t>on issues</w:t>
      </w:r>
      <w:r w:rsidR="00204EF2">
        <w:rPr>
          <w:rFonts w:cs="Times New Roman"/>
          <w:szCs w:val="24"/>
          <w:lang w:val="en-US"/>
        </w:rPr>
        <w:t xml:space="preserve"> arising </w:t>
      </w:r>
      <w:r w:rsidR="00B23DDF">
        <w:rPr>
          <w:rFonts w:cs="Times New Roman"/>
          <w:szCs w:val="24"/>
          <w:lang w:val="en-US"/>
        </w:rPr>
        <w:t>with ToS contracts, including</w:t>
      </w:r>
      <w:r>
        <w:rPr>
          <w:rFonts w:cs="Times New Roman"/>
          <w:szCs w:val="24"/>
          <w:lang w:val="en-US"/>
        </w:rPr>
        <w:t>:</w:t>
      </w:r>
    </w:p>
    <w:p w14:paraId="2EAAFA94" w14:textId="77777777" w:rsidR="00204EF2" w:rsidRDefault="00204EF2" w:rsidP="00576B6D">
      <w:pPr>
        <w:spacing w:after="0"/>
        <w:rPr>
          <w:rFonts w:cs="Times New Roman"/>
          <w:szCs w:val="24"/>
          <w:lang w:val="en-US"/>
        </w:rPr>
      </w:pPr>
    </w:p>
    <w:p w14:paraId="42CD0103" w14:textId="1A5BFFED" w:rsidR="006B0809" w:rsidRDefault="006B0809" w:rsidP="00470F77">
      <w:pPr>
        <w:pStyle w:val="ListParagraph"/>
        <w:numPr>
          <w:ilvl w:val="0"/>
          <w:numId w:val="15"/>
        </w:numPr>
        <w:rPr>
          <w:rFonts w:cs="Times New Roman"/>
          <w:szCs w:val="24"/>
          <w:lang w:val="en-US"/>
        </w:rPr>
      </w:pPr>
      <w:r w:rsidRPr="1F5E9E68">
        <w:rPr>
          <w:rFonts w:cs="Times New Roman"/>
          <w:lang w:val="en-US"/>
        </w:rPr>
        <w:t>No waiver of substantive and procedural rights</w:t>
      </w:r>
      <w:r w:rsidR="00B23DDF" w:rsidRPr="1F5E9E68">
        <w:rPr>
          <w:rFonts w:cs="Times New Roman"/>
          <w:lang w:val="en-US"/>
        </w:rPr>
        <w:t>, meaning the legislation prevails over any agreement or waiver to the contrary.</w:t>
      </w:r>
      <w:r w:rsidR="00B23DDF" w:rsidRPr="1F5E9E68">
        <w:rPr>
          <w:rStyle w:val="EndnoteReference"/>
          <w:rFonts w:cs="Times New Roman"/>
          <w:lang w:val="en-US"/>
        </w:rPr>
        <w:endnoteReference w:id="106"/>
      </w:r>
    </w:p>
    <w:p w14:paraId="69CED0C0" w14:textId="29E416D2" w:rsidR="006B0809" w:rsidRDefault="006B0809" w:rsidP="00470F77">
      <w:pPr>
        <w:pStyle w:val="ListParagraph"/>
        <w:numPr>
          <w:ilvl w:val="0"/>
          <w:numId w:val="15"/>
        </w:numPr>
        <w:rPr>
          <w:rFonts w:cs="Times New Roman"/>
          <w:szCs w:val="24"/>
          <w:lang w:val="en-US"/>
        </w:rPr>
      </w:pPr>
      <w:r w:rsidRPr="1F5E9E68">
        <w:rPr>
          <w:rFonts w:cs="Times New Roman"/>
          <w:lang w:val="en-US"/>
        </w:rPr>
        <w:t>A right to participate in class proceedings</w:t>
      </w:r>
      <w:r w:rsidR="00B23DDF" w:rsidRPr="1F5E9E68">
        <w:rPr>
          <w:rFonts w:cs="Times New Roman"/>
          <w:lang w:val="en-US"/>
        </w:rPr>
        <w:t xml:space="preserve"> despite any term or acknowledgment in the consumer agreement or a related agreement that purports to prevent.</w:t>
      </w:r>
      <w:r w:rsidR="00B23DDF" w:rsidRPr="1F5E9E68">
        <w:rPr>
          <w:rStyle w:val="EndnoteReference"/>
          <w:rFonts w:cs="Times New Roman"/>
          <w:lang w:val="en-US"/>
        </w:rPr>
        <w:endnoteReference w:id="107"/>
      </w:r>
    </w:p>
    <w:p w14:paraId="66E5C25E" w14:textId="22236EF6" w:rsidR="006B0809" w:rsidRDefault="006B0809" w:rsidP="00470F77">
      <w:pPr>
        <w:pStyle w:val="ListParagraph"/>
        <w:numPr>
          <w:ilvl w:val="0"/>
          <w:numId w:val="15"/>
        </w:numPr>
        <w:rPr>
          <w:rFonts w:cs="Times New Roman"/>
          <w:szCs w:val="24"/>
          <w:lang w:val="en-US"/>
        </w:rPr>
      </w:pPr>
      <w:r w:rsidRPr="1F5E9E68">
        <w:rPr>
          <w:rFonts w:cs="Times New Roman"/>
          <w:lang w:val="en-US"/>
        </w:rPr>
        <w:t>Expectations for the basic quality of services</w:t>
      </w:r>
      <w:r w:rsidR="00720449" w:rsidRPr="1F5E9E68">
        <w:rPr>
          <w:rFonts w:cs="Times New Roman"/>
          <w:lang w:val="en-US"/>
        </w:rPr>
        <w:t xml:space="preserve"> to a “reasonably acceptable” standard and a prohibition on waiving that expectation.</w:t>
      </w:r>
      <w:r w:rsidR="00720449" w:rsidRPr="1F5E9E68">
        <w:rPr>
          <w:rStyle w:val="EndnoteReference"/>
          <w:rFonts w:cs="Times New Roman"/>
          <w:lang w:val="en-US"/>
        </w:rPr>
        <w:endnoteReference w:id="108"/>
      </w:r>
    </w:p>
    <w:p w14:paraId="1AA1CD60" w14:textId="66FFEFE2" w:rsidR="006B0809" w:rsidRDefault="00C15443" w:rsidP="1F5E9E68">
      <w:pPr>
        <w:pStyle w:val="ListParagraph"/>
        <w:numPr>
          <w:ilvl w:val="0"/>
          <w:numId w:val="15"/>
        </w:numPr>
        <w:rPr>
          <w:rFonts w:cs="Times New Roman"/>
          <w:lang w:val="en-US"/>
        </w:rPr>
      </w:pPr>
      <w:r w:rsidRPr="1F5E9E68">
        <w:rPr>
          <w:rFonts w:cs="Times New Roman"/>
          <w:lang w:val="en-US"/>
        </w:rPr>
        <w:t>A</w:t>
      </w:r>
      <w:r w:rsidR="00720449" w:rsidRPr="1F5E9E68">
        <w:rPr>
          <w:rFonts w:cs="Times New Roman"/>
          <w:lang w:val="en-US"/>
        </w:rPr>
        <w:t xml:space="preserve">ny </w:t>
      </w:r>
      <w:r w:rsidR="00204EF2" w:rsidRPr="1F5E9E68">
        <w:rPr>
          <w:rFonts w:cs="Times New Roman"/>
          <w:lang w:val="en-US"/>
        </w:rPr>
        <w:t>ambiguities</w:t>
      </w:r>
      <w:r w:rsidR="006B0809" w:rsidRPr="1F5E9E68">
        <w:rPr>
          <w:rFonts w:cs="Times New Roman"/>
          <w:lang w:val="en-US"/>
        </w:rPr>
        <w:t xml:space="preserve"> </w:t>
      </w:r>
      <w:r w:rsidR="00720449" w:rsidRPr="1F5E9E68">
        <w:rPr>
          <w:rFonts w:cs="Times New Roman"/>
          <w:lang w:val="en-US"/>
        </w:rPr>
        <w:t xml:space="preserve">in </w:t>
      </w:r>
      <w:r w:rsidR="00204EF2" w:rsidRPr="1F5E9E68">
        <w:rPr>
          <w:rFonts w:cs="Times New Roman"/>
          <w:lang w:val="en-US"/>
        </w:rPr>
        <w:t xml:space="preserve">the </w:t>
      </w:r>
      <w:r w:rsidR="3A0B15BF" w:rsidRPr="1F5E9E68">
        <w:rPr>
          <w:rFonts w:cs="Times New Roman"/>
          <w:lang w:val="en-US"/>
        </w:rPr>
        <w:t xml:space="preserve">consumer agreement </w:t>
      </w:r>
      <w:r w:rsidR="00720449" w:rsidRPr="1F5E9E68">
        <w:rPr>
          <w:rFonts w:cs="Times New Roman"/>
          <w:lang w:val="en-US"/>
        </w:rPr>
        <w:t xml:space="preserve">that might lead to more than one reasonable interpretation are </w:t>
      </w:r>
      <w:r w:rsidRPr="1F5E9E68">
        <w:rPr>
          <w:rFonts w:cs="Times New Roman"/>
          <w:lang w:val="en-US"/>
        </w:rPr>
        <w:t xml:space="preserve">interpreted </w:t>
      </w:r>
      <w:r w:rsidR="006B0809" w:rsidRPr="1F5E9E68">
        <w:rPr>
          <w:rFonts w:cs="Times New Roman"/>
          <w:lang w:val="en-US"/>
        </w:rPr>
        <w:t xml:space="preserve">to the benefit </w:t>
      </w:r>
      <w:r w:rsidRPr="1F5E9E68">
        <w:rPr>
          <w:rFonts w:cs="Times New Roman"/>
          <w:lang w:val="en-US"/>
        </w:rPr>
        <w:t xml:space="preserve">of the </w:t>
      </w:r>
      <w:r w:rsidR="006B0809" w:rsidRPr="1F5E9E68">
        <w:rPr>
          <w:rFonts w:cs="Times New Roman"/>
          <w:lang w:val="en-US"/>
        </w:rPr>
        <w:t>consumer</w:t>
      </w:r>
      <w:r w:rsidR="00720449" w:rsidRPr="1F5E9E68">
        <w:rPr>
          <w:rFonts w:cs="Times New Roman"/>
          <w:lang w:val="en-US"/>
        </w:rPr>
        <w:t>.</w:t>
      </w:r>
      <w:r w:rsidR="00720449" w:rsidRPr="1F5E9E68">
        <w:rPr>
          <w:rStyle w:val="EndnoteReference"/>
          <w:rFonts w:cs="Times New Roman"/>
          <w:lang w:val="en-US"/>
        </w:rPr>
        <w:endnoteReference w:id="109"/>
      </w:r>
    </w:p>
    <w:p w14:paraId="12AA064B" w14:textId="4EE08E9F" w:rsidR="006B0809" w:rsidRPr="006B0809" w:rsidRDefault="006B0809" w:rsidP="00470F77">
      <w:pPr>
        <w:pStyle w:val="ListParagraph"/>
        <w:numPr>
          <w:ilvl w:val="0"/>
          <w:numId w:val="15"/>
        </w:numPr>
        <w:rPr>
          <w:rFonts w:cs="Times New Roman"/>
          <w:szCs w:val="24"/>
          <w:lang w:val="en-US"/>
        </w:rPr>
      </w:pPr>
      <w:r w:rsidRPr="1F5E9E68">
        <w:rPr>
          <w:rFonts w:cs="Times New Roman"/>
          <w:lang w:val="en-US"/>
        </w:rPr>
        <w:t>Relief from legal obligations in relation to</w:t>
      </w:r>
      <w:r w:rsidR="00720449" w:rsidRPr="1F5E9E68">
        <w:rPr>
          <w:rFonts w:cs="Times New Roman"/>
          <w:lang w:val="en-US"/>
        </w:rPr>
        <w:t xml:space="preserve"> the use or disposal of</w:t>
      </w:r>
      <w:r w:rsidRPr="1F5E9E68">
        <w:rPr>
          <w:rFonts w:cs="Times New Roman"/>
          <w:lang w:val="en-US"/>
        </w:rPr>
        <w:t xml:space="preserve"> unsolicited goods or services</w:t>
      </w:r>
      <w:r w:rsidR="00720449" w:rsidRPr="1F5E9E68">
        <w:rPr>
          <w:rFonts w:cs="Times New Roman"/>
          <w:lang w:val="en-US"/>
        </w:rPr>
        <w:t>.</w:t>
      </w:r>
      <w:r w:rsidR="00720449" w:rsidRPr="1F5E9E68">
        <w:rPr>
          <w:rStyle w:val="EndnoteReference"/>
          <w:rFonts w:cs="Times New Roman"/>
          <w:lang w:val="en-US"/>
        </w:rPr>
        <w:endnoteReference w:id="110"/>
      </w:r>
    </w:p>
    <w:p w14:paraId="38C0A90F" w14:textId="278A2B5F" w:rsidR="00D038B5" w:rsidRDefault="00D038B5" w:rsidP="00D038B5">
      <w:pPr>
        <w:rPr>
          <w:rFonts w:cs="Times New Roman"/>
          <w:szCs w:val="24"/>
          <w:lang w:val="en-US"/>
        </w:rPr>
      </w:pPr>
      <w:r>
        <w:rPr>
          <w:rFonts w:cs="Times New Roman"/>
          <w:szCs w:val="24"/>
          <w:lang w:val="en-US"/>
        </w:rPr>
        <w:t xml:space="preserve">Part 3 </w:t>
      </w:r>
      <w:r w:rsidR="006C50DA">
        <w:rPr>
          <w:rFonts w:cs="Times New Roman"/>
          <w:szCs w:val="24"/>
          <w:lang w:val="en-US"/>
        </w:rPr>
        <w:t xml:space="preserve">of the CPA aims to </w:t>
      </w:r>
      <w:r>
        <w:rPr>
          <w:rFonts w:cs="Times New Roman"/>
          <w:szCs w:val="24"/>
          <w:lang w:val="en-US"/>
        </w:rPr>
        <w:t xml:space="preserve">protect consumers from unfair practices in a wide array of contexts. This includes limitations or prohibitions </w:t>
      </w:r>
      <w:r w:rsidR="00730E47">
        <w:rPr>
          <w:rFonts w:cs="Times New Roman"/>
          <w:szCs w:val="24"/>
          <w:lang w:val="en-US"/>
        </w:rPr>
        <w:t>against</w:t>
      </w:r>
      <w:r>
        <w:rPr>
          <w:rFonts w:cs="Times New Roman"/>
          <w:szCs w:val="24"/>
          <w:lang w:val="en-US"/>
        </w:rPr>
        <w:t>:</w:t>
      </w:r>
    </w:p>
    <w:p w14:paraId="0A352033" w14:textId="08DDE14D" w:rsidR="00D038B5" w:rsidRDefault="00D038B5" w:rsidP="00470F77">
      <w:pPr>
        <w:pStyle w:val="ListParagraph"/>
        <w:numPr>
          <w:ilvl w:val="0"/>
          <w:numId w:val="16"/>
        </w:numPr>
        <w:rPr>
          <w:rFonts w:cs="Times New Roman"/>
          <w:szCs w:val="24"/>
          <w:lang w:val="en-US"/>
        </w:rPr>
      </w:pPr>
      <w:r w:rsidRPr="1F5E9E68">
        <w:rPr>
          <w:rFonts w:cs="Times New Roman"/>
          <w:lang w:val="en-US"/>
        </w:rPr>
        <w:t xml:space="preserve">False, </w:t>
      </w:r>
      <w:r w:rsidR="00C15443" w:rsidRPr="1F5E9E68">
        <w:rPr>
          <w:rFonts w:cs="Times New Roman"/>
          <w:lang w:val="en-US"/>
        </w:rPr>
        <w:t>misleading,</w:t>
      </w:r>
      <w:r w:rsidRPr="1F5E9E68">
        <w:rPr>
          <w:rFonts w:cs="Times New Roman"/>
          <w:lang w:val="en-US"/>
        </w:rPr>
        <w:t xml:space="preserve"> or deceptive representation</w:t>
      </w:r>
      <w:r w:rsidR="006C50DA" w:rsidRPr="1F5E9E68">
        <w:rPr>
          <w:rFonts w:cs="Times New Roman"/>
          <w:lang w:val="en-US"/>
        </w:rPr>
        <w:t xml:space="preserve">, such as product or service endorsements, performance characteristics, benefits, necessity (such as a repair), </w:t>
      </w:r>
      <w:r w:rsidR="001D4D00" w:rsidRPr="1F5E9E68">
        <w:rPr>
          <w:rFonts w:cs="Times New Roman"/>
          <w:lang w:val="en-US"/>
        </w:rPr>
        <w:t>or uses.</w:t>
      </w:r>
      <w:r w:rsidR="001D4D00" w:rsidRPr="1F5E9E68">
        <w:rPr>
          <w:rStyle w:val="EndnoteReference"/>
          <w:rFonts w:cs="Times New Roman"/>
          <w:lang w:val="en-US"/>
        </w:rPr>
        <w:endnoteReference w:id="111"/>
      </w:r>
    </w:p>
    <w:p w14:paraId="2BF5F61B" w14:textId="4319005E" w:rsidR="00D038B5" w:rsidRDefault="00D038B5" w:rsidP="00470F77">
      <w:pPr>
        <w:pStyle w:val="ListParagraph"/>
        <w:numPr>
          <w:ilvl w:val="0"/>
          <w:numId w:val="16"/>
        </w:numPr>
        <w:rPr>
          <w:rFonts w:cs="Times New Roman"/>
          <w:szCs w:val="24"/>
          <w:lang w:val="en-US"/>
        </w:rPr>
      </w:pPr>
      <w:r w:rsidRPr="1F5E9E68">
        <w:rPr>
          <w:rFonts w:cs="Times New Roman"/>
          <w:lang w:val="en-US"/>
        </w:rPr>
        <w:lastRenderedPageBreak/>
        <w:t xml:space="preserve">Unconscionable representation, such as exploiting consumer vulnerabilities related to disability, ignorance, </w:t>
      </w:r>
      <w:r w:rsidR="00C15443" w:rsidRPr="1F5E9E68">
        <w:rPr>
          <w:rFonts w:cs="Times New Roman"/>
          <w:lang w:val="en-US"/>
        </w:rPr>
        <w:t>illiteracy,</w:t>
      </w:r>
      <w:r w:rsidRPr="1F5E9E68">
        <w:rPr>
          <w:rFonts w:cs="Times New Roman"/>
          <w:lang w:val="en-US"/>
        </w:rPr>
        <w:t xml:space="preserve"> and language barriers; excessively one-sided terms in favor of the seller; grossly inflated pricing; misleading statements or terms to the detriment of the consumer; or undue pressure to enter into the transaction</w:t>
      </w:r>
      <w:r w:rsidR="001D4D00" w:rsidRPr="1F5E9E68">
        <w:rPr>
          <w:rFonts w:cs="Times New Roman"/>
          <w:lang w:val="en-US"/>
        </w:rPr>
        <w:t>.</w:t>
      </w:r>
      <w:r w:rsidR="001D4D00" w:rsidRPr="1F5E9E68">
        <w:rPr>
          <w:rStyle w:val="EndnoteReference"/>
          <w:rFonts w:cs="Times New Roman"/>
          <w:lang w:val="en-US"/>
        </w:rPr>
        <w:endnoteReference w:id="112"/>
      </w:r>
    </w:p>
    <w:p w14:paraId="1AA6D355" w14:textId="1AA985E9" w:rsidR="00D038B5" w:rsidRDefault="00D038B5" w:rsidP="00470F77">
      <w:pPr>
        <w:pStyle w:val="ListParagraph"/>
        <w:numPr>
          <w:ilvl w:val="0"/>
          <w:numId w:val="16"/>
        </w:numPr>
        <w:rPr>
          <w:rFonts w:cs="Times New Roman"/>
          <w:szCs w:val="24"/>
          <w:lang w:val="en-US"/>
        </w:rPr>
      </w:pPr>
      <w:r w:rsidRPr="1F5E9E68">
        <w:rPr>
          <w:rFonts w:cs="Times New Roman"/>
          <w:lang w:val="en-US"/>
        </w:rPr>
        <w:t xml:space="preserve">Renegotiation of price </w:t>
      </w:r>
      <w:r w:rsidR="001D4D00" w:rsidRPr="1F5E9E68">
        <w:rPr>
          <w:rFonts w:cs="Times New Roman"/>
          <w:lang w:val="en-US"/>
        </w:rPr>
        <w:t xml:space="preserve">or the terms of service </w:t>
      </w:r>
      <w:r w:rsidRPr="1F5E9E68">
        <w:rPr>
          <w:rFonts w:cs="Times New Roman"/>
          <w:lang w:val="en-US"/>
        </w:rPr>
        <w:t>through coercion, such as withholding goods</w:t>
      </w:r>
      <w:r w:rsidR="001D4D00" w:rsidRPr="1F5E9E68">
        <w:rPr>
          <w:rFonts w:cs="Times New Roman"/>
          <w:lang w:val="en-US"/>
        </w:rPr>
        <w:t>.</w:t>
      </w:r>
      <w:r w:rsidR="001D4D00" w:rsidRPr="1F5E9E68">
        <w:rPr>
          <w:rStyle w:val="EndnoteReference"/>
          <w:rFonts w:cs="Times New Roman"/>
          <w:lang w:val="en-US"/>
        </w:rPr>
        <w:endnoteReference w:id="113"/>
      </w:r>
    </w:p>
    <w:p w14:paraId="5B562FED" w14:textId="16CE6F14" w:rsidR="00212E92" w:rsidRPr="00212E92" w:rsidRDefault="00D038B5" w:rsidP="00470F77">
      <w:pPr>
        <w:pStyle w:val="ListParagraph"/>
        <w:numPr>
          <w:ilvl w:val="0"/>
          <w:numId w:val="16"/>
        </w:numPr>
        <w:rPr>
          <w:rFonts w:cs="Times New Roman"/>
          <w:szCs w:val="24"/>
          <w:lang w:val="en-US"/>
        </w:rPr>
      </w:pPr>
      <w:r w:rsidRPr="1F5E9E68">
        <w:rPr>
          <w:rFonts w:cs="Times New Roman"/>
          <w:lang w:val="en-US"/>
        </w:rPr>
        <w:t>The right to rescind an agreement due to unfair practices</w:t>
      </w:r>
      <w:r w:rsidR="001D4D00" w:rsidRPr="1F5E9E68">
        <w:rPr>
          <w:rFonts w:cs="Times New Roman"/>
          <w:lang w:val="en-US"/>
        </w:rPr>
        <w:t xml:space="preserve"> of the kind described above, among others.</w:t>
      </w:r>
      <w:r w:rsidR="001D4D00" w:rsidRPr="1F5E9E68">
        <w:rPr>
          <w:rStyle w:val="EndnoteReference"/>
          <w:rFonts w:cs="Times New Roman"/>
          <w:lang w:val="en-US"/>
        </w:rPr>
        <w:endnoteReference w:id="114"/>
      </w:r>
    </w:p>
    <w:p w14:paraId="15A4ADF4" w14:textId="349B6E45" w:rsidR="006B76B2" w:rsidRDefault="006B76B2" w:rsidP="00C15443">
      <w:pPr>
        <w:rPr>
          <w:rFonts w:cs="Times New Roman"/>
          <w:szCs w:val="24"/>
          <w:lang w:val="en-US"/>
        </w:rPr>
      </w:pPr>
      <w:r>
        <w:rPr>
          <w:rFonts w:cs="Times New Roman"/>
          <w:szCs w:val="24"/>
          <w:lang w:val="en-US"/>
        </w:rPr>
        <w:t xml:space="preserve">Crucially, consumer protections under Parts 2 and 3 of the CPA apply </w:t>
      </w:r>
      <w:r w:rsidR="00CC6CE6">
        <w:rPr>
          <w:rFonts w:cs="Times New Roman"/>
          <w:szCs w:val="24"/>
          <w:lang w:val="en-US"/>
        </w:rPr>
        <w:t xml:space="preserve">irrespective of whether </w:t>
      </w:r>
      <w:r>
        <w:rPr>
          <w:rFonts w:cs="Times New Roman"/>
          <w:szCs w:val="24"/>
          <w:lang w:val="en-US"/>
        </w:rPr>
        <w:t xml:space="preserve">a service was provided to a consumer for </w:t>
      </w:r>
      <w:r w:rsidR="005D06C4">
        <w:rPr>
          <w:rFonts w:cs="Times New Roman"/>
          <w:szCs w:val="24"/>
          <w:lang w:val="en-US"/>
        </w:rPr>
        <w:t>payment</w:t>
      </w:r>
      <w:r>
        <w:rPr>
          <w:rFonts w:cs="Times New Roman"/>
          <w:szCs w:val="24"/>
          <w:lang w:val="en-US"/>
        </w:rPr>
        <w:t xml:space="preserve"> or for free. This is </w:t>
      </w:r>
      <w:r w:rsidR="00CC6CE6">
        <w:rPr>
          <w:rFonts w:cs="Times New Roman"/>
          <w:szCs w:val="24"/>
          <w:lang w:val="en-US"/>
        </w:rPr>
        <w:t xml:space="preserve">an </w:t>
      </w:r>
      <w:r>
        <w:rPr>
          <w:rFonts w:cs="Times New Roman"/>
          <w:szCs w:val="24"/>
          <w:lang w:val="en-US"/>
        </w:rPr>
        <w:t xml:space="preserve">important </w:t>
      </w:r>
      <w:r w:rsidR="00CC6CE6">
        <w:rPr>
          <w:rFonts w:cs="Times New Roman"/>
          <w:szCs w:val="24"/>
          <w:lang w:val="en-US"/>
        </w:rPr>
        <w:t xml:space="preserve">distinction </w:t>
      </w:r>
      <w:r>
        <w:rPr>
          <w:rFonts w:cs="Times New Roman"/>
          <w:szCs w:val="24"/>
          <w:lang w:val="en-US"/>
        </w:rPr>
        <w:t xml:space="preserve">in the digital marketplace </w:t>
      </w:r>
      <w:r w:rsidR="00CC6CE6">
        <w:rPr>
          <w:rFonts w:cs="Times New Roman"/>
          <w:szCs w:val="24"/>
          <w:lang w:val="en-US"/>
        </w:rPr>
        <w:t xml:space="preserve">because </w:t>
      </w:r>
      <w:r>
        <w:rPr>
          <w:rFonts w:cs="Times New Roman"/>
          <w:szCs w:val="24"/>
          <w:lang w:val="en-US"/>
        </w:rPr>
        <w:t>many digital goods and services are provided on a low-</w:t>
      </w:r>
      <w:r w:rsidR="00400363">
        <w:rPr>
          <w:rFonts w:cs="Times New Roman"/>
          <w:szCs w:val="24"/>
          <w:lang w:val="en-US"/>
        </w:rPr>
        <w:t>cost</w:t>
      </w:r>
      <w:r>
        <w:rPr>
          <w:rFonts w:cs="Times New Roman"/>
          <w:szCs w:val="24"/>
          <w:lang w:val="en-US"/>
        </w:rPr>
        <w:t xml:space="preserve"> or no-cost basis. </w:t>
      </w:r>
      <w:r w:rsidR="00C15443">
        <w:rPr>
          <w:rFonts w:cs="Times New Roman"/>
          <w:szCs w:val="24"/>
          <w:lang w:val="en-US"/>
        </w:rPr>
        <w:t xml:space="preserve">These issues are discussed extensively later in the Consultation Paper. </w:t>
      </w:r>
    </w:p>
    <w:p w14:paraId="36B31FDE" w14:textId="5AFE0E51" w:rsidR="0065498C" w:rsidRDefault="0079588D" w:rsidP="0004490B">
      <w:pPr>
        <w:pStyle w:val="Heading3"/>
        <w:rPr>
          <w:lang w:val="en-US"/>
        </w:rPr>
      </w:pPr>
      <w:r>
        <w:rPr>
          <w:lang w:val="en-US"/>
        </w:rPr>
        <w:br/>
      </w:r>
      <w:bookmarkStart w:id="45" w:name="_Toc138151837"/>
      <w:r w:rsidR="0004490B">
        <w:rPr>
          <w:lang w:val="en-US"/>
        </w:rPr>
        <w:t xml:space="preserve">3.1.3 </w:t>
      </w:r>
      <w:r w:rsidR="00B8770E">
        <w:rPr>
          <w:lang w:val="en-US"/>
        </w:rPr>
        <w:t>Specific</w:t>
      </w:r>
      <w:r w:rsidR="0065498C">
        <w:rPr>
          <w:lang w:val="en-US"/>
        </w:rPr>
        <w:t xml:space="preserve"> Protections (CPA Parts 4</w:t>
      </w:r>
      <w:r w:rsidR="004870D8">
        <w:rPr>
          <w:lang w:val="en-US"/>
        </w:rPr>
        <w:t xml:space="preserve"> – 8</w:t>
      </w:r>
      <w:r w:rsidR="0065498C">
        <w:rPr>
          <w:lang w:val="en-US"/>
        </w:rPr>
        <w:t>)</w:t>
      </w:r>
      <w:bookmarkEnd w:id="45"/>
    </w:p>
    <w:p w14:paraId="6444991F" w14:textId="77777777" w:rsidR="0065498C" w:rsidRDefault="0065498C" w:rsidP="0065498C">
      <w:pPr>
        <w:spacing w:after="0"/>
        <w:rPr>
          <w:rFonts w:cs="Times New Roman"/>
          <w:szCs w:val="24"/>
          <w:lang w:val="en-US"/>
        </w:rPr>
      </w:pPr>
    </w:p>
    <w:p w14:paraId="05950055" w14:textId="320D14C2" w:rsidR="00DA12C8" w:rsidRDefault="002C51A5" w:rsidP="00D038B5">
      <w:pPr>
        <w:rPr>
          <w:rFonts w:cs="Times New Roman"/>
          <w:szCs w:val="24"/>
          <w:lang w:val="en-US"/>
        </w:rPr>
      </w:pPr>
      <w:r>
        <w:rPr>
          <w:rFonts w:cs="Times New Roman"/>
          <w:szCs w:val="24"/>
          <w:lang w:val="en-US"/>
        </w:rPr>
        <w:t xml:space="preserve">The CPA </w:t>
      </w:r>
      <w:r w:rsidR="00D038B5">
        <w:rPr>
          <w:rFonts w:cs="Times New Roman"/>
          <w:szCs w:val="24"/>
          <w:lang w:val="en-US"/>
        </w:rPr>
        <w:t xml:space="preserve">also </w:t>
      </w:r>
      <w:r w:rsidR="00CC6CE6">
        <w:rPr>
          <w:rFonts w:cs="Times New Roman"/>
          <w:szCs w:val="24"/>
          <w:lang w:val="en-US"/>
        </w:rPr>
        <w:t xml:space="preserve">includes provisions and consumer protections targeted to </w:t>
      </w:r>
      <w:r w:rsidR="00D038B5">
        <w:rPr>
          <w:rFonts w:cs="Times New Roman"/>
          <w:szCs w:val="24"/>
          <w:lang w:val="en-US"/>
        </w:rPr>
        <w:t xml:space="preserve">specific kinds of consumer agreements, businesses, </w:t>
      </w:r>
      <w:r w:rsidR="004A38FF">
        <w:rPr>
          <w:rFonts w:cs="Times New Roman"/>
          <w:szCs w:val="24"/>
          <w:lang w:val="en-US"/>
        </w:rPr>
        <w:t>or</w:t>
      </w:r>
      <w:r w:rsidR="00D038B5">
        <w:rPr>
          <w:rFonts w:cs="Times New Roman"/>
          <w:szCs w:val="24"/>
          <w:lang w:val="en-US"/>
        </w:rPr>
        <w:t xml:space="preserve"> transactions. These are defined in Part</w:t>
      </w:r>
      <w:r w:rsidR="004170FE">
        <w:rPr>
          <w:rFonts w:cs="Times New Roman"/>
          <w:szCs w:val="24"/>
          <w:lang w:val="en-US"/>
        </w:rPr>
        <w:t>s</w:t>
      </w:r>
      <w:r w:rsidR="00D038B5">
        <w:rPr>
          <w:rFonts w:cs="Times New Roman"/>
          <w:szCs w:val="24"/>
          <w:lang w:val="en-US"/>
        </w:rPr>
        <w:t xml:space="preserve"> 4</w:t>
      </w:r>
      <w:r w:rsidR="004170FE">
        <w:rPr>
          <w:rFonts w:cs="Times New Roman"/>
          <w:szCs w:val="24"/>
          <w:lang w:val="en-US"/>
        </w:rPr>
        <w:t xml:space="preserve"> through 8 </w:t>
      </w:r>
      <w:r w:rsidR="00D038B5">
        <w:rPr>
          <w:rFonts w:cs="Times New Roman"/>
          <w:szCs w:val="24"/>
          <w:lang w:val="en-US"/>
        </w:rPr>
        <w:t>of the CPA.</w:t>
      </w:r>
      <w:r>
        <w:rPr>
          <w:rFonts w:cs="Times New Roman"/>
          <w:szCs w:val="24"/>
          <w:lang w:val="en-US"/>
        </w:rPr>
        <w:t xml:space="preserve"> </w:t>
      </w:r>
      <w:r w:rsidR="00CC6CE6">
        <w:rPr>
          <w:rFonts w:cs="Times New Roman"/>
          <w:szCs w:val="24"/>
          <w:lang w:val="en-US"/>
        </w:rPr>
        <w:t>These sections include provisions governing</w:t>
      </w:r>
      <w:r w:rsidR="00DA12C8">
        <w:rPr>
          <w:rFonts w:cs="Times New Roman"/>
          <w:szCs w:val="24"/>
          <w:lang w:val="en-US"/>
        </w:rPr>
        <w:t>:</w:t>
      </w:r>
    </w:p>
    <w:p w14:paraId="49A92BEA" w14:textId="6EFB5CC5" w:rsidR="00DA12C8" w:rsidRDefault="00C15443" w:rsidP="00470F77">
      <w:pPr>
        <w:pStyle w:val="ListParagraph"/>
        <w:numPr>
          <w:ilvl w:val="0"/>
          <w:numId w:val="17"/>
        </w:numPr>
        <w:rPr>
          <w:rFonts w:cs="Times New Roman"/>
          <w:szCs w:val="24"/>
          <w:lang w:val="en-US"/>
        </w:rPr>
      </w:pPr>
      <w:r w:rsidRPr="00DA12C8">
        <w:rPr>
          <w:rFonts w:cs="Times New Roman"/>
          <w:szCs w:val="24"/>
          <w:lang w:val="en-US"/>
        </w:rPr>
        <w:t xml:space="preserve">Direct </w:t>
      </w:r>
      <w:r w:rsidR="00DA12C8" w:rsidRPr="00DA12C8">
        <w:rPr>
          <w:rFonts w:cs="Times New Roman"/>
          <w:szCs w:val="24"/>
          <w:lang w:val="en-US"/>
        </w:rPr>
        <w:t>sales contracts</w:t>
      </w:r>
      <w:r w:rsidR="007913BC">
        <w:rPr>
          <w:rFonts w:cs="Times New Roman"/>
          <w:szCs w:val="24"/>
          <w:lang w:val="en-US"/>
        </w:rPr>
        <w:t xml:space="preserve"> (such as door-to-door sales)</w:t>
      </w:r>
      <w:r w:rsidR="00430327">
        <w:rPr>
          <w:rFonts w:cs="Times New Roman"/>
          <w:szCs w:val="24"/>
          <w:lang w:val="en-US"/>
        </w:rPr>
        <w:t xml:space="preserve"> (CPA s. 41-43)</w:t>
      </w:r>
    </w:p>
    <w:p w14:paraId="153A0E1F" w14:textId="23DE4186" w:rsidR="007913BC" w:rsidRDefault="00C15443" w:rsidP="00470F77">
      <w:pPr>
        <w:pStyle w:val="ListParagraph"/>
        <w:numPr>
          <w:ilvl w:val="0"/>
          <w:numId w:val="17"/>
        </w:numPr>
        <w:rPr>
          <w:rFonts w:cs="Times New Roman"/>
          <w:szCs w:val="24"/>
          <w:lang w:val="en-US"/>
        </w:rPr>
      </w:pPr>
      <w:r>
        <w:rPr>
          <w:rFonts w:cs="Times New Roman"/>
          <w:szCs w:val="24"/>
          <w:lang w:val="en-US"/>
        </w:rPr>
        <w:t xml:space="preserve">Remote </w:t>
      </w:r>
      <w:r w:rsidR="007913BC">
        <w:rPr>
          <w:rFonts w:cs="Times New Roman"/>
          <w:szCs w:val="24"/>
          <w:lang w:val="en-US"/>
        </w:rPr>
        <w:t>sales contracts (such as by mail or telephone)</w:t>
      </w:r>
      <w:r w:rsidR="00430327">
        <w:rPr>
          <w:rFonts w:cs="Times New Roman"/>
          <w:szCs w:val="24"/>
          <w:lang w:val="en-US"/>
        </w:rPr>
        <w:t xml:space="preserve"> (CPA s. 44-47)</w:t>
      </w:r>
    </w:p>
    <w:p w14:paraId="574FB053" w14:textId="165F70B5" w:rsidR="007913BC" w:rsidRDefault="00C15443" w:rsidP="00470F77">
      <w:pPr>
        <w:pStyle w:val="ListParagraph"/>
        <w:numPr>
          <w:ilvl w:val="0"/>
          <w:numId w:val="17"/>
        </w:numPr>
        <w:rPr>
          <w:rFonts w:cs="Times New Roman"/>
          <w:szCs w:val="24"/>
          <w:lang w:val="en-US"/>
        </w:rPr>
      </w:pPr>
      <w:r>
        <w:rPr>
          <w:rFonts w:cs="Times New Roman"/>
          <w:szCs w:val="24"/>
          <w:lang w:val="en-US"/>
        </w:rPr>
        <w:t xml:space="preserve">Internet </w:t>
      </w:r>
      <w:r w:rsidR="007913BC">
        <w:rPr>
          <w:rFonts w:cs="Times New Roman"/>
          <w:szCs w:val="24"/>
          <w:lang w:val="en-US"/>
        </w:rPr>
        <w:t>sales contracts (formed by text-based internet agreement)</w:t>
      </w:r>
      <w:r w:rsidR="00430327">
        <w:rPr>
          <w:rFonts w:cs="Times New Roman"/>
          <w:szCs w:val="24"/>
          <w:lang w:val="en-US"/>
        </w:rPr>
        <w:t xml:space="preserve"> (CPA s. 37-40)</w:t>
      </w:r>
    </w:p>
    <w:p w14:paraId="5DC7B860" w14:textId="7C8BF16A" w:rsidR="00DA12C8" w:rsidRDefault="00C15443" w:rsidP="00470F77">
      <w:pPr>
        <w:pStyle w:val="ListParagraph"/>
        <w:numPr>
          <w:ilvl w:val="0"/>
          <w:numId w:val="17"/>
        </w:numPr>
        <w:rPr>
          <w:rFonts w:cs="Times New Roman"/>
          <w:szCs w:val="24"/>
          <w:lang w:val="en-US"/>
        </w:rPr>
      </w:pPr>
      <w:r>
        <w:rPr>
          <w:rFonts w:cs="Times New Roman"/>
          <w:szCs w:val="24"/>
          <w:lang w:val="en-US"/>
        </w:rPr>
        <w:t xml:space="preserve">Credit </w:t>
      </w:r>
      <w:r w:rsidR="0039460F">
        <w:rPr>
          <w:rFonts w:cs="Times New Roman"/>
          <w:szCs w:val="24"/>
          <w:lang w:val="en-US"/>
        </w:rPr>
        <w:t>agreements and</w:t>
      </w:r>
      <w:r w:rsidR="00DA12C8" w:rsidRPr="00DA12C8">
        <w:rPr>
          <w:rFonts w:cs="Times New Roman"/>
          <w:szCs w:val="24"/>
          <w:lang w:val="en-US"/>
        </w:rPr>
        <w:t xml:space="preserve"> protections</w:t>
      </w:r>
      <w:r w:rsidR="0039460F">
        <w:rPr>
          <w:rFonts w:cs="Times New Roman"/>
          <w:szCs w:val="24"/>
          <w:lang w:val="en-US"/>
        </w:rPr>
        <w:t xml:space="preserve"> (CPA s. 66-85)</w:t>
      </w:r>
    </w:p>
    <w:p w14:paraId="11488CD3" w14:textId="2932FD1A" w:rsidR="004A6C4C" w:rsidRDefault="00C15443" w:rsidP="00470F77">
      <w:pPr>
        <w:pStyle w:val="ListParagraph"/>
        <w:numPr>
          <w:ilvl w:val="0"/>
          <w:numId w:val="17"/>
        </w:numPr>
        <w:rPr>
          <w:rFonts w:cs="Times New Roman"/>
          <w:szCs w:val="24"/>
          <w:lang w:val="en-US"/>
        </w:rPr>
      </w:pPr>
      <w:r>
        <w:rPr>
          <w:rFonts w:cs="Times New Roman"/>
          <w:szCs w:val="24"/>
          <w:lang w:val="en-US"/>
        </w:rPr>
        <w:t xml:space="preserve">Time </w:t>
      </w:r>
      <w:r w:rsidR="004A6C4C">
        <w:rPr>
          <w:rFonts w:cs="Times New Roman"/>
          <w:szCs w:val="24"/>
          <w:lang w:val="en-US"/>
        </w:rPr>
        <w:t>share agreements</w:t>
      </w:r>
      <w:r w:rsidR="0039460F">
        <w:rPr>
          <w:rFonts w:cs="Times New Roman"/>
          <w:szCs w:val="24"/>
          <w:lang w:val="en-US"/>
        </w:rPr>
        <w:t xml:space="preserve"> (CPA s. 27-28)</w:t>
      </w:r>
    </w:p>
    <w:p w14:paraId="7B443D37" w14:textId="2C86F3A2" w:rsidR="004A6C4C" w:rsidRDefault="00C15443" w:rsidP="00470F77">
      <w:pPr>
        <w:pStyle w:val="ListParagraph"/>
        <w:numPr>
          <w:ilvl w:val="0"/>
          <w:numId w:val="17"/>
        </w:numPr>
        <w:rPr>
          <w:rFonts w:cs="Times New Roman"/>
          <w:szCs w:val="24"/>
          <w:lang w:val="en-US"/>
        </w:rPr>
      </w:pPr>
      <w:r>
        <w:rPr>
          <w:rFonts w:cs="Times New Roman"/>
          <w:szCs w:val="24"/>
          <w:lang w:val="en-US"/>
        </w:rPr>
        <w:t xml:space="preserve">Reward </w:t>
      </w:r>
      <w:r w:rsidR="004A6C4C">
        <w:rPr>
          <w:rFonts w:cs="Times New Roman"/>
          <w:szCs w:val="24"/>
          <w:lang w:val="en-US"/>
        </w:rPr>
        <w:t>points</w:t>
      </w:r>
      <w:r w:rsidR="0039460F">
        <w:rPr>
          <w:rFonts w:cs="Times New Roman"/>
          <w:szCs w:val="24"/>
          <w:lang w:val="en-US"/>
        </w:rPr>
        <w:t xml:space="preserve"> (CPA s. 47.1)</w:t>
      </w:r>
    </w:p>
    <w:p w14:paraId="452FA739" w14:textId="5DC5AE39" w:rsidR="00DA12C8" w:rsidRDefault="00C15443" w:rsidP="00470F77">
      <w:pPr>
        <w:pStyle w:val="ListParagraph"/>
        <w:numPr>
          <w:ilvl w:val="0"/>
          <w:numId w:val="17"/>
        </w:numPr>
        <w:rPr>
          <w:rFonts w:cs="Times New Roman"/>
          <w:szCs w:val="24"/>
          <w:lang w:val="en-US"/>
        </w:rPr>
      </w:pPr>
      <w:r w:rsidRPr="00DA12C8">
        <w:rPr>
          <w:rFonts w:cs="Times New Roman"/>
          <w:szCs w:val="24"/>
          <w:lang w:val="en-US"/>
        </w:rPr>
        <w:t xml:space="preserve">Motor </w:t>
      </w:r>
      <w:r w:rsidR="00DA12C8" w:rsidRPr="00DA12C8">
        <w:rPr>
          <w:rFonts w:cs="Times New Roman"/>
          <w:szCs w:val="24"/>
          <w:lang w:val="en-US"/>
        </w:rPr>
        <w:t>vehicle dealers and repairs</w:t>
      </w:r>
      <w:r w:rsidR="0039460F">
        <w:rPr>
          <w:rFonts w:cs="Times New Roman"/>
          <w:szCs w:val="24"/>
          <w:lang w:val="en-US"/>
        </w:rPr>
        <w:t xml:space="preserve"> (CPA s. 55-65)</w:t>
      </w:r>
    </w:p>
    <w:p w14:paraId="5362EAA0" w14:textId="4F415A13" w:rsidR="0065498C" w:rsidRDefault="00C15443" w:rsidP="00470F77">
      <w:pPr>
        <w:pStyle w:val="ListParagraph"/>
        <w:numPr>
          <w:ilvl w:val="0"/>
          <w:numId w:val="17"/>
        </w:numPr>
        <w:rPr>
          <w:rFonts w:cs="Times New Roman"/>
          <w:szCs w:val="24"/>
          <w:lang w:val="en-US"/>
        </w:rPr>
      </w:pPr>
      <w:r>
        <w:rPr>
          <w:rFonts w:cs="Times New Roman"/>
          <w:szCs w:val="24"/>
          <w:lang w:val="en-US"/>
        </w:rPr>
        <w:t xml:space="preserve">Vehicle </w:t>
      </w:r>
      <w:r w:rsidR="00DA12C8">
        <w:rPr>
          <w:rFonts w:cs="Times New Roman"/>
          <w:szCs w:val="24"/>
          <w:lang w:val="en-US"/>
        </w:rPr>
        <w:t>towing and storage</w:t>
      </w:r>
      <w:r w:rsidR="0039460F">
        <w:rPr>
          <w:rFonts w:cs="Times New Roman"/>
          <w:szCs w:val="24"/>
          <w:lang w:val="en-US"/>
        </w:rPr>
        <w:t xml:space="preserve"> (CPA s. 65.1-65.21)</w:t>
      </w:r>
    </w:p>
    <w:p w14:paraId="494C286F" w14:textId="77777777" w:rsidR="003C4E61" w:rsidRDefault="003C4E61" w:rsidP="00965178">
      <w:pPr>
        <w:pStyle w:val="Heading1"/>
        <w:spacing w:before="0"/>
      </w:pPr>
    </w:p>
    <w:p w14:paraId="78306802" w14:textId="5623B27A" w:rsidR="003C4E61" w:rsidRDefault="00F56FED" w:rsidP="0004490B">
      <w:pPr>
        <w:pStyle w:val="Heading2"/>
      </w:pPr>
      <w:r>
        <w:t xml:space="preserve"> </w:t>
      </w:r>
      <w:bookmarkStart w:id="46" w:name="_Toc138151838"/>
      <w:r w:rsidR="0004490B">
        <w:t xml:space="preserve">3.2 </w:t>
      </w:r>
      <w:r w:rsidR="003C4E61">
        <w:t xml:space="preserve">Other Legislation </w:t>
      </w:r>
      <w:r w:rsidR="00B559B0">
        <w:t xml:space="preserve">and Instruments </w:t>
      </w:r>
      <w:r w:rsidR="008A4F68">
        <w:t xml:space="preserve">Protecting Consumers </w:t>
      </w:r>
      <w:r w:rsidR="003C4E61">
        <w:t>in Ontario</w:t>
      </w:r>
      <w:bookmarkEnd w:id="46"/>
    </w:p>
    <w:p w14:paraId="7412FE39" w14:textId="77777777" w:rsidR="003C4E61" w:rsidRDefault="003C4E61" w:rsidP="00D55BF6">
      <w:pPr>
        <w:spacing w:after="0"/>
      </w:pPr>
    </w:p>
    <w:p w14:paraId="52732091" w14:textId="55BB9AEA" w:rsidR="003926BC" w:rsidRDefault="003926BC" w:rsidP="00D55BF6">
      <w:pPr>
        <w:spacing w:after="0"/>
      </w:pPr>
      <w:r>
        <w:t xml:space="preserve">The CPA is not the only </w:t>
      </w:r>
      <w:r w:rsidR="00D95573">
        <w:t>l</w:t>
      </w:r>
      <w:r w:rsidR="003C4E61">
        <w:t xml:space="preserve">egislation protecting consumers </w:t>
      </w:r>
      <w:r>
        <w:t>in Ontario.</w:t>
      </w:r>
    </w:p>
    <w:p w14:paraId="3558CA5B" w14:textId="77777777" w:rsidR="003926BC" w:rsidRDefault="003926BC" w:rsidP="00D55BF6">
      <w:pPr>
        <w:spacing w:after="0"/>
      </w:pPr>
    </w:p>
    <w:p w14:paraId="11952AED" w14:textId="4B1E8ED0" w:rsidR="00E062C3" w:rsidRDefault="00D95573" w:rsidP="008A4F68">
      <w:r>
        <w:t xml:space="preserve">There are many examples of non-CPA provincial and federal legislation protecting consumers in specific industries and sectors. </w:t>
      </w:r>
      <w:r w:rsidR="003C4E61">
        <w:t xml:space="preserve">Common examples </w:t>
      </w:r>
      <w:r w:rsidR="00E062C3">
        <w:t>at the federal level include</w:t>
      </w:r>
      <w:r w:rsidR="00730E47">
        <w:t xml:space="preserve"> the</w:t>
      </w:r>
      <w:r w:rsidR="00E062C3">
        <w:t>:</w:t>
      </w:r>
    </w:p>
    <w:p w14:paraId="689D4650" w14:textId="62F2129A" w:rsidR="00E062C3" w:rsidRDefault="00E062C3" w:rsidP="00470F77">
      <w:pPr>
        <w:pStyle w:val="ListParagraph"/>
        <w:numPr>
          <w:ilvl w:val="0"/>
          <w:numId w:val="32"/>
        </w:numPr>
      </w:pPr>
      <w:r>
        <w:t>Consumer Product Safety Act</w:t>
      </w:r>
    </w:p>
    <w:p w14:paraId="7256756D" w14:textId="672FBABF" w:rsidR="00E062C3" w:rsidRDefault="00E062C3" w:rsidP="00470F77">
      <w:pPr>
        <w:pStyle w:val="ListParagraph"/>
        <w:numPr>
          <w:ilvl w:val="0"/>
          <w:numId w:val="32"/>
        </w:numPr>
      </w:pPr>
      <w:r>
        <w:t>Consumer Packaging and Labeling Act</w:t>
      </w:r>
    </w:p>
    <w:p w14:paraId="2D1C17AA" w14:textId="58D92552" w:rsidR="00E062C3" w:rsidRDefault="00E062C3" w:rsidP="00470F77">
      <w:pPr>
        <w:pStyle w:val="ListParagraph"/>
        <w:numPr>
          <w:ilvl w:val="0"/>
          <w:numId w:val="32"/>
        </w:numPr>
      </w:pPr>
      <w:r>
        <w:t>Wireless Code</w:t>
      </w:r>
    </w:p>
    <w:p w14:paraId="1D79A351" w14:textId="56B6B439" w:rsidR="00E062C3" w:rsidRDefault="00E062C3" w:rsidP="00470F77">
      <w:pPr>
        <w:pStyle w:val="ListParagraph"/>
        <w:numPr>
          <w:ilvl w:val="0"/>
          <w:numId w:val="32"/>
        </w:numPr>
      </w:pPr>
      <w:r>
        <w:t>Financial Consumer Agency of Canada Act.</w:t>
      </w:r>
      <w:r>
        <w:rPr>
          <w:rStyle w:val="EndnoteReference"/>
        </w:rPr>
        <w:endnoteReference w:id="115"/>
      </w:r>
    </w:p>
    <w:p w14:paraId="18F93148" w14:textId="5A839000" w:rsidR="00D13DC9" w:rsidRDefault="00D13DC9" w:rsidP="008A4F68">
      <w:r>
        <w:t xml:space="preserve">Ontario </w:t>
      </w:r>
      <w:r w:rsidR="00E062C3">
        <w:t xml:space="preserve">also </w:t>
      </w:r>
      <w:r>
        <w:t>has many specific pieces of legislation to protect consumers beyond the CPA. Examples include</w:t>
      </w:r>
      <w:r w:rsidR="00730E47">
        <w:t xml:space="preserve"> the</w:t>
      </w:r>
      <w:r>
        <w:t>:</w:t>
      </w:r>
    </w:p>
    <w:p w14:paraId="748C5429" w14:textId="4654DFD2" w:rsidR="00D13DC9" w:rsidRDefault="00D13DC9" w:rsidP="00470F77">
      <w:pPr>
        <w:pStyle w:val="ListParagraph"/>
        <w:numPr>
          <w:ilvl w:val="0"/>
          <w:numId w:val="29"/>
        </w:numPr>
      </w:pPr>
      <w:r w:rsidRPr="00D13DC9">
        <w:t>Payday Loans Act</w:t>
      </w:r>
    </w:p>
    <w:p w14:paraId="411B4E16" w14:textId="69194078" w:rsidR="00D13DC9" w:rsidRDefault="00D13DC9" w:rsidP="00470F77">
      <w:pPr>
        <w:pStyle w:val="ListParagraph"/>
        <w:numPr>
          <w:ilvl w:val="0"/>
          <w:numId w:val="29"/>
        </w:numPr>
      </w:pPr>
      <w:r w:rsidRPr="00D13DC9">
        <w:t>Funeral, Burial and Cremation Services Act</w:t>
      </w:r>
    </w:p>
    <w:p w14:paraId="3FF0EE2A" w14:textId="2A000136" w:rsidR="00E358AD" w:rsidRDefault="00E358AD" w:rsidP="00470F77">
      <w:pPr>
        <w:pStyle w:val="ListParagraph"/>
        <w:numPr>
          <w:ilvl w:val="0"/>
          <w:numId w:val="29"/>
        </w:numPr>
      </w:pPr>
      <w:r>
        <w:lastRenderedPageBreak/>
        <w:t>Condominiums Act</w:t>
      </w:r>
    </w:p>
    <w:p w14:paraId="5D3B46E3" w14:textId="0C3CCE7C" w:rsidR="00E358AD" w:rsidRDefault="00E358AD" w:rsidP="00470F77">
      <w:pPr>
        <w:pStyle w:val="ListParagraph"/>
        <w:numPr>
          <w:ilvl w:val="0"/>
          <w:numId w:val="29"/>
        </w:numPr>
      </w:pPr>
      <w:r>
        <w:t>O</w:t>
      </w:r>
      <w:r w:rsidRPr="00E358AD">
        <w:t>ntario New Home Warranties Plan Act</w:t>
      </w:r>
    </w:p>
    <w:p w14:paraId="665F902C" w14:textId="13CA2605" w:rsidR="00E358AD" w:rsidRDefault="00E358AD" w:rsidP="00470F77">
      <w:pPr>
        <w:pStyle w:val="ListParagraph"/>
        <w:numPr>
          <w:ilvl w:val="0"/>
          <w:numId w:val="29"/>
        </w:numPr>
      </w:pPr>
      <w:r w:rsidRPr="00E358AD">
        <w:t>Real Estate and Business Brokers Act</w:t>
      </w:r>
    </w:p>
    <w:p w14:paraId="4D213F6B" w14:textId="4B768E7A" w:rsidR="00E358AD" w:rsidRDefault="00E358AD" w:rsidP="00470F77">
      <w:pPr>
        <w:pStyle w:val="ListParagraph"/>
        <w:numPr>
          <w:ilvl w:val="0"/>
          <w:numId w:val="29"/>
        </w:numPr>
      </w:pPr>
      <w:r>
        <w:t>Travel Industry Act</w:t>
      </w:r>
    </w:p>
    <w:p w14:paraId="40C385CF" w14:textId="553827E6" w:rsidR="00D13DC9" w:rsidRDefault="00D13DC9" w:rsidP="00470F77">
      <w:pPr>
        <w:pStyle w:val="ListParagraph"/>
        <w:numPr>
          <w:ilvl w:val="0"/>
          <w:numId w:val="29"/>
        </w:numPr>
      </w:pPr>
      <w:r>
        <w:t>Energy Consumer Protection Act.</w:t>
      </w:r>
      <w:r>
        <w:rPr>
          <w:rStyle w:val="EndnoteReference"/>
        </w:rPr>
        <w:endnoteReference w:id="116"/>
      </w:r>
    </w:p>
    <w:p w14:paraId="03C086AF" w14:textId="1AD2D8A6" w:rsidR="003C4E61" w:rsidRDefault="00D13DC9" w:rsidP="008A4F68">
      <w:r>
        <w:t xml:space="preserve">In </w:t>
      </w:r>
      <w:r w:rsidR="00C74838">
        <w:t xml:space="preserve">many </w:t>
      </w:r>
      <w:r>
        <w:t>areas</w:t>
      </w:r>
      <w:r w:rsidR="00C74838">
        <w:t>,</w:t>
      </w:r>
      <w:r w:rsidR="009E0094">
        <w:t xml:space="preserve"> </w:t>
      </w:r>
      <w:r>
        <w:t xml:space="preserve">the </w:t>
      </w:r>
      <w:r w:rsidR="00C74838">
        <w:t xml:space="preserve">provincial </w:t>
      </w:r>
      <w:r>
        <w:t xml:space="preserve">government sets specific standard </w:t>
      </w:r>
      <w:r w:rsidR="00D16C7A">
        <w:t xml:space="preserve">terms </w:t>
      </w:r>
      <w:r>
        <w:t xml:space="preserve">where consumers are prone to exploitation. </w:t>
      </w:r>
      <w:r w:rsidR="00F03F87">
        <w:t>A well-known</w:t>
      </w:r>
      <w:r w:rsidR="00B559B0">
        <w:t xml:space="preserve"> example </w:t>
      </w:r>
      <w:r>
        <w:t xml:space="preserve">of regulated </w:t>
      </w:r>
      <w:r w:rsidR="00F03F87">
        <w:t>terms and contracts</w:t>
      </w:r>
      <w:r w:rsidR="00B559B0">
        <w:t xml:space="preserve"> </w:t>
      </w:r>
      <w:r>
        <w:t xml:space="preserve">in Ontario </w:t>
      </w:r>
      <w:r w:rsidR="00F03F87">
        <w:t>are</w:t>
      </w:r>
      <w:r>
        <w:t xml:space="preserve"> rental tenancy agreements</w:t>
      </w:r>
      <w:r w:rsidR="00F03F87">
        <w:t xml:space="preserve"> (under the </w:t>
      </w:r>
      <w:r w:rsidR="00F03F87" w:rsidRPr="1F5E9E68">
        <w:rPr>
          <w:i/>
          <w:iCs/>
        </w:rPr>
        <w:t>Residential Tenancies Act</w:t>
      </w:r>
      <w:r w:rsidR="00F03F87">
        <w:t>)</w:t>
      </w:r>
      <w:r w:rsidR="004B7F3F">
        <w:t xml:space="preserve">, and the provision of </w:t>
      </w:r>
      <w:r w:rsidR="00795A18">
        <w:t xml:space="preserve">a </w:t>
      </w:r>
      <w:r w:rsidR="004B7F3F">
        <w:t xml:space="preserve">model </w:t>
      </w:r>
      <w:r w:rsidR="00795A18">
        <w:t xml:space="preserve">standard </w:t>
      </w:r>
      <w:r w:rsidR="004B7F3F">
        <w:t>residential tenancy agreement to promote compliance with the Act.</w:t>
      </w:r>
      <w:r w:rsidR="00795A18">
        <w:rPr>
          <w:rStyle w:val="EndnoteReference"/>
        </w:rPr>
        <w:endnoteReference w:id="117"/>
      </w:r>
    </w:p>
    <w:p w14:paraId="67A67702" w14:textId="7FCAB5E9" w:rsidR="003C4E61" w:rsidRPr="003C4E61" w:rsidRDefault="00D32FF8" w:rsidP="008A5046">
      <w:r>
        <w:t>Consumers may also rely on “trustmark” systems. These act as plainly visible certification and labeling schemes</w:t>
      </w:r>
      <w:r w:rsidR="008A5046">
        <w:t xml:space="preserve">. Examples of this in Ontario include the </w:t>
      </w:r>
      <w:r w:rsidR="003C4E61">
        <w:t xml:space="preserve">VQA </w:t>
      </w:r>
      <w:r w:rsidR="008A5046">
        <w:t>standard for locally produced wines.</w:t>
      </w:r>
      <w:r w:rsidR="006968E6">
        <w:rPr>
          <w:rStyle w:val="EndnoteReference"/>
        </w:rPr>
        <w:endnoteReference w:id="118"/>
      </w:r>
      <w:r w:rsidR="008A5046">
        <w:t xml:space="preserve"> A federal example is the CSA seal of approval for </w:t>
      </w:r>
      <w:r w:rsidR="003C4E61">
        <w:t>electrical device safety.</w:t>
      </w:r>
      <w:r w:rsidR="006968E6">
        <w:rPr>
          <w:rStyle w:val="EndnoteReference"/>
        </w:rPr>
        <w:endnoteReference w:id="119"/>
      </w:r>
    </w:p>
    <w:p w14:paraId="51E65C64" w14:textId="6F9662C7" w:rsidR="003C4E61" w:rsidRDefault="0004490B" w:rsidP="0004490B">
      <w:pPr>
        <w:pStyle w:val="Heading2"/>
      </w:pPr>
      <w:bookmarkStart w:id="47" w:name="_Toc138151839"/>
      <w:r>
        <w:t xml:space="preserve">3.3 </w:t>
      </w:r>
      <w:r w:rsidR="008A4F68">
        <w:t xml:space="preserve">Consumer Protection Legislation in </w:t>
      </w:r>
      <w:r w:rsidR="003C4E61">
        <w:t>Other Provinces</w:t>
      </w:r>
      <w:bookmarkEnd w:id="47"/>
    </w:p>
    <w:p w14:paraId="0D7353DB" w14:textId="77777777" w:rsidR="003C4E61" w:rsidRDefault="003C4E61" w:rsidP="008A4F68">
      <w:pPr>
        <w:spacing w:after="0"/>
      </w:pPr>
    </w:p>
    <w:p w14:paraId="5D5AF9D4" w14:textId="1CBC2615" w:rsidR="008A4F68" w:rsidRDefault="00730E47" w:rsidP="008A4F68">
      <w:pPr>
        <w:rPr>
          <w:rFonts w:cs="Times New Roman"/>
          <w:szCs w:val="24"/>
          <w:lang w:val="en-US"/>
        </w:rPr>
      </w:pPr>
      <w:r>
        <w:t>Like Ontario, e</w:t>
      </w:r>
      <w:r w:rsidR="00D4018A">
        <w:t xml:space="preserve">very </w:t>
      </w:r>
      <w:r>
        <w:t xml:space="preserve">other </w:t>
      </w:r>
      <w:r w:rsidR="00D4018A">
        <w:t xml:space="preserve">Canadian </w:t>
      </w:r>
      <w:r w:rsidR="008A4F68" w:rsidRPr="00AE4246">
        <w:t xml:space="preserve">province and territory </w:t>
      </w:r>
      <w:r w:rsidR="004F20C0">
        <w:t>have</w:t>
      </w:r>
      <w:r w:rsidR="008A4F68" w:rsidRPr="00AE4246">
        <w:t xml:space="preserve"> </w:t>
      </w:r>
      <w:r w:rsidR="008A4F68">
        <w:t>general legislation</w:t>
      </w:r>
      <w:r w:rsidR="008A4F68" w:rsidRPr="00AE4246">
        <w:t xml:space="preserve"> protect</w:t>
      </w:r>
      <w:r>
        <w:t>ing</w:t>
      </w:r>
      <w:r w:rsidR="008A4F68" w:rsidRPr="00AE4246">
        <w:t xml:space="preserve"> consumers</w:t>
      </w:r>
      <w:r w:rsidR="008A4F68">
        <w:t xml:space="preserve"> entering into a contract.</w:t>
      </w:r>
      <w:r w:rsidR="008A4F68">
        <w:rPr>
          <w:rStyle w:val="EndnoteReference"/>
        </w:rPr>
        <w:endnoteReference w:id="120"/>
      </w:r>
      <w:r w:rsidR="009E0094">
        <w:t xml:space="preserve"> </w:t>
      </w:r>
      <w:r w:rsidR="008A4F68">
        <w:t xml:space="preserve">The LCO’s national survey of provincial consumer protection demonstrates </w:t>
      </w:r>
      <w:r w:rsidR="008A4F68" w:rsidRPr="1F5E9E68">
        <w:rPr>
          <w:rFonts w:cs="Times New Roman"/>
          <w:lang w:val="en-US"/>
        </w:rPr>
        <w:t>strong similarities between these statutes.</w:t>
      </w:r>
      <w:r w:rsidR="008A4F68" w:rsidRPr="1F5E9E68">
        <w:rPr>
          <w:rStyle w:val="EndnoteReference"/>
          <w:rFonts w:cs="Times New Roman"/>
          <w:lang w:val="en-US"/>
        </w:rPr>
        <w:endnoteReference w:id="121"/>
      </w:r>
      <w:r w:rsidR="008A4F68" w:rsidRPr="1F5E9E68">
        <w:rPr>
          <w:rFonts w:cs="Times New Roman"/>
          <w:lang w:val="en-US"/>
        </w:rPr>
        <w:t xml:space="preserve"> </w:t>
      </w:r>
      <w:r>
        <w:rPr>
          <w:rFonts w:cs="Times New Roman"/>
          <w:lang w:val="en-US"/>
        </w:rPr>
        <w:t>Notably, p</w:t>
      </w:r>
      <w:r w:rsidR="008A4F68" w:rsidRPr="1F5E9E68">
        <w:rPr>
          <w:rFonts w:cs="Times New Roman"/>
          <w:lang w:val="en-US"/>
        </w:rPr>
        <w:t>rovincial legislation has developed alongside federal consumer legislation through the principle of “mutual modification” which guides shared jurisdiction for transactions of services and goods.</w:t>
      </w:r>
      <w:r w:rsidR="008A4F68">
        <w:rPr>
          <w:rStyle w:val="EndnoteReference"/>
        </w:rPr>
        <w:endnoteReference w:id="122"/>
      </w:r>
    </w:p>
    <w:p w14:paraId="1C649EC6" w14:textId="08E6D906" w:rsidR="003C4E61" w:rsidRDefault="00730E47" w:rsidP="008A4F68">
      <w:pPr>
        <w:spacing w:after="0"/>
      </w:pPr>
      <w:r>
        <w:t>Like Ontario, other p</w:t>
      </w:r>
      <w:r w:rsidR="003C4E61">
        <w:t xml:space="preserve">rovinces </w:t>
      </w:r>
      <w:r>
        <w:t xml:space="preserve">have </w:t>
      </w:r>
      <w:r w:rsidR="003C4E61">
        <w:t xml:space="preserve">generally </w:t>
      </w:r>
      <w:r>
        <w:t>adopted an array of “hard” and “soft” law instruments to govern the relationship between suppliers and consumers, including</w:t>
      </w:r>
      <w:r w:rsidR="003C4E61">
        <w:t>:</w:t>
      </w:r>
    </w:p>
    <w:p w14:paraId="2A46D803" w14:textId="77777777" w:rsidR="00C15443" w:rsidRDefault="00C15443" w:rsidP="008A4F68">
      <w:pPr>
        <w:spacing w:after="0"/>
      </w:pPr>
    </w:p>
    <w:p w14:paraId="5B2BDDD5" w14:textId="5D10D96E" w:rsidR="003C4E61" w:rsidRDefault="003C4E61" w:rsidP="00470F77">
      <w:pPr>
        <w:pStyle w:val="ListParagraph"/>
        <w:numPr>
          <w:ilvl w:val="0"/>
          <w:numId w:val="7"/>
        </w:numPr>
        <w:spacing w:after="0" w:line="240" w:lineRule="auto"/>
      </w:pPr>
      <w:r>
        <w:t>“</w:t>
      </w:r>
      <w:r w:rsidR="00C15443">
        <w:t>C</w:t>
      </w:r>
      <w:r>
        <w:t>ooling off” periods, mandatory warrantees, etc</w:t>
      </w:r>
      <w:r w:rsidR="00C15443">
        <w:t>.</w:t>
      </w:r>
    </w:p>
    <w:p w14:paraId="7A332BE2" w14:textId="2D042D4E" w:rsidR="003C4E61" w:rsidRDefault="00730E47" w:rsidP="00730E47">
      <w:pPr>
        <w:pStyle w:val="ListParagraph"/>
        <w:numPr>
          <w:ilvl w:val="0"/>
          <w:numId w:val="7"/>
        </w:numPr>
        <w:spacing w:after="0" w:line="240" w:lineRule="auto"/>
      </w:pPr>
      <w:r>
        <w:t xml:space="preserve">Consumer </w:t>
      </w:r>
      <w:r w:rsidR="005F4AFE">
        <w:t>legislation</w:t>
      </w:r>
      <w:r w:rsidR="003C4E61">
        <w:t xml:space="preserve"> </w:t>
      </w:r>
      <w:r>
        <w:t xml:space="preserve">governing </w:t>
      </w:r>
      <w:r w:rsidR="003C4E61">
        <w:t>specific products, like hot water tanks, auto sales, and mortgages</w:t>
      </w:r>
      <w:r>
        <w:t xml:space="preserve"> or </w:t>
      </w:r>
      <w:r w:rsidR="003C4E61">
        <w:t>specific practices, like door-to-door sales</w:t>
      </w:r>
    </w:p>
    <w:p w14:paraId="182778BC" w14:textId="6A72282D" w:rsidR="003C4E61" w:rsidRDefault="003C4E61" w:rsidP="00470F77">
      <w:pPr>
        <w:pStyle w:val="ListParagraph"/>
        <w:numPr>
          <w:ilvl w:val="0"/>
          <w:numId w:val="7"/>
        </w:numPr>
        <w:spacing w:after="0" w:line="240" w:lineRule="auto"/>
      </w:pPr>
      <w:r>
        <w:t xml:space="preserve">Corporations </w:t>
      </w:r>
      <w:r w:rsidR="00C15443">
        <w:t>A</w:t>
      </w:r>
      <w:r>
        <w:t>cts</w:t>
      </w:r>
    </w:p>
    <w:p w14:paraId="3D4F930C" w14:textId="4DEA895B" w:rsidR="003C4E61" w:rsidRDefault="003C4E61" w:rsidP="00470F77">
      <w:pPr>
        <w:pStyle w:val="ListParagraph"/>
        <w:numPr>
          <w:ilvl w:val="0"/>
          <w:numId w:val="7"/>
        </w:numPr>
        <w:spacing w:after="0" w:line="240" w:lineRule="auto"/>
      </w:pPr>
      <w:r>
        <w:t>P</w:t>
      </w:r>
      <w:r w:rsidRPr="00DD2022">
        <w:t xml:space="preserve">ersonal </w:t>
      </w:r>
      <w:r w:rsidR="00C15443">
        <w:t>P</w:t>
      </w:r>
      <w:r w:rsidR="00C15443" w:rsidRPr="00DD2022">
        <w:t xml:space="preserve">roperty </w:t>
      </w:r>
      <w:r w:rsidR="00C15443">
        <w:t>S</w:t>
      </w:r>
      <w:r w:rsidR="00C15443" w:rsidRPr="00DD2022">
        <w:t xml:space="preserve">ecurity </w:t>
      </w:r>
      <w:r w:rsidR="00C15443">
        <w:t>A</w:t>
      </w:r>
      <w:r w:rsidR="00C15443" w:rsidRPr="00DD2022">
        <w:t>ct</w:t>
      </w:r>
      <w:r w:rsidR="00C15443">
        <w:t>s</w:t>
      </w:r>
    </w:p>
    <w:p w14:paraId="30C90987" w14:textId="0B604283" w:rsidR="003C4E61" w:rsidRDefault="003C4E61" w:rsidP="00470F77">
      <w:pPr>
        <w:pStyle w:val="ListParagraph"/>
        <w:numPr>
          <w:ilvl w:val="0"/>
          <w:numId w:val="7"/>
        </w:numPr>
        <w:spacing w:after="0" w:line="240" w:lineRule="auto"/>
      </w:pPr>
      <w:r>
        <w:t xml:space="preserve">Industry regulators </w:t>
      </w:r>
    </w:p>
    <w:p w14:paraId="2B7F558A" w14:textId="48DE4F10" w:rsidR="003C4E61" w:rsidRDefault="003C4E61" w:rsidP="00470F77">
      <w:pPr>
        <w:pStyle w:val="ListParagraph"/>
        <w:numPr>
          <w:ilvl w:val="0"/>
          <w:numId w:val="7"/>
        </w:numPr>
        <w:spacing w:after="0" w:line="240" w:lineRule="auto"/>
      </w:pPr>
      <w:r>
        <w:t xml:space="preserve">Quality certifications </w:t>
      </w:r>
    </w:p>
    <w:p w14:paraId="4F014C46" w14:textId="0CE66BC9" w:rsidR="003C4E61" w:rsidRDefault="003C4E61" w:rsidP="00470F77">
      <w:pPr>
        <w:pStyle w:val="ListParagraph"/>
        <w:numPr>
          <w:ilvl w:val="0"/>
          <w:numId w:val="7"/>
        </w:numPr>
        <w:spacing w:after="0" w:line="240" w:lineRule="auto"/>
      </w:pPr>
      <w:r>
        <w:t>Privacy rights</w:t>
      </w:r>
      <w:r w:rsidR="00D47C46">
        <w:t>.</w:t>
      </w:r>
    </w:p>
    <w:p w14:paraId="7FD7FBA8" w14:textId="55D4AFDE" w:rsidR="003C4E61" w:rsidRDefault="003C4E61" w:rsidP="003C4E61">
      <w:r>
        <w:br/>
      </w:r>
      <w:r w:rsidR="00730E47">
        <w:t xml:space="preserve">Finally, most provinces have also enacted laws or policies governing consumer dispute resolution or promoting </w:t>
      </w:r>
      <w:r>
        <w:t>access to justice</w:t>
      </w:r>
      <w:r w:rsidR="00730E47">
        <w:t>, including:</w:t>
      </w:r>
    </w:p>
    <w:p w14:paraId="1BDE6142" w14:textId="77777777" w:rsidR="003C4E61" w:rsidRDefault="003C4E61" w:rsidP="00470F77">
      <w:pPr>
        <w:pStyle w:val="ListParagraph"/>
        <w:numPr>
          <w:ilvl w:val="0"/>
          <w:numId w:val="8"/>
        </w:numPr>
        <w:spacing w:after="0" w:line="240" w:lineRule="auto"/>
      </w:pPr>
      <w:r>
        <w:t>Complaints to government oversight bodies</w:t>
      </w:r>
    </w:p>
    <w:p w14:paraId="3D45D2F4" w14:textId="0362E51D" w:rsidR="003C4E61" w:rsidRDefault="003C4E61" w:rsidP="00470F77">
      <w:pPr>
        <w:pStyle w:val="ListParagraph"/>
        <w:numPr>
          <w:ilvl w:val="0"/>
          <w:numId w:val="8"/>
        </w:numPr>
        <w:spacing w:after="0" w:line="240" w:lineRule="auto"/>
      </w:pPr>
      <w:r>
        <w:t xml:space="preserve">Right to commence </w:t>
      </w:r>
      <w:r w:rsidR="00C15443">
        <w:t xml:space="preserve">lawsuits </w:t>
      </w:r>
    </w:p>
    <w:p w14:paraId="3ABABA66" w14:textId="77777777" w:rsidR="003C4E61" w:rsidRDefault="003C4E61" w:rsidP="00470F77">
      <w:pPr>
        <w:pStyle w:val="ListParagraph"/>
        <w:numPr>
          <w:ilvl w:val="0"/>
          <w:numId w:val="8"/>
        </w:numPr>
        <w:spacing w:after="0" w:line="240" w:lineRule="auto"/>
      </w:pPr>
      <w:r>
        <w:t>Dispute resolution requirements</w:t>
      </w:r>
    </w:p>
    <w:p w14:paraId="7F386025" w14:textId="63BAB609" w:rsidR="0008483F" w:rsidRDefault="003C4E61" w:rsidP="00470F77">
      <w:pPr>
        <w:pStyle w:val="ListParagraph"/>
        <w:numPr>
          <w:ilvl w:val="0"/>
          <w:numId w:val="8"/>
        </w:numPr>
        <w:spacing w:after="0" w:line="240" w:lineRule="auto"/>
      </w:pPr>
      <w:r>
        <w:t>Litigation support for consumers and public interest actors, such as a legal aid clinic</w:t>
      </w:r>
      <w:r w:rsidR="00C15443">
        <w:t>s</w:t>
      </w:r>
      <w:r>
        <w:t xml:space="preserve"> or </w:t>
      </w:r>
      <w:r w:rsidR="00C15443">
        <w:t xml:space="preserve">other </w:t>
      </w:r>
      <w:r>
        <w:t>legal aid services</w:t>
      </w:r>
      <w:r w:rsidR="00D47C46">
        <w:t>.</w:t>
      </w:r>
      <w:r>
        <w:rPr>
          <w:rStyle w:val="EndnoteReference"/>
        </w:rPr>
        <w:endnoteReference w:id="123"/>
      </w:r>
    </w:p>
    <w:p w14:paraId="6BB03697" w14:textId="020AC865" w:rsidR="001346EF" w:rsidRDefault="0008483F" w:rsidP="0008483F">
      <w:pPr>
        <w:spacing w:after="0" w:line="240" w:lineRule="auto"/>
      </w:pPr>
      <w:r>
        <w:br/>
      </w:r>
    </w:p>
    <w:p w14:paraId="61D950D9" w14:textId="77777777" w:rsidR="0008483F" w:rsidRPr="001346EF" w:rsidRDefault="0008483F" w:rsidP="0008483F">
      <w:pPr>
        <w:spacing w:after="0" w:line="240" w:lineRule="auto"/>
      </w:pPr>
    </w:p>
    <w:p w14:paraId="62C09A05" w14:textId="5FC80CA2" w:rsidR="003C4E61" w:rsidRDefault="00927186" w:rsidP="003C4E61">
      <w:r w:rsidRPr="00857761">
        <w:rPr>
          <w:highlight w:val="lightGray"/>
        </w:rPr>
        <w:lastRenderedPageBreak/>
        <w:t>SIDE BAR</w:t>
      </w:r>
      <w:r w:rsidR="003C4E61" w:rsidRPr="00857761">
        <w:rPr>
          <w:highlight w:val="lightGray"/>
        </w:rPr>
        <w:t xml:space="preserve">: </w:t>
      </w:r>
      <w:r w:rsidRPr="00857761">
        <w:rPr>
          <w:b/>
          <w:bCs/>
          <w:highlight w:val="lightGray"/>
        </w:rPr>
        <w:t>The Consumer Protection Landscape Across Canada</w:t>
      </w:r>
      <w:r w:rsidRPr="00857761">
        <w:rPr>
          <w:highlight w:val="lightGray"/>
        </w:rPr>
        <w:t xml:space="preserve">. </w:t>
      </w:r>
      <w:r w:rsidR="003C4E61" w:rsidRPr="00857761">
        <w:rPr>
          <w:highlight w:val="lightGray"/>
        </w:rPr>
        <w:t xml:space="preserve">The LCO has compiled a comparative table of </w:t>
      </w:r>
      <w:r w:rsidR="00C472E6" w:rsidRPr="00857761">
        <w:rPr>
          <w:highlight w:val="lightGray"/>
        </w:rPr>
        <w:t xml:space="preserve">all </w:t>
      </w:r>
      <w:r w:rsidR="00811ADA" w:rsidRPr="00857761">
        <w:rPr>
          <w:highlight w:val="lightGray"/>
        </w:rPr>
        <w:t xml:space="preserve">provincial consumer protection </w:t>
      </w:r>
      <w:r w:rsidR="003C4E61" w:rsidRPr="00857761">
        <w:rPr>
          <w:highlight w:val="lightGray"/>
        </w:rPr>
        <w:t>laws</w:t>
      </w:r>
      <w:r w:rsidR="00811ADA" w:rsidRPr="00857761">
        <w:rPr>
          <w:highlight w:val="lightGray"/>
        </w:rPr>
        <w:t xml:space="preserve">. </w:t>
      </w:r>
      <w:r w:rsidR="003C4E61" w:rsidRPr="00857761">
        <w:rPr>
          <w:highlight w:val="lightGray"/>
        </w:rPr>
        <w:t>We are pleased to make this available to researchers upon request.</w:t>
      </w:r>
    </w:p>
    <w:p w14:paraId="467FE30E" w14:textId="77777777" w:rsidR="00D9485A" w:rsidRPr="00857761" w:rsidRDefault="00D9485A" w:rsidP="003C4E61"/>
    <w:p w14:paraId="11E19A45" w14:textId="49F53CDB" w:rsidR="003C4E61" w:rsidRDefault="0004490B" w:rsidP="0004490B">
      <w:pPr>
        <w:pStyle w:val="Heading2"/>
      </w:pPr>
      <w:bookmarkStart w:id="48" w:name="_Toc138151840"/>
      <w:r>
        <w:t xml:space="preserve">3.4 </w:t>
      </w:r>
      <w:r w:rsidR="003C4E61">
        <w:t xml:space="preserve">Federal Legislation: Privacy, Data Protection, and the </w:t>
      </w:r>
      <w:r w:rsidR="003C4E61" w:rsidRPr="001518F0">
        <w:rPr>
          <w:i/>
          <w:iCs/>
        </w:rPr>
        <w:t>AIDA</w:t>
      </w:r>
      <w:bookmarkEnd w:id="48"/>
      <w:r w:rsidR="003C4E61">
        <w:t xml:space="preserve"> </w:t>
      </w:r>
    </w:p>
    <w:p w14:paraId="16E8047D" w14:textId="77777777" w:rsidR="003C4E61" w:rsidRDefault="003C4E61" w:rsidP="003C4E61">
      <w:pPr>
        <w:spacing w:after="0"/>
      </w:pPr>
    </w:p>
    <w:p w14:paraId="71147FFF" w14:textId="6C5D1C29" w:rsidR="002425A0" w:rsidRDefault="002425A0" w:rsidP="003C4E61">
      <w:r>
        <w:t xml:space="preserve">In addition to provincial legislation, many consumer protection issues are regulated, or influenced, by federal legislation or initiatives.  Most significantly, </w:t>
      </w:r>
      <w:r w:rsidR="009D0FD7">
        <w:t xml:space="preserve">many consumer protection issues with ToS contracts are linked to </w:t>
      </w:r>
      <w:r>
        <w:t xml:space="preserve">privacy issues and </w:t>
      </w:r>
      <w:r w:rsidR="009D0FD7">
        <w:t xml:space="preserve">the data economy. </w:t>
      </w:r>
    </w:p>
    <w:p w14:paraId="3E468F67" w14:textId="0EF164F1" w:rsidR="00A14744" w:rsidRDefault="009D0FD7" w:rsidP="003C4E61">
      <w:r>
        <w:t xml:space="preserve">Digital marketplace services often make their money (in whole or in part) by participating in </w:t>
      </w:r>
      <w:r w:rsidR="00CA33CD">
        <w:t>an economy based on the</w:t>
      </w:r>
      <w:r>
        <w:t xml:space="preserve"> collection, use, </w:t>
      </w:r>
      <w:r w:rsidR="00C15443">
        <w:t>analysis,</w:t>
      </w:r>
      <w:r>
        <w:t xml:space="preserve"> and disclosure of customer data. Service providers </w:t>
      </w:r>
      <w:r w:rsidR="00D03D1C">
        <w:t xml:space="preserve">may also </w:t>
      </w:r>
      <w:r w:rsidR="00734913">
        <w:t xml:space="preserve">offer </w:t>
      </w:r>
      <w:r w:rsidR="00D03D1C">
        <w:t>services and content generated or selected in part by automated systems.</w:t>
      </w:r>
      <w:r w:rsidR="009E0094">
        <w:t xml:space="preserve"> </w:t>
      </w:r>
      <w:r w:rsidR="00C15443">
        <w:t xml:space="preserve">As a result, </w:t>
      </w:r>
      <w:r w:rsidR="00A14744">
        <w:t xml:space="preserve">federal legislation </w:t>
      </w:r>
      <w:r w:rsidR="0036330F">
        <w:t>governing privacy</w:t>
      </w:r>
      <w:r w:rsidR="00C15443">
        <w:t xml:space="preserve">, </w:t>
      </w:r>
      <w:r w:rsidR="00CF7EA0">
        <w:t>artificial intelligence (AI)</w:t>
      </w:r>
      <w:r w:rsidR="00C15443">
        <w:t>,</w:t>
      </w:r>
      <w:r w:rsidR="0036330F">
        <w:t xml:space="preserve"> and algorithms </w:t>
      </w:r>
      <w:r w:rsidR="00A14744">
        <w:t xml:space="preserve">has an important role to play when contemplating modernized consumer protection legislation in Ontario. </w:t>
      </w:r>
    </w:p>
    <w:p w14:paraId="0E7861EB" w14:textId="4B0E4A94" w:rsidR="00AB02E3" w:rsidRDefault="00A14744" w:rsidP="003C4E61">
      <w:r>
        <w:t>T</w:t>
      </w:r>
      <w:r w:rsidR="003C4E61">
        <w:t xml:space="preserve">he </w:t>
      </w:r>
      <w:r w:rsidR="00AB02E3">
        <w:t xml:space="preserve">most significant </w:t>
      </w:r>
      <w:r w:rsidR="003C4E61">
        <w:t>area of compl</w:t>
      </w:r>
      <w:r w:rsidR="004F20C0">
        <w:t>e</w:t>
      </w:r>
      <w:r w:rsidR="003C4E61">
        <w:t xml:space="preserve">mentary </w:t>
      </w:r>
      <w:r w:rsidR="00AB02E3">
        <w:t xml:space="preserve">federal </w:t>
      </w:r>
      <w:r w:rsidR="00734913">
        <w:t xml:space="preserve">and provincial </w:t>
      </w:r>
      <w:r w:rsidR="003C4E61">
        <w:t xml:space="preserve">jurisdiction is </w:t>
      </w:r>
      <w:r w:rsidR="001729BB">
        <w:t>through</w:t>
      </w:r>
      <w:r w:rsidR="003C4E61">
        <w:t xml:space="preserve"> private sector </w:t>
      </w:r>
      <w:r w:rsidR="00734913">
        <w:t xml:space="preserve">privacy </w:t>
      </w:r>
      <w:r w:rsidR="003C4E61">
        <w:t>legislation</w:t>
      </w:r>
      <w:r w:rsidR="001729BB">
        <w:t xml:space="preserve">, </w:t>
      </w:r>
      <w:r w:rsidR="00C15443">
        <w:t xml:space="preserve">including </w:t>
      </w:r>
      <w:r w:rsidR="001729BB">
        <w:t xml:space="preserve">the </w:t>
      </w:r>
      <w:r w:rsidR="00C15443">
        <w:t xml:space="preserve">federal </w:t>
      </w:r>
      <w:r w:rsidR="001729BB" w:rsidRPr="1F5E9E68">
        <w:rPr>
          <w:i/>
          <w:iCs/>
        </w:rPr>
        <w:t>Personal Information Protection and Privacy Act</w:t>
      </w:r>
      <w:r w:rsidR="001729BB">
        <w:t xml:space="preserve"> (PIPEDA).</w:t>
      </w:r>
      <w:r w:rsidR="001729BB">
        <w:rPr>
          <w:rStyle w:val="EndnoteReference"/>
        </w:rPr>
        <w:endnoteReference w:id="124"/>
      </w:r>
      <w:r w:rsidR="001729BB">
        <w:t xml:space="preserve"> PIPEDA</w:t>
      </w:r>
      <w:r w:rsidR="003C4E61">
        <w:t xml:space="preserve"> governs c</w:t>
      </w:r>
      <w:r w:rsidR="42AADFFC">
        <w:t xml:space="preserve">ommercial </w:t>
      </w:r>
      <w:r w:rsidR="00734913">
        <w:t>privacy law</w:t>
      </w:r>
      <w:r w:rsidR="003C4E61">
        <w:t xml:space="preserve"> unless provinces have </w:t>
      </w:r>
      <w:r w:rsidR="00734913">
        <w:t xml:space="preserve">enacted </w:t>
      </w:r>
      <w:r w:rsidR="003C4E61">
        <w:t>legislation that is “substantially similar.”</w:t>
      </w:r>
      <w:r w:rsidR="001729BB">
        <w:rPr>
          <w:rStyle w:val="EndnoteReference"/>
        </w:rPr>
        <w:endnoteReference w:id="125"/>
      </w:r>
      <w:r w:rsidR="009E0094">
        <w:t xml:space="preserve"> </w:t>
      </w:r>
      <w:r w:rsidR="002124C3">
        <w:t>Ontario does not have private sector privacy legislation</w:t>
      </w:r>
      <w:r w:rsidR="0036330F">
        <w:t xml:space="preserve"> </w:t>
      </w:r>
      <w:r w:rsidR="00AB094E">
        <w:t xml:space="preserve">and consequently </w:t>
      </w:r>
      <w:r w:rsidR="0036330F">
        <w:t xml:space="preserve">relies on </w:t>
      </w:r>
      <w:r w:rsidR="001729BB">
        <w:t>PIPEDA.</w:t>
      </w:r>
    </w:p>
    <w:p w14:paraId="1DA5F081" w14:textId="5B39E443" w:rsidR="00514A9E" w:rsidRDefault="00D47C46" w:rsidP="003C4E61">
      <w:pPr>
        <w:rPr>
          <w:rFonts w:eastAsia="Times New Roman" w:cstheme="minorHAnsi"/>
        </w:rPr>
      </w:pPr>
      <w:r>
        <w:t>PIPEDA is currently being reviewed. In June 2022 the</w:t>
      </w:r>
      <w:r w:rsidR="00514A9E">
        <w:t xml:space="preserve"> Federal Government introduced </w:t>
      </w:r>
      <w:r w:rsidR="006E5BA8">
        <w:t xml:space="preserve">new consumer protection and privacy legislation as part of </w:t>
      </w:r>
      <w:r w:rsidR="003C4E61" w:rsidRPr="1F5E9E68">
        <w:rPr>
          <w:rFonts w:eastAsia="Times New Roman"/>
        </w:rPr>
        <w:t xml:space="preserve">Bill C-27, the </w:t>
      </w:r>
      <w:r w:rsidR="003C4E61" w:rsidRPr="1F5E9E68">
        <w:rPr>
          <w:rFonts w:eastAsia="Times New Roman"/>
          <w:i/>
          <w:iCs/>
        </w:rPr>
        <w:t>Digital Charter Implementation Act, 2022</w:t>
      </w:r>
      <w:r w:rsidR="003C4E61" w:rsidRPr="1F5E9E68">
        <w:rPr>
          <w:rFonts w:eastAsia="Times New Roman"/>
        </w:rPr>
        <w:t>.</w:t>
      </w:r>
      <w:r w:rsidR="003C4E61" w:rsidRPr="1F5E9E68">
        <w:rPr>
          <w:rFonts w:eastAsia="Times New Roman"/>
          <w:vertAlign w:val="superscript"/>
        </w:rPr>
        <w:t xml:space="preserve"> </w:t>
      </w:r>
      <w:r w:rsidR="003C4E61" w:rsidRPr="1F5E9E68">
        <w:rPr>
          <w:rFonts w:eastAsia="Times New Roman"/>
          <w:vertAlign w:val="superscript"/>
        </w:rPr>
        <w:endnoteReference w:id="126"/>
      </w:r>
      <w:r w:rsidR="00F72B0D" w:rsidRPr="1F5E9E68">
        <w:rPr>
          <w:rFonts w:eastAsia="Times New Roman"/>
          <w:vertAlign w:val="superscript"/>
        </w:rPr>
        <w:t xml:space="preserve"> </w:t>
      </w:r>
      <w:r w:rsidR="00945738" w:rsidRPr="1F5E9E68">
        <w:rPr>
          <w:rFonts w:eastAsia="Times New Roman"/>
        </w:rPr>
        <w:t xml:space="preserve">Bill C-27 has three parts addressing three pieces of inter-related legislation, each of which could affect ToS issues in the digital marketplace. </w:t>
      </w:r>
    </w:p>
    <w:p w14:paraId="3BCF25CD" w14:textId="58D4848A" w:rsidR="00514A9E" w:rsidRPr="00945738" w:rsidRDefault="00F72B0D" w:rsidP="003C4E61">
      <w:pPr>
        <w:rPr>
          <w:rFonts w:eastAsia="Times New Roman" w:cstheme="minorHAnsi"/>
        </w:rPr>
      </w:pPr>
      <w:r>
        <w:rPr>
          <w:rFonts w:eastAsia="Times New Roman" w:cstheme="minorHAnsi"/>
        </w:rPr>
        <w:t xml:space="preserve">As of </w:t>
      </w:r>
      <w:r w:rsidR="00130CF3">
        <w:rPr>
          <w:rFonts w:eastAsia="Times New Roman" w:cstheme="minorHAnsi"/>
        </w:rPr>
        <w:t>June</w:t>
      </w:r>
      <w:r>
        <w:rPr>
          <w:rFonts w:eastAsia="Times New Roman" w:cstheme="minorHAnsi"/>
        </w:rPr>
        <w:t xml:space="preserve"> 2023</w:t>
      </w:r>
      <w:r w:rsidR="00514A9E">
        <w:rPr>
          <w:rFonts w:eastAsia="Times New Roman" w:cstheme="minorHAnsi"/>
        </w:rPr>
        <w:t xml:space="preserve">, </w:t>
      </w:r>
      <w:r>
        <w:rPr>
          <w:rFonts w:eastAsia="Times New Roman" w:cstheme="minorHAnsi"/>
        </w:rPr>
        <w:t xml:space="preserve">Bill C-27 </w:t>
      </w:r>
      <w:r w:rsidR="00514A9E">
        <w:rPr>
          <w:rFonts w:eastAsia="Times New Roman" w:cstheme="minorHAnsi"/>
        </w:rPr>
        <w:t>is still under legislative consideration</w:t>
      </w:r>
      <w:r>
        <w:rPr>
          <w:rFonts w:eastAsia="Times New Roman" w:cstheme="minorHAnsi"/>
        </w:rPr>
        <w:t>.</w:t>
      </w:r>
      <w:r w:rsidR="009E0094">
        <w:rPr>
          <w:rFonts w:eastAsia="Times New Roman" w:cstheme="minorHAnsi"/>
        </w:rPr>
        <w:t xml:space="preserve"> </w:t>
      </w:r>
      <w:r w:rsidR="00514A9E">
        <w:rPr>
          <w:rFonts w:eastAsia="Times New Roman" w:cstheme="minorHAnsi"/>
        </w:rPr>
        <w:t>In its current form, however, key elements include:</w:t>
      </w:r>
    </w:p>
    <w:p w14:paraId="47CE964B" w14:textId="2E616CDD" w:rsidR="003C4E61" w:rsidRPr="00514A9E" w:rsidRDefault="003C4E61" w:rsidP="00470F77">
      <w:pPr>
        <w:pStyle w:val="ListParagraph"/>
        <w:numPr>
          <w:ilvl w:val="0"/>
          <w:numId w:val="9"/>
        </w:numPr>
        <w:spacing w:before="120" w:after="120" w:line="240" w:lineRule="auto"/>
        <w:rPr>
          <w:rFonts w:cstheme="minorHAnsi"/>
        </w:rPr>
      </w:pPr>
      <w:r w:rsidRPr="1F5E9E68">
        <w:t>Part 1</w:t>
      </w:r>
      <w:r w:rsidR="002425A0">
        <w:t>, which</w:t>
      </w:r>
      <w:r w:rsidRPr="1F5E9E68">
        <w:t xml:space="preserve"> enacts the </w:t>
      </w:r>
      <w:r w:rsidRPr="1F5E9E68">
        <w:rPr>
          <w:i/>
          <w:iCs/>
        </w:rPr>
        <w:t>Consumer Privacy Protection Act</w:t>
      </w:r>
      <w:r w:rsidRPr="1F5E9E68">
        <w:t xml:space="preserve"> (CPPA). This repeals Part 1 of the </w:t>
      </w:r>
      <w:r w:rsidRPr="1F5E9E68">
        <w:rPr>
          <w:i/>
          <w:iCs/>
        </w:rPr>
        <w:t>Personal Information Protection and Electronic Documents Act</w:t>
      </w:r>
      <w:r w:rsidRPr="1F5E9E68">
        <w:t xml:space="preserve"> (PIPEDA) and sets out a revised regime to govern how private sector entities collect, use, and disclose data. In addition to broad, horizontal regulations, the CPPA </w:t>
      </w:r>
      <w:r>
        <w:t xml:space="preserve">includes additional targeted provisions covering specific activities such as anonymized and de-identified data, data portability rights; the right to delete </w:t>
      </w:r>
      <w:r w:rsidR="00B12386">
        <w:t xml:space="preserve">personal </w:t>
      </w:r>
      <w:r>
        <w:t>information</w:t>
      </w:r>
      <w:r w:rsidR="00514A9E">
        <w:t xml:space="preserve">; </w:t>
      </w:r>
      <w:r>
        <w:t>and stronger protections for minors.</w:t>
      </w:r>
      <w:r w:rsidR="00514A9E" w:rsidRPr="00514A9E">
        <w:t xml:space="preserve"> </w:t>
      </w:r>
      <w:r w:rsidR="00514A9E">
        <w:t xml:space="preserve">CPPA is designed, in part, to better align Canadian law with other jurisdictions, including the European Union’s </w:t>
      </w:r>
      <w:r w:rsidR="00514A9E" w:rsidRPr="1F5E9E68">
        <w:rPr>
          <w:i/>
          <w:iCs/>
          <w:lang w:eastAsia="en-CA"/>
        </w:rPr>
        <w:t>General Data Protection Regulation</w:t>
      </w:r>
      <w:r w:rsidR="00514A9E">
        <w:rPr>
          <w:lang w:eastAsia="en-CA"/>
        </w:rPr>
        <w:t xml:space="preserve"> (GDPR)</w:t>
      </w:r>
      <w:r w:rsidR="00514A9E">
        <w:t>.</w:t>
      </w:r>
      <w:r w:rsidR="00514A9E">
        <w:rPr>
          <w:rStyle w:val="EndnoteReference"/>
        </w:rPr>
        <w:endnoteReference w:id="127"/>
      </w:r>
    </w:p>
    <w:p w14:paraId="48E76D84" w14:textId="77777777" w:rsidR="00514A9E" w:rsidRPr="00FD75B0" w:rsidRDefault="00514A9E" w:rsidP="007A41A0">
      <w:pPr>
        <w:pStyle w:val="ListParagraph"/>
        <w:spacing w:before="120" w:after="120" w:line="240" w:lineRule="auto"/>
        <w:rPr>
          <w:rFonts w:cstheme="minorHAnsi"/>
        </w:rPr>
      </w:pPr>
    </w:p>
    <w:p w14:paraId="7BCAD267" w14:textId="7F4E6F25" w:rsidR="00D47C46" w:rsidRDefault="003C4E61" w:rsidP="00470F77">
      <w:pPr>
        <w:pStyle w:val="ListParagraph"/>
        <w:numPr>
          <w:ilvl w:val="0"/>
          <w:numId w:val="9"/>
        </w:numPr>
        <w:spacing w:before="120" w:after="120" w:line="240" w:lineRule="auto"/>
        <w:rPr>
          <w:rFonts w:cstheme="minorHAnsi"/>
        </w:rPr>
      </w:pPr>
      <w:r w:rsidRPr="00D47C46">
        <w:rPr>
          <w:rFonts w:cstheme="minorHAnsi"/>
        </w:rPr>
        <w:t>Part 2</w:t>
      </w:r>
      <w:r w:rsidR="002425A0">
        <w:rPr>
          <w:rFonts w:cstheme="minorHAnsi"/>
        </w:rPr>
        <w:t>, which</w:t>
      </w:r>
      <w:r w:rsidRPr="00D47C46">
        <w:rPr>
          <w:rFonts w:cstheme="minorHAnsi"/>
        </w:rPr>
        <w:t xml:space="preserve"> enacts the </w:t>
      </w:r>
      <w:r w:rsidRPr="00D47C46">
        <w:rPr>
          <w:rFonts w:cstheme="minorHAnsi"/>
          <w:i/>
          <w:iCs/>
        </w:rPr>
        <w:t>Personal Information and Data Protection Tribunal Act</w:t>
      </w:r>
      <w:r w:rsidRPr="00D47C46">
        <w:rPr>
          <w:rFonts w:cstheme="minorHAnsi"/>
        </w:rPr>
        <w:t>. This establishes an administrative tribunal to hear appeals of certain decisions made by the Privacy Commissioner under the CPPA and to impose penalties.</w:t>
      </w:r>
    </w:p>
    <w:p w14:paraId="2EF6A3F8" w14:textId="77777777" w:rsidR="00D47C46" w:rsidRPr="00D47C46" w:rsidRDefault="00D47C46" w:rsidP="00D47C46">
      <w:pPr>
        <w:pStyle w:val="ListParagraph"/>
        <w:rPr>
          <w:rFonts w:cstheme="minorHAnsi"/>
        </w:rPr>
      </w:pPr>
    </w:p>
    <w:p w14:paraId="547A3231" w14:textId="40CF8146" w:rsidR="003C4E61" w:rsidRPr="00D47C46" w:rsidRDefault="003C4E61" w:rsidP="00470F77">
      <w:pPr>
        <w:pStyle w:val="ListParagraph"/>
        <w:numPr>
          <w:ilvl w:val="0"/>
          <w:numId w:val="9"/>
        </w:numPr>
        <w:spacing w:before="120" w:after="120" w:line="240" w:lineRule="auto"/>
        <w:rPr>
          <w:rFonts w:cstheme="minorHAnsi"/>
        </w:rPr>
      </w:pPr>
      <w:r w:rsidRPr="00D47C46">
        <w:rPr>
          <w:rFonts w:cstheme="minorHAnsi"/>
        </w:rPr>
        <w:t>Part 3</w:t>
      </w:r>
      <w:r w:rsidR="002425A0">
        <w:rPr>
          <w:rFonts w:cstheme="minorHAnsi"/>
        </w:rPr>
        <w:t>, which</w:t>
      </w:r>
      <w:r w:rsidRPr="00D47C46">
        <w:rPr>
          <w:rFonts w:cstheme="minorHAnsi"/>
        </w:rPr>
        <w:t xml:space="preserve"> enacts the </w:t>
      </w:r>
      <w:r w:rsidRPr="00D47C46">
        <w:rPr>
          <w:rFonts w:cstheme="minorHAnsi"/>
          <w:i/>
          <w:iCs/>
        </w:rPr>
        <w:t>Artificial Intelligence and Data Act</w:t>
      </w:r>
      <w:r w:rsidRPr="00D47C46">
        <w:rPr>
          <w:rFonts w:cstheme="minorHAnsi"/>
        </w:rPr>
        <w:t xml:space="preserve"> (AIDA). That Act establishes prohibitions on the design, development, use or making available of AI systems that use illegally obtained personal information, and prohibits the making available of AI systems that cause </w:t>
      </w:r>
      <w:r w:rsidR="00C82479" w:rsidRPr="00D47C46">
        <w:rPr>
          <w:rFonts w:cstheme="minorHAnsi"/>
        </w:rPr>
        <w:t>“</w:t>
      </w:r>
      <w:r w:rsidRPr="00D47C46">
        <w:rPr>
          <w:rFonts w:cstheme="minorHAnsi"/>
        </w:rPr>
        <w:t>serious harm</w:t>
      </w:r>
      <w:r w:rsidR="00C82479" w:rsidRPr="00D47C46">
        <w:rPr>
          <w:rFonts w:cstheme="minorHAnsi"/>
        </w:rPr>
        <w:t>”</w:t>
      </w:r>
      <w:r w:rsidRPr="00D47C46">
        <w:rPr>
          <w:rFonts w:cstheme="minorHAnsi"/>
        </w:rPr>
        <w:t xml:space="preserve"> to individuals. AIDA imposes additional transparency and regulatory </w:t>
      </w:r>
      <w:r w:rsidRPr="00D47C46">
        <w:rPr>
          <w:rFonts w:cstheme="minorHAnsi"/>
        </w:rPr>
        <w:lastRenderedPageBreak/>
        <w:t xml:space="preserve">requirements on a class of </w:t>
      </w:r>
      <w:r>
        <w:t>“high risk” algorithmic activities</w:t>
      </w:r>
      <w:r w:rsidR="00514A9E">
        <w:t xml:space="preserve">, </w:t>
      </w:r>
      <w:r>
        <w:t xml:space="preserve">many of which could </w:t>
      </w:r>
      <w:r w:rsidR="00760018">
        <w:t xml:space="preserve">be implicated in </w:t>
      </w:r>
      <w:r>
        <w:t xml:space="preserve">consumer </w:t>
      </w:r>
      <w:r w:rsidR="00760018">
        <w:t>protection</w:t>
      </w:r>
      <w:r>
        <w:t xml:space="preserve"> issues.</w:t>
      </w:r>
    </w:p>
    <w:p w14:paraId="1AC6B533" w14:textId="059455C2" w:rsidR="00AC00B1" w:rsidRDefault="003C4E61" w:rsidP="003C4E61">
      <w:r>
        <w:t xml:space="preserve">As </w:t>
      </w:r>
      <w:r w:rsidR="00514A9E">
        <w:t xml:space="preserve">noted, </w:t>
      </w:r>
      <w:r>
        <w:t>Ontario does not have its own private sector privacy legislation. Nor does it have legislation governing</w:t>
      </w:r>
      <w:r w:rsidR="00514A9E">
        <w:t xml:space="preserve"> AI or automated decision-making (ADM), although </w:t>
      </w:r>
      <w:r>
        <w:t xml:space="preserve">policies that </w:t>
      </w:r>
      <w:r w:rsidR="00514A9E">
        <w:t>c</w:t>
      </w:r>
      <w:r>
        <w:t xml:space="preserve">ould set standards </w:t>
      </w:r>
      <w:r w:rsidR="00514A9E">
        <w:t xml:space="preserve">for AI and ADM </w:t>
      </w:r>
      <w:r>
        <w:t>are under development.</w:t>
      </w:r>
      <w:r>
        <w:rPr>
          <w:rStyle w:val="EndnoteReference"/>
        </w:rPr>
        <w:endnoteReference w:id="128"/>
      </w:r>
      <w:r w:rsidR="002425A0">
        <w:t xml:space="preserve">As a result, </w:t>
      </w:r>
      <w:r>
        <w:t xml:space="preserve">CPPA </w:t>
      </w:r>
      <w:r w:rsidR="00EC2AC6">
        <w:t xml:space="preserve">and AIDA </w:t>
      </w:r>
      <w:r w:rsidR="002425A0">
        <w:t xml:space="preserve">could </w:t>
      </w:r>
      <w:r w:rsidR="00A10E91">
        <w:t xml:space="preserve">have </w:t>
      </w:r>
      <w:r w:rsidR="002425A0">
        <w:t xml:space="preserve">important consequences for </w:t>
      </w:r>
      <w:r>
        <w:t>consumer ToS reform</w:t>
      </w:r>
      <w:r w:rsidR="00AC00B1">
        <w:t xml:space="preserve"> in Ontario</w:t>
      </w:r>
      <w:r>
        <w:t>.</w:t>
      </w:r>
      <w:r w:rsidR="006E5BA8">
        <w:t xml:space="preserve"> For instance, CPPA</w:t>
      </w:r>
      <w:r w:rsidR="006E5BA8" w:rsidRPr="006E5BA8">
        <w:t xml:space="preserve"> </w:t>
      </w:r>
      <w:r w:rsidR="00107ECE">
        <w:t>could</w:t>
      </w:r>
      <w:r w:rsidR="00AC00B1">
        <w:t>:</w:t>
      </w:r>
    </w:p>
    <w:p w14:paraId="4E71D60D" w14:textId="74A83792" w:rsidR="00AC00B1" w:rsidRDefault="00AB094E" w:rsidP="00470F77">
      <w:pPr>
        <w:pStyle w:val="ListParagraph"/>
        <w:numPr>
          <w:ilvl w:val="0"/>
          <w:numId w:val="30"/>
        </w:numPr>
      </w:pPr>
      <w:r>
        <w:t xml:space="preserve">Set </w:t>
      </w:r>
      <w:r w:rsidR="00107ECE">
        <w:t xml:space="preserve">new standards for consent that could change how digital marketplace service providers disclose or present their </w:t>
      </w:r>
      <w:r>
        <w:t>T</w:t>
      </w:r>
      <w:r w:rsidR="57EA3FDC">
        <w:t>o</w:t>
      </w:r>
      <w:r>
        <w:t xml:space="preserve">S </w:t>
      </w:r>
      <w:r w:rsidR="00107ECE">
        <w:t>in whole or in part</w:t>
      </w:r>
    </w:p>
    <w:p w14:paraId="72448D44" w14:textId="26AAB471" w:rsidR="00AC00B1" w:rsidRDefault="00AB094E" w:rsidP="00470F77">
      <w:pPr>
        <w:pStyle w:val="ListParagraph"/>
        <w:numPr>
          <w:ilvl w:val="0"/>
          <w:numId w:val="30"/>
        </w:numPr>
      </w:pPr>
      <w:r>
        <w:t>Prohibit</w:t>
      </w:r>
      <w:r w:rsidR="00107ECE">
        <w:t xml:space="preserve"> certain data use and sharing practices </w:t>
      </w:r>
      <w:r w:rsidR="1F228313">
        <w:t xml:space="preserve">that </w:t>
      </w:r>
      <w:r w:rsidR="00107ECE">
        <w:t xml:space="preserve">alleviate concerns for unconscionable and misleading terms typical to </w:t>
      </w:r>
      <w:r>
        <w:t xml:space="preserve">ToS </w:t>
      </w:r>
      <w:r w:rsidR="00107ECE">
        <w:t>contracts</w:t>
      </w:r>
    </w:p>
    <w:p w14:paraId="35A62EB0" w14:textId="5AACE968" w:rsidR="00107ECE" w:rsidRDefault="00AB094E" w:rsidP="00470F77">
      <w:pPr>
        <w:pStyle w:val="ListParagraph"/>
        <w:numPr>
          <w:ilvl w:val="0"/>
          <w:numId w:val="30"/>
        </w:numPr>
      </w:pPr>
      <w:r>
        <w:t xml:space="preserve">Provide </w:t>
      </w:r>
      <w:r w:rsidR="00AC00B1">
        <w:t>m</w:t>
      </w:r>
      <w:r w:rsidR="00107ECE">
        <w:t xml:space="preserve">ore robust </w:t>
      </w:r>
      <w:r w:rsidR="00AC00B1">
        <w:t>and rapid resolution of consumer concerns for data use, potentially alleviating the number of complaints made in relation to a ToS</w:t>
      </w:r>
      <w:r w:rsidR="00EE3EB8">
        <w:t>.</w:t>
      </w:r>
    </w:p>
    <w:p w14:paraId="032F6639" w14:textId="50214280" w:rsidR="00D9485A" w:rsidRDefault="00D9485A">
      <w:r>
        <w:br w:type="page"/>
      </w:r>
    </w:p>
    <w:p w14:paraId="7B553BDB" w14:textId="5601EF16" w:rsidR="002B0442" w:rsidRPr="001F366E" w:rsidRDefault="00456879" w:rsidP="00ED42F3">
      <w:pPr>
        <w:pStyle w:val="Heading1"/>
        <w:numPr>
          <w:ilvl w:val="0"/>
          <w:numId w:val="1"/>
        </w:numPr>
        <w:rPr>
          <w:lang w:val="en-US"/>
        </w:rPr>
      </w:pPr>
      <w:bookmarkStart w:id="49" w:name="_Toc138151841"/>
      <w:r>
        <w:rPr>
          <w:lang w:val="en-US"/>
        </w:rPr>
        <w:lastRenderedPageBreak/>
        <w:t xml:space="preserve">Catalysts for Reform: </w:t>
      </w:r>
      <w:r w:rsidR="002B0442" w:rsidRPr="001F366E">
        <w:rPr>
          <w:lang w:val="en-US"/>
        </w:rPr>
        <w:t>Gaps in Consumer Protection in the Digital Marketplace</w:t>
      </w:r>
      <w:bookmarkEnd w:id="49"/>
      <w:r w:rsidR="002B0442" w:rsidRPr="001F366E">
        <w:rPr>
          <w:lang w:val="en-US"/>
        </w:rPr>
        <w:t xml:space="preserve"> </w:t>
      </w:r>
    </w:p>
    <w:p w14:paraId="50EE06DB" w14:textId="3932B689" w:rsidR="00A33D12" w:rsidRDefault="00456879" w:rsidP="1F5E9E68">
      <w:pPr>
        <w:spacing w:before="100" w:beforeAutospacing="1" w:after="100" w:afterAutospacing="1"/>
      </w:pPr>
      <w:r w:rsidRPr="00A33D12">
        <w:t xml:space="preserve">Ontario’s </w:t>
      </w:r>
      <w:r w:rsidRPr="1F5E9E68">
        <w:rPr>
          <w:rFonts w:cs="Times New Roman"/>
          <w:lang w:val="en-US"/>
        </w:rPr>
        <w:t>Consumer Protection Act (CPA) was enacted in 2002</w:t>
      </w:r>
      <w:r w:rsidR="00A33D12" w:rsidRPr="1F5E9E68">
        <w:rPr>
          <w:rFonts w:cs="Times New Roman"/>
          <w:lang w:val="en-US"/>
        </w:rPr>
        <w:t xml:space="preserve"> and has not been </w:t>
      </w:r>
      <w:r w:rsidRPr="00A33D12">
        <w:t>substantially amended in 17 years.</w:t>
      </w:r>
      <w:r w:rsidRPr="00A33D12">
        <w:rPr>
          <w:rStyle w:val="EndnoteReference"/>
        </w:rPr>
        <w:endnoteReference w:id="129"/>
      </w:r>
      <w:r w:rsidRPr="00A33D12">
        <w:t xml:space="preserve"> </w:t>
      </w:r>
      <w:r w:rsidR="00D3682B">
        <w:t>Since then, Ontario’s digital economy has grown substantially.</w:t>
      </w:r>
      <w:r w:rsidR="009E0094">
        <w:t xml:space="preserve"> </w:t>
      </w:r>
      <w:r>
        <w:t>Th</w:t>
      </w:r>
      <w:r w:rsidR="00A33D12">
        <w:t>e</w:t>
      </w:r>
      <w:r>
        <w:t xml:space="preserve"> “digital marketplace” relies on new contracting arrangements </w:t>
      </w:r>
      <w:r w:rsidR="00A33D12">
        <w:t xml:space="preserve">and marketplace practices </w:t>
      </w:r>
      <w:r w:rsidR="1FC41EBC">
        <w:t xml:space="preserve">that </w:t>
      </w:r>
      <w:r w:rsidR="00A33D12">
        <w:t xml:space="preserve">did not </w:t>
      </w:r>
      <w:r>
        <w:t xml:space="preserve">exist when the CPA was last updated. </w:t>
      </w:r>
    </w:p>
    <w:p w14:paraId="7816D96C" w14:textId="2A13E457" w:rsidR="00456879" w:rsidRDefault="00456879" w:rsidP="00456879">
      <w:r>
        <w:t>The</w:t>
      </w:r>
      <w:r w:rsidR="00A33D12">
        <w:t xml:space="preserve">re is widespread interest </w:t>
      </w:r>
      <w:r>
        <w:t xml:space="preserve">in </w:t>
      </w:r>
      <w:r w:rsidR="00A33D12">
        <w:t>updating consumer protection legislation to address issues in the digital marketplace.</w:t>
      </w:r>
      <w:r w:rsidR="009E0094">
        <w:t xml:space="preserve"> </w:t>
      </w:r>
      <w:r w:rsidR="00A33D12">
        <w:t xml:space="preserve">The </w:t>
      </w:r>
      <w:r>
        <w:t xml:space="preserve">Government of Ontario </w:t>
      </w:r>
      <w:r w:rsidR="00A33D12">
        <w:t>has acknowledged that CPA reform is overdue.</w:t>
      </w:r>
      <w:r w:rsidR="009E0094">
        <w:t xml:space="preserve"> </w:t>
      </w:r>
      <w:r w:rsidR="00A33D12">
        <w:t xml:space="preserve">The provincial </w:t>
      </w:r>
      <w:r w:rsidR="00D3682B">
        <w:t xml:space="preserve">government’s </w:t>
      </w:r>
      <w:r w:rsidR="00A33D12">
        <w:t xml:space="preserve">2020 </w:t>
      </w:r>
      <w:r w:rsidR="00D3682B">
        <w:t>C</w:t>
      </w:r>
      <w:r>
        <w:t xml:space="preserve">onsultation </w:t>
      </w:r>
      <w:r w:rsidR="00D3682B">
        <w:t>P</w:t>
      </w:r>
      <w:r>
        <w:t xml:space="preserve">aper stated </w:t>
      </w:r>
      <w:r w:rsidRPr="1F5E9E68">
        <w:t>“</w:t>
      </w:r>
      <w:r w:rsidRPr="1F5E9E68">
        <w:rPr>
          <w:color w:val="1A1A1A"/>
          <w:shd w:val="clear" w:color="auto" w:fill="FFFFFF"/>
        </w:rPr>
        <w:t>The CPA needs updating to work better in the new marketplace”</w:t>
      </w:r>
      <w:r w:rsidRPr="1F5E9E68">
        <w:rPr>
          <w:rStyle w:val="EndnoteReference"/>
          <w:color w:val="1A1A1A"/>
          <w:shd w:val="clear" w:color="auto" w:fill="FFFFFF"/>
        </w:rPr>
        <w:endnoteReference w:id="130"/>
      </w:r>
      <w:r>
        <w:t xml:space="preserve"> </w:t>
      </w:r>
      <w:r w:rsidR="00A33D12">
        <w:t xml:space="preserve">and that </w:t>
      </w:r>
      <w:r>
        <w:t>more must be done to “to ensure that the laws governing the marketplace are in tune with our times.”</w:t>
      </w:r>
      <w:r>
        <w:rPr>
          <w:rStyle w:val="EndnoteReference"/>
        </w:rPr>
        <w:endnoteReference w:id="131"/>
      </w:r>
      <w:r>
        <w:t xml:space="preserve"> </w:t>
      </w:r>
    </w:p>
    <w:p w14:paraId="7CBE1D05" w14:textId="77777777" w:rsidR="00287AC3" w:rsidRDefault="00456879" w:rsidP="00A33D12">
      <w:r>
        <w:t>In February 2023, the Government of Ontario reintroduced and expanded the range of consultation issues. Th</w:t>
      </w:r>
      <w:r w:rsidR="00A33D12">
        <w:t xml:space="preserve">e 2023 Consultation Paper reaffirmed the province’s </w:t>
      </w:r>
      <w:r>
        <w:t>commit</w:t>
      </w:r>
      <w:r w:rsidR="00A33D12">
        <w:t>ment</w:t>
      </w:r>
      <w:r>
        <w:t xml:space="preserve"> to </w:t>
      </w:r>
    </w:p>
    <w:p w14:paraId="29BF3D60" w14:textId="1AD3FF85" w:rsidR="00A33D12" w:rsidRPr="007A41A0" w:rsidRDefault="00287AC3" w:rsidP="007A41A0">
      <w:pPr>
        <w:ind w:left="720"/>
        <w:rPr>
          <w:i/>
          <w:iCs/>
        </w:rPr>
      </w:pPr>
      <w:r w:rsidRPr="1F5E9E68">
        <w:rPr>
          <w:i/>
          <w:iCs/>
        </w:rPr>
        <w:t>…</w:t>
      </w:r>
      <w:r w:rsidR="00456879" w:rsidRPr="1F5E9E68">
        <w:rPr>
          <w:i/>
          <w:iCs/>
        </w:rPr>
        <w:t>strengthen protection for consumers, adapt to changing technology and marketplace innovations, and streamline and clarify requirements to improve consumer and business understanding and compliance.</w:t>
      </w:r>
      <w:r w:rsidR="00456879" w:rsidRPr="008546ED">
        <w:rPr>
          <w:rStyle w:val="EndnoteReference"/>
        </w:rPr>
        <w:endnoteReference w:id="132"/>
      </w:r>
      <w:r w:rsidR="009E0094" w:rsidRPr="1F5E9E68">
        <w:rPr>
          <w:i/>
          <w:iCs/>
        </w:rPr>
        <w:t xml:space="preserve"> </w:t>
      </w:r>
    </w:p>
    <w:p w14:paraId="7F889000" w14:textId="3CC77A65" w:rsidR="00A33D12" w:rsidRDefault="00A33D12" w:rsidP="00287AC3">
      <w:r>
        <w:t xml:space="preserve">The 2023 Consultation Paper includes many </w:t>
      </w:r>
      <w:r w:rsidR="00287AC3">
        <w:t xml:space="preserve">significant </w:t>
      </w:r>
      <w:r>
        <w:t xml:space="preserve">reforms </w:t>
      </w:r>
      <w:r w:rsidR="00287AC3">
        <w:t>to update the CPA</w:t>
      </w:r>
      <w:r w:rsidR="009E0094">
        <w:t xml:space="preserve"> </w:t>
      </w:r>
      <w:r w:rsidR="00287AC3" w:rsidRPr="008546ED">
        <w:t>(</w:t>
      </w:r>
      <w:r w:rsidR="00627327">
        <w:t>see section 4.1 below</w:t>
      </w:r>
      <w:r w:rsidR="00287AC3" w:rsidRPr="008546ED">
        <w:t>)</w:t>
      </w:r>
      <w:r w:rsidR="00627327">
        <w:t>.</w:t>
      </w:r>
      <w:r w:rsidR="00287AC3">
        <w:t xml:space="preserve"> </w:t>
      </w:r>
      <w:r>
        <w:t xml:space="preserve">The LCO commends the province for </w:t>
      </w:r>
      <w:r w:rsidR="00287AC3">
        <w:t>this initiative.</w:t>
      </w:r>
      <w:r w:rsidR="009E0094">
        <w:t xml:space="preserve"> </w:t>
      </w:r>
      <w:r w:rsidR="002425A0">
        <w:t xml:space="preserve">That said, </w:t>
      </w:r>
      <w:r w:rsidR="00287AC3">
        <w:t xml:space="preserve">the LCO believes that the provincial government’s proposed reforms do not consider or address many consumer protection </w:t>
      </w:r>
      <w:r w:rsidR="0B5152E1">
        <w:t xml:space="preserve">and rights </w:t>
      </w:r>
      <w:r w:rsidR="00287AC3">
        <w:t>issues rights specific to the digital marketplace</w:t>
      </w:r>
      <w:r w:rsidR="00BF7C85">
        <w:t>.</w:t>
      </w:r>
    </w:p>
    <w:p w14:paraId="4C582856" w14:textId="45EE9E9D" w:rsidR="00627327" w:rsidRDefault="00456879" w:rsidP="00456879">
      <w:r>
        <w:t xml:space="preserve">LCO research identifies several ways in which ToS contracts in the digital marketplace undermine traditional consumer protections </w:t>
      </w:r>
      <w:r w:rsidR="00287AC3">
        <w:t xml:space="preserve">and the </w:t>
      </w:r>
      <w:r>
        <w:t>CPA.</w:t>
      </w:r>
      <w:r w:rsidR="009E0094">
        <w:t xml:space="preserve"> </w:t>
      </w:r>
      <w:r w:rsidR="00627327">
        <w:t>The following subsections outline each of these</w:t>
      </w:r>
      <w:r w:rsidR="00BF7C85">
        <w:t>, highlighting the ways in which:</w:t>
      </w:r>
    </w:p>
    <w:p w14:paraId="3547B793" w14:textId="12DF5297" w:rsidR="00627327" w:rsidRDefault="00627327" w:rsidP="00627327">
      <w:pPr>
        <w:pStyle w:val="ListParagraph"/>
        <w:numPr>
          <w:ilvl w:val="0"/>
          <w:numId w:val="81"/>
        </w:numPr>
      </w:pPr>
      <w:r>
        <w:t xml:space="preserve">Consumer </w:t>
      </w:r>
      <w:r w:rsidR="00BF7C85">
        <w:t>c</w:t>
      </w:r>
      <w:r>
        <w:t xml:space="preserve">onsent </w:t>
      </w:r>
      <w:r w:rsidR="00BF7C85">
        <w:t>m</w:t>
      </w:r>
      <w:r>
        <w:t xml:space="preserve">ay </w:t>
      </w:r>
      <w:r w:rsidR="00BF7C85">
        <w:t>b</w:t>
      </w:r>
      <w:r>
        <w:t xml:space="preserve">e </w:t>
      </w:r>
      <w:r w:rsidR="00BF7C85">
        <w:t>i</w:t>
      </w:r>
      <w:r>
        <w:t>llusory</w:t>
      </w:r>
    </w:p>
    <w:p w14:paraId="3FDF016B" w14:textId="5A44BF01" w:rsidR="00627327" w:rsidRDefault="00BF7C85" w:rsidP="00627327">
      <w:pPr>
        <w:pStyle w:val="ListParagraph"/>
        <w:numPr>
          <w:ilvl w:val="0"/>
          <w:numId w:val="81"/>
        </w:numPr>
      </w:pPr>
      <w:r>
        <w:t>N</w:t>
      </w:r>
      <w:r w:rsidR="00627327">
        <w:t xml:space="preserve">otice and </w:t>
      </w:r>
      <w:r>
        <w:t>d</w:t>
      </w:r>
      <w:r w:rsidR="00627327">
        <w:t xml:space="preserve">isclosure </w:t>
      </w:r>
      <w:r>
        <w:t>m</w:t>
      </w:r>
      <w:r w:rsidR="00627327">
        <w:t xml:space="preserve">ay </w:t>
      </w:r>
      <w:r>
        <w:t>n</w:t>
      </w:r>
      <w:r w:rsidR="00627327">
        <w:t xml:space="preserve">ot </w:t>
      </w:r>
      <w:r>
        <w:t>p</w:t>
      </w:r>
      <w:r w:rsidR="00627327">
        <w:t xml:space="preserve">rotect </w:t>
      </w:r>
      <w:r>
        <w:t>c</w:t>
      </w:r>
      <w:r w:rsidR="00627327">
        <w:t xml:space="preserve">onsumer </w:t>
      </w:r>
      <w:r>
        <w:t>i</w:t>
      </w:r>
      <w:r w:rsidR="00627327">
        <w:t>nterests</w:t>
      </w:r>
    </w:p>
    <w:p w14:paraId="2AE9DB1A" w14:textId="10241043" w:rsidR="00627327" w:rsidRDefault="00627327" w:rsidP="00627327">
      <w:pPr>
        <w:pStyle w:val="ListParagraph"/>
        <w:numPr>
          <w:ilvl w:val="0"/>
          <w:numId w:val="81"/>
        </w:numPr>
      </w:pPr>
      <w:r>
        <w:t xml:space="preserve">Consumers </w:t>
      </w:r>
      <w:r w:rsidR="00BF7C85">
        <w:t>m</w:t>
      </w:r>
      <w:r>
        <w:t xml:space="preserve">ay </w:t>
      </w:r>
      <w:r w:rsidR="00BF7C85">
        <w:t>h</w:t>
      </w:r>
      <w:r>
        <w:t xml:space="preserve">ave </w:t>
      </w:r>
      <w:r w:rsidR="00BF7C85">
        <w:t>l</w:t>
      </w:r>
      <w:r>
        <w:t xml:space="preserve">ittle or </w:t>
      </w:r>
      <w:r w:rsidR="00BF7C85">
        <w:t>n</w:t>
      </w:r>
      <w:r>
        <w:t xml:space="preserve">o </w:t>
      </w:r>
      <w:r w:rsidR="00BF7C85">
        <w:t>a</w:t>
      </w:r>
      <w:r>
        <w:t xml:space="preserve">bility to </w:t>
      </w:r>
      <w:r w:rsidR="00BF7C85">
        <w:t>n</w:t>
      </w:r>
      <w:r>
        <w:t>egotiate</w:t>
      </w:r>
      <w:r w:rsidRPr="00627327">
        <w:t xml:space="preserve"> </w:t>
      </w:r>
    </w:p>
    <w:p w14:paraId="0730A963" w14:textId="7EFE4E1D" w:rsidR="00627327" w:rsidRDefault="00BF7C85" w:rsidP="00627327">
      <w:pPr>
        <w:pStyle w:val="ListParagraph"/>
        <w:numPr>
          <w:ilvl w:val="0"/>
          <w:numId w:val="81"/>
        </w:numPr>
      </w:pPr>
      <w:r>
        <w:t>D</w:t>
      </w:r>
      <w:r w:rsidR="00627327">
        <w:t>eceptive “</w:t>
      </w:r>
      <w:r>
        <w:t>d</w:t>
      </w:r>
      <w:r w:rsidR="00627327">
        <w:t xml:space="preserve">ark </w:t>
      </w:r>
      <w:r>
        <w:t>p</w:t>
      </w:r>
      <w:r w:rsidR="00627327">
        <w:t xml:space="preserve">atterns” </w:t>
      </w:r>
      <w:r>
        <w:t>m</w:t>
      </w:r>
      <w:r w:rsidR="00627327">
        <w:t xml:space="preserve">ay </w:t>
      </w:r>
      <w:r>
        <w:t>u</w:t>
      </w:r>
      <w:r w:rsidR="00627327">
        <w:t xml:space="preserve">ndermine </w:t>
      </w:r>
      <w:r>
        <w:t>c</w:t>
      </w:r>
      <w:r w:rsidR="00627327">
        <w:t xml:space="preserve">onsumer </w:t>
      </w:r>
      <w:r>
        <w:t>c</w:t>
      </w:r>
      <w:r w:rsidR="00627327">
        <w:t>hoice</w:t>
      </w:r>
    </w:p>
    <w:p w14:paraId="6D5657F7" w14:textId="7BF49A07" w:rsidR="00627327" w:rsidRDefault="00627327" w:rsidP="00627327">
      <w:pPr>
        <w:pStyle w:val="ListParagraph"/>
        <w:numPr>
          <w:ilvl w:val="0"/>
          <w:numId w:val="81"/>
        </w:numPr>
      </w:pPr>
      <w:r>
        <w:t xml:space="preserve">Low-cost and </w:t>
      </w:r>
      <w:r w:rsidR="00BF7C85">
        <w:t>n</w:t>
      </w:r>
      <w:r>
        <w:t xml:space="preserve">o-cost </w:t>
      </w:r>
      <w:r w:rsidR="00BF7C85">
        <w:t>d</w:t>
      </w:r>
      <w:r>
        <w:t xml:space="preserve">igital </w:t>
      </w:r>
      <w:r w:rsidR="00BF7C85">
        <w:t>s</w:t>
      </w:r>
      <w:r>
        <w:t xml:space="preserve">ervices </w:t>
      </w:r>
      <w:r w:rsidR="00BF7C85">
        <w:t>m</w:t>
      </w:r>
      <w:r>
        <w:t xml:space="preserve">ay </w:t>
      </w:r>
      <w:r w:rsidR="00BF7C85">
        <w:t>c</w:t>
      </w:r>
      <w:r>
        <w:t xml:space="preserve">onceal </w:t>
      </w:r>
      <w:r w:rsidR="00BF7C85">
        <w:t>important risks, avoid consumer protections</w:t>
      </w:r>
    </w:p>
    <w:p w14:paraId="7711237E" w14:textId="48F975E6" w:rsidR="00627327" w:rsidRDefault="00BF7C85" w:rsidP="00627327">
      <w:pPr>
        <w:pStyle w:val="ListParagraph"/>
        <w:numPr>
          <w:ilvl w:val="0"/>
          <w:numId w:val="81"/>
        </w:numPr>
      </w:pPr>
      <w:r>
        <w:t>ToS may restrict legal rights and reduce access to justice</w:t>
      </w:r>
    </w:p>
    <w:p w14:paraId="5C9691EF" w14:textId="1BBC54C0" w:rsidR="00627327" w:rsidRDefault="00BF7C85" w:rsidP="00627327">
      <w:pPr>
        <w:pStyle w:val="ListParagraph"/>
        <w:numPr>
          <w:ilvl w:val="0"/>
          <w:numId w:val="81"/>
        </w:numPr>
      </w:pPr>
      <w:r>
        <w:t>Consumer protection laws can conflict and overlap with other laws</w:t>
      </w:r>
    </w:p>
    <w:p w14:paraId="2A244965" w14:textId="24EF9B11" w:rsidR="00627327" w:rsidRDefault="00BF7C85" w:rsidP="008546ED">
      <w:pPr>
        <w:pStyle w:val="ListParagraph"/>
        <w:numPr>
          <w:ilvl w:val="0"/>
          <w:numId w:val="81"/>
        </w:numPr>
      </w:pPr>
      <w:r>
        <w:t>Litigation is limited</w:t>
      </w:r>
      <w:r w:rsidR="00090254">
        <w:t xml:space="preserve"> as a consumer tool</w:t>
      </w:r>
      <w:r>
        <w:t>.</w:t>
      </w:r>
    </w:p>
    <w:p w14:paraId="3BC5E231" w14:textId="187A475B" w:rsidR="00287AC3" w:rsidRPr="00557283" w:rsidRDefault="00456879">
      <w:r>
        <w:t>A closer look at these issues reveal</w:t>
      </w:r>
      <w:r w:rsidR="00D3682B">
        <w:t>s</w:t>
      </w:r>
      <w:r>
        <w:t xml:space="preserve"> opportunities to realign contemporary digital practices with traditional consumer protection principles.</w:t>
      </w:r>
      <w:r w:rsidR="00287AC3">
        <w:rPr>
          <w:lang w:val="en-US"/>
        </w:rPr>
        <w:br w:type="page"/>
      </w:r>
    </w:p>
    <w:p w14:paraId="2EE58CC1" w14:textId="3CEB17FD" w:rsidR="00572A93" w:rsidRPr="004B37E2" w:rsidRDefault="00A47EDD" w:rsidP="00390309">
      <w:pPr>
        <w:pStyle w:val="Heading2"/>
        <w:rPr>
          <w:lang w:val="en-US"/>
        </w:rPr>
      </w:pPr>
      <w:bookmarkStart w:id="50" w:name="_Toc138151842"/>
      <w:r w:rsidRPr="004B37E2">
        <w:rPr>
          <w:lang w:val="en-US"/>
        </w:rPr>
        <w:lastRenderedPageBreak/>
        <w:t>4.1</w:t>
      </w:r>
      <w:r w:rsidRPr="004B37E2">
        <w:rPr>
          <w:lang w:val="en-US"/>
        </w:rPr>
        <w:tab/>
      </w:r>
      <w:r w:rsidR="00E92656" w:rsidRPr="004B37E2">
        <w:rPr>
          <w:lang w:val="en-US"/>
        </w:rPr>
        <w:t xml:space="preserve">Ontario’s </w:t>
      </w:r>
      <w:r w:rsidR="00572A93" w:rsidRPr="004B37E2">
        <w:rPr>
          <w:lang w:val="en-US"/>
        </w:rPr>
        <w:t>2020 and 2023 CPA Reform Proposals</w:t>
      </w:r>
      <w:bookmarkEnd w:id="50"/>
    </w:p>
    <w:p w14:paraId="45936164" w14:textId="0DD55D9E" w:rsidR="00572A93" w:rsidRPr="00B577A2" w:rsidRDefault="00572A93" w:rsidP="00572A93">
      <w:pPr>
        <w:rPr>
          <w:highlight w:val="lightGray"/>
          <w:lang w:val="en-US"/>
        </w:rPr>
      </w:pPr>
    </w:p>
    <w:p w14:paraId="24740A04" w14:textId="1A63E1EF" w:rsidR="00572A93" w:rsidRPr="00B577A2" w:rsidRDefault="00572A93" w:rsidP="00572A93">
      <w:pPr>
        <w:rPr>
          <w:highlight w:val="lightGray"/>
        </w:rPr>
      </w:pPr>
      <w:r w:rsidRPr="00B577A2">
        <w:rPr>
          <w:highlight w:val="lightGray"/>
        </w:rPr>
        <w:t xml:space="preserve">The 2020 and 2023 </w:t>
      </w:r>
      <w:r w:rsidR="00E92656" w:rsidRPr="00B577A2">
        <w:rPr>
          <w:highlight w:val="lightGray"/>
        </w:rPr>
        <w:t>G</w:t>
      </w:r>
      <w:r w:rsidRPr="00B577A2">
        <w:rPr>
          <w:highlight w:val="lightGray"/>
        </w:rPr>
        <w:t xml:space="preserve">overnment of Ontario </w:t>
      </w:r>
      <w:r w:rsidR="002425A0">
        <w:rPr>
          <w:highlight w:val="lightGray"/>
        </w:rPr>
        <w:t>CPA C</w:t>
      </w:r>
      <w:r w:rsidR="00E92656" w:rsidRPr="00B577A2">
        <w:rPr>
          <w:highlight w:val="lightGray"/>
        </w:rPr>
        <w:t xml:space="preserve">onsultation </w:t>
      </w:r>
      <w:r w:rsidR="002425A0">
        <w:rPr>
          <w:highlight w:val="lightGray"/>
        </w:rPr>
        <w:t>P</w:t>
      </w:r>
      <w:r w:rsidR="00E92656" w:rsidRPr="00B577A2">
        <w:rPr>
          <w:highlight w:val="lightGray"/>
        </w:rPr>
        <w:t xml:space="preserve">apers </w:t>
      </w:r>
      <w:r w:rsidRPr="00B577A2">
        <w:rPr>
          <w:highlight w:val="lightGray"/>
        </w:rPr>
        <w:t xml:space="preserve">make </w:t>
      </w:r>
      <w:r w:rsidR="00E92656" w:rsidRPr="00B577A2">
        <w:rPr>
          <w:highlight w:val="lightGray"/>
        </w:rPr>
        <w:t xml:space="preserve">several </w:t>
      </w:r>
      <w:r w:rsidRPr="00B577A2">
        <w:rPr>
          <w:highlight w:val="lightGray"/>
        </w:rPr>
        <w:t xml:space="preserve">suggestions </w:t>
      </w:r>
      <w:r w:rsidR="00E92656" w:rsidRPr="00B577A2">
        <w:rPr>
          <w:highlight w:val="lightGray"/>
        </w:rPr>
        <w:t xml:space="preserve">to </w:t>
      </w:r>
      <w:r w:rsidRPr="00B577A2">
        <w:rPr>
          <w:highlight w:val="lightGray"/>
        </w:rPr>
        <w:t>updat</w:t>
      </w:r>
      <w:r w:rsidR="00E92656" w:rsidRPr="00B577A2">
        <w:rPr>
          <w:highlight w:val="lightGray"/>
        </w:rPr>
        <w:t>e</w:t>
      </w:r>
      <w:r w:rsidRPr="00B577A2">
        <w:rPr>
          <w:highlight w:val="lightGray"/>
        </w:rPr>
        <w:t xml:space="preserve"> the CPA to work better in </w:t>
      </w:r>
      <w:r w:rsidR="002425A0">
        <w:rPr>
          <w:highlight w:val="lightGray"/>
        </w:rPr>
        <w:t xml:space="preserve">the </w:t>
      </w:r>
      <w:r w:rsidR="00EE7000">
        <w:rPr>
          <w:highlight w:val="lightGray"/>
        </w:rPr>
        <w:t xml:space="preserve">new “dynamic and evolving </w:t>
      </w:r>
      <w:r w:rsidR="002425A0">
        <w:rPr>
          <w:highlight w:val="lightGray"/>
        </w:rPr>
        <w:t xml:space="preserve">[consumer] </w:t>
      </w:r>
      <w:r w:rsidRPr="00B577A2">
        <w:rPr>
          <w:highlight w:val="lightGray"/>
        </w:rPr>
        <w:t>marketplace</w:t>
      </w:r>
      <w:r w:rsidR="00E92656" w:rsidRPr="00B577A2">
        <w:rPr>
          <w:highlight w:val="lightGray"/>
        </w:rPr>
        <w:t>,</w:t>
      </w:r>
      <w:r w:rsidRPr="00B577A2">
        <w:rPr>
          <w:highlight w:val="lightGray"/>
        </w:rPr>
        <w:t>”</w:t>
      </w:r>
      <w:r w:rsidR="006E30FF" w:rsidRPr="00B577A2">
        <w:rPr>
          <w:rStyle w:val="EndnoteReference"/>
          <w:highlight w:val="lightGray"/>
        </w:rPr>
        <w:endnoteReference w:id="133"/>
      </w:r>
      <w:r w:rsidR="00E92656" w:rsidRPr="00B577A2">
        <w:rPr>
          <w:highlight w:val="lightGray"/>
        </w:rPr>
        <w:t xml:space="preserve"> including:</w:t>
      </w:r>
      <w:r w:rsidRPr="00B577A2">
        <w:rPr>
          <w:highlight w:val="lightGray"/>
        </w:rPr>
        <w:t xml:space="preserve"> </w:t>
      </w:r>
    </w:p>
    <w:p w14:paraId="12B1033D" w14:textId="71AE49FE" w:rsidR="00572A93" w:rsidRPr="00B577A2" w:rsidRDefault="00572A93" w:rsidP="00470F77">
      <w:pPr>
        <w:pStyle w:val="ListParagraph"/>
        <w:numPr>
          <w:ilvl w:val="0"/>
          <w:numId w:val="35"/>
        </w:numPr>
        <w:rPr>
          <w:highlight w:val="lightGray"/>
        </w:rPr>
      </w:pPr>
      <w:r w:rsidRPr="00B577A2">
        <w:rPr>
          <w:highlight w:val="lightGray"/>
        </w:rPr>
        <w:t>Simplifying and consolidating specific contract disclosure rules that apply to different types of contracts – including direct, remote, internet, and future performance agreements – into a single set of core rules that would apply to most consumer contracts, including “a contract entered into online</w:t>
      </w:r>
      <w:r w:rsidR="002425A0">
        <w:rPr>
          <w:highlight w:val="lightGray"/>
        </w:rPr>
        <w:t>.</w:t>
      </w:r>
      <w:r w:rsidRPr="00B577A2">
        <w:rPr>
          <w:highlight w:val="lightGray"/>
        </w:rPr>
        <w:t>”</w:t>
      </w:r>
      <w:r w:rsidRPr="00B577A2">
        <w:rPr>
          <w:rStyle w:val="EndnoteReference"/>
          <w:highlight w:val="lightGray"/>
        </w:rPr>
        <w:endnoteReference w:id="134"/>
      </w:r>
    </w:p>
    <w:p w14:paraId="2BD5EF16" w14:textId="07B80F65" w:rsidR="00572A93" w:rsidRPr="00B577A2" w:rsidRDefault="00F92704" w:rsidP="00470F77">
      <w:pPr>
        <w:pStyle w:val="ListParagraph"/>
        <w:numPr>
          <w:ilvl w:val="0"/>
          <w:numId w:val="35"/>
        </w:numPr>
        <w:rPr>
          <w:highlight w:val="lightGray"/>
        </w:rPr>
      </w:pPr>
      <w:r w:rsidRPr="00B577A2">
        <w:rPr>
          <w:highlight w:val="lightGray"/>
        </w:rPr>
        <w:t xml:space="preserve">Creating a </w:t>
      </w:r>
      <w:r w:rsidR="00572A93" w:rsidRPr="00B577A2">
        <w:rPr>
          <w:highlight w:val="lightGray"/>
        </w:rPr>
        <w:t>consolidated disclosure rule</w:t>
      </w:r>
      <w:r w:rsidR="002425A0">
        <w:rPr>
          <w:highlight w:val="lightGray"/>
        </w:rPr>
        <w:t xml:space="preserve"> specifying </w:t>
      </w:r>
      <w:r w:rsidR="00572A93" w:rsidRPr="00B577A2">
        <w:rPr>
          <w:highlight w:val="lightGray"/>
        </w:rPr>
        <w:t>that consumer contract</w:t>
      </w:r>
      <w:r w:rsidRPr="00B577A2">
        <w:rPr>
          <w:highlight w:val="lightGray"/>
        </w:rPr>
        <w:t>s</w:t>
      </w:r>
      <w:r w:rsidR="00572A93" w:rsidRPr="00B577A2">
        <w:rPr>
          <w:highlight w:val="lightGray"/>
        </w:rPr>
        <w:t xml:space="preserve"> </w:t>
      </w:r>
      <w:r w:rsidR="002425A0">
        <w:rPr>
          <w:highlight w:val="lightGray"/>
        </w:rPr>
        <w:t xml:space="preserve">must be </w:t>
      </w:r>
      <w:r w:rsidR="00572A93" w:rsidRPr="00B577A2">
        <w:rPr>
          <w:highlight w:val="lightGray"/>
        </w:rPr>
        <w:t>in writing; that contents of the contract are disclosed</w:t>
      </w:r>
      <w:r w:rsidRPr="00B577A2">
        <w:rPr>
          <w:highlight w:val="lightGray"/>
        </w:rPr>
        <w:t xml:space="preserve"> (</w:t>
      </w:r>
      <w:r w:rsidR="00572A93" w:rsidRPr="00B577A2">
        <w:rPr>
          <w:highlight w:val="lightGray"/>
        </w:rPr>
        <w:t>including “key information in the contract”</w:t>
      </w:r>
      <w:r w:rsidRPr="00B577A2">
        <w:rPr>
          <w:highlight w:val="lightGray"/>
        </w:rPr>
        <w:t xml:space="preserve">); </w:t>
      </w:r>
      <w:r w:rsidR="00572A93" w:rsidRPr="00B577A2">
        <w:rPr>
          <w:highlight w:val="lightGray"/>
        </w:rPr>
        <w:t xml:space="preserve">and </w:t>
      </w:r>
      <w:r w:rsidR="056EEE9F" w:rsidRPr="00B577A2">
        <w:rPr>
          <w:highlight w:val="lightGray"/>
        </w:rPr>
        <w:t>that consumer</w:t>
      </w:r>
      <w:r w:rsidR="002425A0">
        <w:rPr>
          <w:highlight w:val="lightGray"/>
        </w:rPr>
        <w:t>s</w:t>
      </w:r>
      <w:r w:rsidR="056EEE9F" w:rsidRPr="00B577A2">
        <w:rPr>
          <w:highlight w:val="lightGray"/>
        </w:rPr>
        <w:t xml:space="preserve"> have </w:t>
      </w:r>
      <w:r w:rsidR="00461E85" w:rsidRPr="00B577A2">
        <w:rPr>
          <w:highlight w:val="lightGray"/>
        </w:rPr>
        <w:t>the</w:t>
      </w:r>
      <w:r w:rsidR="00572A93" w:rsidRPr="00B577A2">
        <w:rPr>
          <w:highlight w:val="lightGray"/>
        </w:rPr>
        <w:t xml:space="preserve"> express opportunity to accept or decline the contract before entering into it.</w:t>
      </w:r>
      <w:r w:rsidR="00572A93" w:rsidRPr="00B577A2">
        <w:rPr>
          <w:rStyle w:val="EndnoteReference"/>
          <w:highlight w:val="lightGray"/>
        </w:rPr>
        <w:endnoteReference w:id="135"/>
      </w:r>
      <w:r w:rsidR="00572A93" w:rsidRPr="00B577A2">
        <w:rPr>
          <w:highlight w:val="lightGray"/>
        </w:rPr>
        <w:t xml:space="preserve"> </w:t>
      </w:r>
    </w:p>
    <w:p w14:paraId="4941F41C" w14:textId="5720F19C" w:rsidR="00572A93" w:rsidRPr="00B577A2" w:rsidRDefault="00572A93" w:rsidP="00470F77">
      <w:pPr>
        <w:pStyle w:val="ListParagraph"/>
        <w:numPr>
          <w:ilvl w:val="0"/>
          <w:numId w:val="35"/>
        </w:numPr>
        <w:rPr>
          <w:highlight w:val="lightGray"/>
        </w:rPr>
      </w:pPr>
      <w:r w:rsidRPr="00B577A2">
        <w:rPr>
          <w:highlight w:val="lightGray"/>
        </w:rPr>
        <w:t xml:space="preserve">Enhancing protections against unilateral contract amendments by requiring explicit consent to any amendments or continuation for most contracts, </w:t>
      </w:r>
      <w:r w:rsidR="00CC3C8E">
        <w:rPr>
          <w:highlight w:val="lightGray"/>
        </w:rPr>
        <w:t xml:space="preserve">subject to </w:t>
      </w:r>
      <w:r w:rsidRPr="00B577A2">
        <w:rPr>
          <w:highlight w:val="lightGray"/>
        </w:rPr>
        <w:t xml:space="preserve">two exceptions: (1) where the changes do not reduce the obligations of the supplier or increase the obligations of the consumer; or (2) when the contract is for an indefinite term and the consumer can cancel at any time without incurring termination costs. </w:t>
      </w:r>
      <w:r w:rsidR="00CC3C8E">
        <w:rPr>
          <w:highlight w:val="lightGray"/>
        </w:rPr>
        <w:t xml:space="preserve">In the event of an exception, the supplier </w:t>
      </w:r>
      <w:r w:rsidRPr="00B577A2">
        <w:rPr>
          <w:highlight w:val="lightGray"/>
        </w:rPr>
        <w:t>unilateral</w:t>
      </w:r>
      <w:r w:rsidR="00CC3C8E">
        <w:rPr>
          <w:highlight w:val="lightGray"/>
        </w:rPr>
        <w:t xml:space="preserve">ly change the contract by providing </w:t>
      </w:r>
      <w:r w:rsidRPr="00B577A2">
        <w:rPr>
          <w:highlight w:val="lightGray"/>
        </w:rPr>
        <w:t>with 30 days notice of the change.</w:t>
      </w:r>
      <w:r w:rsidRPr="00B577A2">
        <w:rPr>
          <w:rStyle w:val="EndnoteReference"/>
          <w:highlight w:val="lightGray"/>
        </w:rPr>
        <w:endnoteReference w:id="136"/>
      </w:r>
    </w:p>
    <w:p w14:paraId="023EBD34" w14:textId="29CEF051" w:rsidR="00572A93" w:rsidRPr="00B577A2" w:rsidRDefault="00572A93" w:rsidP="00470F77">
      <w:pPr>
        <w:pStyle w:val="ListParagraph"/>
        <w:numPr>
          <w:ilvl w:val="0"/>
          <w:numId w:val="35"/>
        </w:numPr>
        <w:rPr>
          <w:highlight w:val="lightGray"/>
        </w:rPr>
      </w:pPr>
      <w:r w:rsidRPr="00B577A2">
        <w:rPr>
          <w:highlight w:val="lightGray"/>
        </w:rPr>
        <w:t xml:space="preserve">Clarifying that it is unfair and unconscionable to </w:t>
      </w:r>
      <w:r w:rsidR="003D5E3E" w:rsidRPr="00B577A2">
        <w:rPr>
          <w:highlight w:val="lightGray"/>
        </w:rPr>
        <w:t>offer</w:t>
      </w:r>
      <w:r w:rsidRPr="00B577A2">
        <w:rPr>
          <w:highlight w:val="lightGray"/>
        </w:rPr>
        <w:t xml:space="preserve"> </w:t>
      </w:r>
      <w:r w:rsidR="003D5E3E" w:rsidRPr="00B577A2">
        <w:rPr>
          <w:highlight w:val="lightGray"/>
        </w:rPr>
        <w:t>“</w:t>
      </w:r>
      <w:r w:rsidRPr="00B577A2">
        <w:rPr>
          <w:highlight w:val="lightGray"/>
        </w:rPr>
        <w:t>contract-breaking services</w:t>
      </w:r>
      <w:r w:rsidR="003D5E3E" w:rsidRPr="00B577A2">
        <w:rPr>
          <w:highlight w:val="lightGray"/>
        </w:rPr>
        <w:t>”</w:t>
      </w:r>
      <w:r w:rsidRPr="00B577A2">
        <w:rPr>
          <w:highlight w:val="lightGray"/>
        </w:rPr>
        <w:t xml:space="preserve"> to a consumer without first disclosing the consumers’ </w:t>
      </w:r>
      <w:r w:rsidR="003D5E3E" w:rsidRPr="00B577A2">
        <w:rPr>
          <w:highlight w:val="lightGray"/>
        </w:rPr>
        <w:t xml:space="preserve">existing </w:t>
      </w:r>
      <w:r w:rsidRPr="00B577A2">
        <w:rPr>
          <w:highlight w:val="lightGray"/>
        </w:rPr>
        <w:t>rights and cost of the service.</w:t>
      </w:r>
      <w:r w:rsidRPr="00B577A2">
        <w:rPr>
          <w:rStyle w:val="EndnoteReference"/>
          <w:highlight w:val="lightGray"/>
        </w:rPr>
        <w:endnoteReference w:id="137"/>
      </w:r>
    </w:p>
    <w:p w14:paraId="3BED1E00" w14:textId="77777777" w:rsidR="00572A93" w:rsidRPr="00B577A2" w:rsidRDefault="00572A93" w:rsidP="00470F77">
      <w:pPr>
        <w:pStyle w:val="ListParagraph"/>
        <w:numPr>
          <w:ilvl w:val="0"/>
          <w:numId w:val="35"/>
        </w:numPr>
        <w:rPr>
          <w:highlight w:val="lightGray"/>
        </w:rPr>
      </w:pPr>
      <w:r w:rsidRPr="00B577A2">
        <w:rPr>
          <w:highlight w:val="lightGray"/>
        </w:rPr>
        <w:t xml:space="preserve">Clarifying that consumers have one year to rescind a contract after an unfair practice </w:t>
      </w:r>
      <w:r w:rsidRPr="008546ED">
        <w:rPr>
          <w:i/>
          <w:iCs/>
          <w:highlight w:val="lightGray"/>
        </w:rPr>
        <w:t>takes place</w:t>
      </w:r>
      <w:r w:rsidRPr="00B577A2">
        <w:rPr>
          <w:highlight w:val="lightGray"/>
        </w:rPr>
        <w:t xml:space="preserve"> (as opposed to the existing right to rescind within one year of </w:t>
      </w:r>
      <w:r w:rsidRPr="008546ED">
        <w:rPr>
          <w:i/>
          <w:iCs/>
          <w:highlight w:val="lightGray"/>
        </w:rPr>
        <w:t>commencing</w:t>
      </w:r>
      <w:r w:rsidRPr="00B577A2">
        <w:rPr>
          <w:highlight w:val="lightGray"/>
        </w:rPr>
        <w:t xml:space="preserve"> the contract).</w:t>
      </w:r>
      <w:r w:rsidRPr="00B577A2">
        <w:rPr>
          <w:rStyle w:val="EndnoteReference"/>
          <w:highlight w:val="lightGray"/>
        </w:rPr>
        <w:endnoteReference w:id="138"/>
      </w:r>
    </w:p>
    <w:p w14:paraId="12A4C2FE" w14:textId="77777777" w:rsidR="00572A93" w:rsidRPr="00B577A2" w:rsidRDefault="00572A93" w:rsidP="00470F77">
      <w:pPr>
        <w:pStyle w:val="ListParagraph"/>
        <w:numPr>
          <w:ilvl w:val="0"/>
          <w:numId w:val="35"/>
        </w:numPr>
        <w:rPr>
          <w:highlight w:val="lightGray"/>
        </w:rPr>
      </w:pPr>
      <w:r w:rsidRPr="00B577A2">
        <w:rPr>
          <w:highlight w:val="lightGray"/>
        </w:rPr>
        <w:t>Explicitly prohibiting businesses from including terms in a contract that appear to waive express consumer rights in the CPA to file a complaint with the Ministry, join a class action or commence an action in court. A new proposal would further prohibit terms that infringe on consumers’ rights to make fair public reviews of a business or service.</w:t>
      </w:r>
      <w:r w:rsidRPr="00B577A2">
        <w:rPr>
          <w:rStyle w:val="EndnoteReference"/>
          <w:highlight w:val="lightGray"/>
        </w:rPr>
        <w:endnoteReference w:id="139"/>
      </w:r>
    </w:p>
    <w:p w14:paraId="55D93E59" w14:textId="77777777" w:rsidR="00572A93" w:rsidRPr="00B577A2" w:rsidRDefault="00572A93" w:rsidP="00470F77">
      <w:pPr>
        <w:pStyle w:val="ListParagraph"/>
        <w:numPr>
          <w:ilvl w:val="0"/>
          <w:numId w:val="35"/>
        </w:numPr>
        <w:rPr>
          <w:highlight w:val="lightGray"/>
        </w:rPr>
      </w:pPr>
      <w:r w:rsidRPr="00B577A2">
        <w:rPr>
          <w:highlight w:val="lightGray"/>
        </w:rPr>
        <w:t>Extending compliance orders issued under the CPA to cover any business that facilitates another business’ contravention (covering intermediaries such as online platforms and billing services).</w:t>
      </w:r>
      <w:r w:rsidRPr="00B577A2">
        <w:rPr>
          <w:rStyle w:val="EndnoteReference"/>
          <w:highlight w:val="lightGray"/>
        </w:rPr>
        <w:endnoteReference w:id="140"/>
      </w:r>
      <w:r w:rsidRPr="00B577A2">
        <w:rPr>
          <w:highlight w:val="lightGray"/>
        </w:rPr>
        <w:t xml:space="preserve"> </w:t>
      </w:r>
    </w:p>
    <w:p w14:paraId="59F67239" w14:textId="77777777" w:rsidR="00A22819" w:rsidRDefault="00A22819">
      <w:pPr>
        <w:rPr>
          <w:highlight w:val="yellow"/>
        </w:rPr>
      </w:pPr>
      <w:r>
        <w:rPr>
          <w:highlight w:val="yellow"/>
        </w:rPr>
        <w:br w:type="page"/>
      </w:r>
    </w:p>
    <w:p w14:paraId="251E02CD" w14:textId="38696828" w:rsidR="00B564DC" w:rsidRDefault="00FB6D68" w:rsidP="00390309">
      <w:pPr>
        <w:pStyle w:val="Heading2"/>
        <w:rPr>
          <w:lang w:val="en-US"/>
        </w:rPr>
      </w:pPr>
      <w:r>
        <w:rPr>
          <w:lang w:val="en-US"/>
        </w:rPr>
        <w:lastRenderedPageBreak/>
        <w:t xml:space="preserve"> </w:t>
      </w:r>
      <w:bookmarkStart w:id="51" w:name="_Toc138151843"/>
      <w:r w:rsidR="00390309">
        <w:rPr>
          <w:lang w:val="en-US"/>
        </w:rPr>
        <w:t xml:space="preserve">4.2 </w:t>
      </w:r>
      <w:r w:rsidR="00B564DC">
        <w:rPr>
          <w:lang w:val="en-US"/>
        </w:rPr>
        <w:t>Consumer Consent May Be Illusory</w:t>
      </w:r>
      <w:bookmarkEnd w:id="51"/>
      <w:r w:rsidR="00B564DC">
        <w:rPr>
          <w:lang w:val="en-US"/>
        </w:rPr>
        <w:t xml:space="preserve"> </w:t>
      </w:r>
    </w:p>
    <w:p w14:paraId="190B8B6F" w14:textId="77777777" w:rsidR="00CC3C8E" w:rsidRDefault="00CC3C8E" w:rsidP="007A41A0">
      <w:pPr>
        <w:spacing w:after="0"/>
        <w:rPr>
          <w:lang w:val="en-US"/>
        </w:rPr>
      </w:pPr>
    </w:p>
    <w:p w14:paraId="5FA578A8" w14:textId="20538F1A" w:rsidR="007E17D4" w:rsidRDefault="00912A88" w:rsidP="007E17D4">
      <w:pPr>
        <w:rPr>
          <w:lang w:val="en-US"/>
        </w:rPr>
      </w:pPr>
      <w:r>
        <w:rPr>
          <w:lang w:val="en-US"/>
        </w:rPr>
        <w:t>Both the c</w:t>
      </w:r>
      <w:r w:rsidR="007E17D4">
        <w:rPr>
          <w:lang w:val="en-US"/>
        </w:rPr>
        <w:t xml:space="preserve">ommon law </w:t>
      </w:r>
      <w:r>
        <w:rPr>
          <w:lang w:val="en-US"/>
        </w:rPr>
        <w:t xml:space="preserve">and </w:t>
      </w:r>
      <w:r w:rsidR="001721DB">
        <w:rPr>
          <w:lang w:val="en-US"/>
        </w:rPr>
        <w:t xml:space="preserve">the </w:t>
      </w:r>
      <w:r w:rsidR="007E17D4">
        <w:rPr>
          <w:lang w:val="en-US"/>
        </w:rPr>
        <w:t xml:space="preserve">CPA require adequate </w:t>
      </w:r>
      <w:r w:rsidR="00A01343">
        <w:rPr>
          <w:lang w:val="en-US"/>
        </w:rPr>
        <w:t>disclosure</w:t>
      </w:r>
      <w:r w:rsidR="007E17D4">
        <w:rPr>
          <w:lang w:val="en-US"/>
        </w:rPr>
        <w:t xml:space="preserve"> </w:t>
      </w:r>
      <w:r w:rsidR="001721DB">
        <w:rPr>
          <w:lang w:val="en-US"/>
        </w:rPr>
        <w:t xml:space="preserve">be given to </w:t>
      </w:r>
      <w:r w:rsidR="007E17D4">
        <w:rPr>
          <w:lang w:val="en-US"/>
        </w:rPr>
        <w:t xml:space="preserve">the consumer </w:t>
      </w:r>
      <w:r w:rsidR="001721DB">
        <w:rPr>
          <w:lang w:val="en-US"/>
        </w:rPr>
        <w:t xml:space="preserve">to read and understand </w:t>
      </w:r>
      <w:r w:rsidR="007E17D4">
        <w:rPr>
          <w:lang w:val="en-US"/>
        </w:rPr>
        <w:t>contract</w:t>
      </w:r>
      <w:r w:rsidR="001721DB">
        <w:rPr>
          <w:lang w:val="en-US"/>
        </w:rPr>
        <w:t>ual terms and conditions</w:t>
      </w:r>
      <w:r w:rsidR="007E17D4">
        <w:rPr>
          <w:lang w:val="en-US"/>
        </w:rPr>
        <w:t>.</w:t>
      </w:r>
      <w:r w:rsidR="00CD55E6">
        <w:rPr>
          <w:rStyle w:val="EndnoteReference"/>
          <w:lang w:val="en-US"/>
        </w:rPr>
        <w:endnoteReference w:id="141"/>
      </w:r>
      <w:r w:rsidR="007E17D4">
        <w:rPr>
          <w:lang w:val="en-US"/>
        </w:rPr>
        <w:t xml:space="preserve"> </w:t>
      </w:r>
      <w:r>
        <w:rPr>
          <w:lang w:val="en-US"/>
        </w:rPr>
        <w:t xml:space="preserve">Notice </w:t>
      </w:r>
      <w:r w:rsidR="007E17D4">
        <w:rPr>
          <w:lang w:val="en-US"/>
        </w:rPr>
        <w:t xml:space="preserve">is a </w:t>
      </w:r>
      <w:r w:rsidR="00C879E2">
        <w:rPr>
          <w:lang w:val="en-US"/>
        </w:rPr>
        <w:t>fundamental</w:t>
      </w:r>
      <w:r w:rsidR="007E17D4">
        <w:rPr>
          <w:lang w:val="en-US"/>
        </w:rPr>
        <w:t xml:space="preserve"> </w:t>
      </w:r>
      <w:r>
        <w:rPr>
          <w:lang w:val="en-US"/>
        </w:rPr>
        <w:t xml:space="preserve">principle of consumer protection law intended to </w:t>
      </w:r>
      <w:r w:rsidR="007E17D4">
        <w:rPr>
          <w:lang w:val="en-US"/>
        </w:rPr>
        <w:t xml:space="preserve">ensure consumers </w:t>
      </w:r>
      <w:r w:rsidR="001721DB">
        <w:rPr>
          <w:lang w:val="en-US"/>
        </w:rPr>
        <w:t xml:space="preserve">have the opportunity to </w:t>
      </w:r>
      <w:r w:rsidR="007E17D4">
        <w:rPr>
          <w:lang w:val="en-US"/>
        </w:rPr>
        <w:t xml:space="preserve">read and </w:t>
      </w:r>
      <w:r>
        <w:rPr>
          <w:lang w:val="en-US"/>
        </w:rPr>
        <w:t xml:space="preserve">consent to contractual </w:t>
      </w:r>
      <w:r w:rsidR="007E17D4">
        <w:rPr>
          <w:lang w:val="en-US"/>
        </w:rPr>
        <w:t xml:space="preserve">terms. </w:t>
      </w:r>
    </w:p>
    <w:p w14:paraId="3FCF1015" w14:textId="339EA50F" w:rsidR="00B564DC" w:rsidRDefault="007F3092" w:rsidP="00B564DC">
      <w:pPr>
        <w:rPr>
          <w:lang w:val="en-US"/>
        </w:rPr>
      </w:pPr>
      <w:r>
        <w:rPr>
          <w:lang w:val="en-US"/>
        </w:rPr>
        <w:t>However, a</w:t>
      </w:r>
      <w:r w:rsidR="001721DB">
        <w:rPr>
          <w:lang w:val="en-US"/>
        </w:rPr>
        <w:t>cademic research and practical e</w:t>
      </w:r>
      <w:r w:rsidR="007E17D4">
        <w:rPr>
          <w:lang w:val="en-US"/>
        </w:rPr>
        <w:t xml:space="preserve">xperience </w:t>
      </w:r>
      <w:r w:rsidR="006B125B">
        <w:rPr>
          <w:lang w:val="en-US"/>
        </w:rPr>
        <w:t xml:space="preserve">demonstrate </w:t>
      </w:r>
      <w:r w:rsidR="001721DB">
        <w:rPr>
          <w:lang w:val="en-US"/>
        </w:rPr>
        <w:t xml:space="preserve">online </w:t>
      </w:r>
      <w:r w:rsidR="007E17D4">
        <w:rPr>
          <w:lang w:val="en-US"/>
        </w:rPr>
        <w:t xml:space="preserve">ToS </w:t>
      </w:r>
      <w:r w:rsidR="001721DB">
        <w:rPr>
          <w:lang w:val="en-US"/>
        </w:rPr>
        <w:t>are often long, not read, and/or inaccessible</w:t>
      </w:r>
      <w:r w:rsidR="006B125B">
        <w:rPr>
          <w:lang w:val="en-US"/>
        </w:rPr>
        <w:t>:</w:t>
      </w:r>
    </w:p>
    <w:p w14:paraId="05A8D611" w14:textId="610EC581" w:rsidR="00B564DC" w:rsidRDefault="00B564DC" w:rsidP="00470F77">
      <w:pPr>
        <w:pStyle w:val="ListParagraph"/>
        <w:numPr>
          <w:ilvl w:val="0"/>
          <w:numId w:val="19"/>
        </w:numPr>
      </w:pPr>
      <w:r w:rsidRPr="1F5E9E68">
        <w:rPr>
          <w:b/>
          <w:bCs/>
        </w:rPr>
        <w:t xml:space="preserve">Digital ToS </w:t>
      </w:r>
      <w:r w:rsidR="007F3092" w:rsidRPr="1F5E9E68">
        <w:rPr>
          <w:b/>
          <w:bCs/>
        </w:rPr>
        <w:t xml:space="preserve">have a cumulative footprint </w:t>
      </w:r>
      <w:r w:rsidR="005A22B2" w:rsidRPr="1F5E9E68">
        <w:rPr>
          <w:b/>
          <w:bCs/>
        </w:rPr>
        <w:t xml:space="preserve">and </w:t>
      </w:r>
      <w:r w:rsidR="007F3092" w:rsidRPr="1F5E9E68">
        <w:rPr>
          <w:b/>
          <w:bCs/>
        </w:rPr>
        <w:t xml:space="preserve">are </w:t>
      </w:r>
      <w:r w:rsidRPr="1F5E9E68">
        <w:rPr>
          <w:b/>
          <w:bCs/>
        </w:rPr>
        <w:t>often very long.</w:t>
      </w:r>
      <w:r w:rsidRPr="00D831A0">
        <w:t xml:space="preserve"> It has been estimated that the average American consumer would need more than 250 hours to read through every ToS they agree to in a year, equivalent to a part-time job.</w:t>
      </w:r>
      <w:r w:rsidRPr="00D831A0">
        <w:rPr>
          <w:rStyle w:val="EndnoteReference"/>
        </w:rPr>
        <w:endnoteReference w:id="142"/>
      </w:r>
      <w:r w:rsidR="009E0094">
        <w:t xml:space="preserve"> </w:t>
      </w:r>
      <w:r w:rsidRPr="00D831A0">
        <w:t xml:space="preserve">It has been stated </w:t>
      </w:r>
      <w:r w:rsidR="00E92718">
        <w:t xml:space="preserve">in the Canadian context </w:t>
      </w:r>
      <w:r w:rsidRPr="00D831A0">
        <w:t xml:space="preserve">that </w:t>
      </w:r>
      <w:r w:rsidR="00E92718">
        <w:t xml:space="preserve">the likelihood consumers actually read ToS in the digital marketplace is </w:t>
      </w:r>
      <w:r w:rsidRPr="00D831A0">
        <w:t>“</w:t>
      </w:r>
      <w:r w:rsidR="00E92718">
        <w:t>statistically never</w:t>
      </w:r>
      <w:r w:rsidRPr="00D831A0">
        <w:t>.”</w:t>
      </w:r>
      <w:r w:rsidRPr="00D831A0">
        <w:rPr>
          <w:rStyle w:val="EndnoteReference"/>
        </w:rPr>
        <w:endnoteReference w:id="143"/>
      </w:r>
      <w:r w:rsidR="009E0094">
        <w:t xml:space="preserve"> </w:t>
      </w:r>
      <w:r w:rsidR="00CC3C8E">
        <w:t xml:space="preserve">Recent </w:t>
      </w:r>
      <w:r w:rsidR="002B0949" w:rsidRPr="00D831A0">
        <w:t xml:space="preserve">US </w:t>
      </w:r>
      <w:r w:rsidRPr="00D831A0">
        <w:t>studies show that 91% of adults and 97% of younger adults (18-34) accept legal terms and services without reading them.</w:t>
      </w:r>
      <w:r w:rsidRPr="00D831A0">
        <w:rPr>
          <w:rStyle w:val="EndnoteReference"/>
        </w:rPr>
        <w:endnoteReference w:id="144"/>
      </w:r>
      <w:r w:rsidR="009E0094">
        <w:t xml:space="preserve"> </w:t>
      </w:r>
    </w:p>
    <w:p w14:paraId="31F07391" w14:textId="77777777" w:rsidR="001721DB" w:rsidRPr="00D831A0" w:rsidRDefault="001721DB" w:rsidP="007A41A0">
      <w:pPr>
        <w:pStyle w:val="ListParagraph"/>
      </w:pPr>
    </w:p>
    <w:p w14:paraId="3928F4E3" w14:textId="0DD20AE6" w:rsidR="00B564DC" w:rsidRDefault="00B564DC" w:rsidP="00470F77">
      <w:pPr>
        <w:pStyle w:val="ListParagraph"/>
        <w:numPr>
          <w:ilvl w:val="0"/>
          <w:numId w:val="19"/>
        </w:numPr>
        <w:spacing w:after="0"/>
      </w:pPr>
      <w:r w:rsidRPr="1F5E9E68">
        <w:rPr>
          <w:b/>
          <w:bCs/>
        </w:rPr>
        <w:t>Digital ToS can be very difficult to understand.</w:t>
      </w:r>
      <w:r w:rsidR="009E0094">
        <w:t xml:space="preserve"> </w:t>
      </w:r>
      <w:r>
        <w:t>In addition to their length, ToS contracts require a high level of education to understand. It has been estimated that ToS have become so sophisticated that an average consumer would require 14 years of education to comprehend the terms.</w:t>
      </w:r>
      <w:r>
        <w:rPr>
          <w:rStyle w:val="EndnoteReference"/>
        </w:rPr>
        <w:endnoteReference w:id="145"/>
      </w:r>
      <w:r>
        <w:t xml:space="preserve"> </w:t>
      </w:r>
      <w:r w:rsidR="005A22B2">
        <w:t>Many ToS are written at a level that exceeds the sophistication of books about theoretical physics and philosophy.</w:t>
      </w:r>
      <w:r w:rsidR="005A22B2">
        <w:rPr>
          <w:rStyle w:val="EndnoteReference"/>
        </w:rPr>
        <w:endnoteReference w:id="146"/>
      </w:r>
    </w:p>
    <w:p w14:paraId="2778F05F" w14:textId="77777777" w:rsidR="001721DB" w:rsidRDefault="001721DB" w:rsidP="007A41A0">
      <w:pPr>
        <w:spacing w:after="0"/>
      </w:pPr>
    </w:p>
    <w:p w14:paraId="73477078" w14:textId="5F260353" w:rsidR="00B564DC" w:rsidRDefault="00B564DC" w:rsidP="00470F77">
      <w:pPr>
        <w:pStyle w:val="ListParagraph"/>
        <w:numPr>
          <w:ilvl w:val="0"/>
          <w:numId w:val="19"/>
        </w:numPr>
      </w:pPr>
      <w:r w:rsidRPr="003B24B3">
        <w:rPr>
          <w:b/>
        </w:rPr>
        <w:t xml:space="preserve">Digital ToS may exclude diverse </w:t>
      </w:r>
      <w:r w:rsidR="00C16DD0">
        <w:rPr>
          <w:b/>
        </w:rPr>
        <w:t>and</w:t>
      </w:r>
      <w:r w:rsidRPr="003B24B3">
        <w:rPr>
          <w:b/>
        </w:rPr>
        <w:t xml:space="preserve"> young consumers.</w:t>
      </w:r>
      <w:r w:rsidRPr="00C762CB">
        <w:t xml:space="preserve"> </w:t>
      </w:r>
      <w:r w:rsidRPr="007D249A">
        <w:t xml:space="preserve">Disabilities, language barriers, literacy levels, income, class, cultural </w:t>
      </w:r>
      <w:r>
        <w:t xml:space="preserve">issues and/or other </w:t>
      </w:r>
      <w:r w:rsidRPr="007D249A">
        <w:t xml:space="preserve">vulnerabilities </w:t>
      </w:r>
      <w:r>
        <w:t xml:space="preserve">may worsen </w:t>
      </w:r>
      <w:r w:rsidRPr="007D249A">
        <w:t xml:space="preserve">barriers to </w:t>
      </w:r>
      <w:r>
        <w:t xml:space="preserve">understanding </w:t>
      </w:r>
      <w:r w:rsidRPr="007D249A">
        <w:t>ToS</w:t>
      </w:r>
      <w:r>
        <w:t>.</w:t>
      </w:r>
      <w:r w:rsidR="009E0094">
        <w:t xml:space="preserve"> </w:t>
      </w:r>
      <w:r>
        <w:t>For example, children and youth are among the highest users of digital marketplace services, yet ToS may not take their vulnerability into account.</w:t>
      </w:r>
    </w:p>
    <w:p w14:paraId="4B6CD831" w14:textId="77777777" w:rsidR="001721DB" w:rsidRDefault="001721DB" w:rsidP="007A41A0">
      <w:pPr>
        <w:pStyle w:val="ListParagraph"/>
      </w:pPr>
    </w:p>
    <w:p w14:paraId="4F214BFC" w14:textId="4DEAA2AC" w:rsidR="001721DB" w:rsidRDefault="001721DB" w:rsidP="007A41A0">
      <w:r>
        <w:t xml:space="preserve">As a result, consumer consent to contractual terms and conditions may be illusory. </w:t>
      </w:r>
      <w:r w:rsidR="00516AFF">
        <w:br/>
      </w:r>
    </w:p>
    <w:p w14:paraId="183FC8A8" w14:textId="7EA77EC6" w:rsidR="00D57D65" w:rsidRPr="001F366E" w:rsidRDefault="00390309" w:rsidP="00390309">
      <w:pPr>
        <w:pStyle w:val="Heading2"/>
        <w:rPr>
          <w:lang w:val="en-US"/>
        </w:rPr>
      </w:pPr>
      <w:bookmarkStart w:id="53" w:name="_Toc138151844"/>
      <w:r>
        <w:rPr>
          <w:lang w:val="en-US"/>
        </w:rPr>
        <w:t xml:space="preserve">4.3 </w:t>
      </w:r>
      <w:r w:rsidR="00B564DC">
        <w:rPr>
          <w:lang w:val="en-US"/>
        </w:rPr>
        <w:t xml:space="preserve">Notice and </w:t>
      </w:r>
      <w:r w:rsidR="00D57D65" w:rsidRPr="001F366E">
        <w:rPr>
          <w:lang w:val="en-US"/>
        </w:rPr>
        <w:t xml:space="preserve">Disclosure </w:t>
      </w:r>
      <w:r w:rsidR="00B564DC">
        <w:rPr>
          <w:lang w:val="en-US"/>
        </w:rPr>
        <w:t>May</w:t>
      </w:r>
      <w:r w:rsidR="008D0142" w:rsidRPr="001F366E">
        <w:rPr>
          <w:lang w:val="en-US"/>
        </w:rPr>
        <w:t xml:space="preserve"> No</w:t>
      </w:r>
      <w:r w:rsidR="00381E22">
        <w:rPr>
          <w:lang w:val="en-US"/>
        </w:rPr>
        <w:t xml:space="preserve">t </w:t>
      </w:r>
      <w:r w:rsidR="00B564DC">
        <w:rPr>
          <w:lang w:val="en-US"/>
        </w:rPr>
        <w:t>Protect Consumer Interests</w:t>
      </w:r>
      <w:bookmarkEnd w:id="53"/>
    </w:p>
    <w:p w14:paraId="18FFAB6F" w14:textId="77777777" w:rsidR="00B564DC" w:rsidRDefault="00B564DC" w:rsidP="00B564DC">
      <w:pPr>
        <w:spacing w:after="0"/>
        <w:rPr>
          <w:lang w:val="en-US"/>
        </w:rPr>
      </w:pPr>
    </w:p>
    <w:p w14:paraId="0C12EA42" w14:textId="375315EB" w:rsidR="00B564DC" w:rsidRDefault="00FE22DB" w:rsidP="00B564DC">
      <w:pPr>
        <w:rPr>
          <w:lang w:val="en-US"/>
        </w:rPr>
      </w:pPr>
      <w:r>
        <w:rPr>
          <w:lang w:val="en-US"/>
        </w:rPr>
        <w:t xml:space="preserve">From </w:t>
      </w:r>
      <w:r w:rsidR="00480D9B">
        <w:rPr>
          <w:lang w:val="en-US"/>
        </w:rPr>
        <w:t>time-to-time</w:t>
      </w:r>
      <w:r>
        <w:rPr>
          <w:lang w:val="en-US"/>
        </w:rPr>
        <w:t xml:space="preserve"> </w:t>
      </w:r>
      <w:r w:rsidR="00D257B4">
        <w:rPr>
          <w:lang w:val="en-US"/>
        </w:rPr>
        <w:t>Ontario’s</w:t>
      </w:r>
      <w:r>
        <w:rPr>
          <w:lang w:val="en-US"/>
        </w:rPr>
        <w:t xml:space="preserve"> legislature has recognized the need to better protect consumers by making notice and disclosure practices fairer</w:t>
      </w:r>
      <w:r w:rsidR="00B564DC">
        <w:rPr>
          <w:lang w:val="en-US"/>
        </w:rPr>
        <w:t>.</w:t>
      </w:r>
      <w:r w:rsidR="009E0094">
        <w:rPr>
          <w:lang w:val="en-US"/>
        </w:rPr>
        <w:t xml:space="preserve"> </w:t>
      </w:r>
      <w:r w:rsidR="003B6FC7">
        <w:rPr>
          <w:lang w:val="en-US"/>
        </w:rPr>
        <w:t>I</w:t>
      </w:r>
      <w:r w:rsidR="00B564DC">
        <w:rPr>
          <w:lang w:val="en-US"/>
        </w:rPr>
        <w:t xml:space="preserve">n 2005, </w:t>
      </w:r>
      <w:r>
        <w:rPr>
          <w:lang w:val="en-US"/>
        </w:rPr>
        <w:t xml:space="preserve">for instance, </w:t>
      </w:r>
      <w:r w:rsidR="00D257B4">
        <w:rPr>
          <w:lang w:val="en-US"/>
        </w:rPr>
        <w:t>the</w:t>
      </w:r>
      <w:r w:rsidR="00B564DC">
        <w:rPr>
          <w:lang w:val="en-US"/>
        </w:rPr>
        <w:t xml:space="preserve"> </w:t>
      </w:r>
      <w:r w:rsidR="00912A88">
        <w:rPr>
          <w:lang w:val="en-US"/>
        </w:rPr>
        <w:t xml:space="preserve">provincial government </w:t>
      </w:r>
      <w:r w:rsidR="00B564DC">
        <w:rPr>
          <w:lang w:val="en-US"/>
        </w:rPr>
        <w:t>“</w:t>
      </w:r>
      <w:r w:rsidR="00B564DC" w:rsidRPr="000D5B6F">
        <w:rPr>
          <w:lang w:val="en-US"/>
        </w:rPr>
        <w:t>recognized that numerous business owners were being dishonest and hid important information from consumers</w:t>
      </w:r>
      <w:r w:rsidR="00662ABE">
        <w:rPr>
          <w:lang w:val="en-US"/>
        </w:rPr>
        <w:t>” deep within the fine print,</w:t>
      </w:r>
      <w:r w:rsidR="00B564DC" w:rsidRPr="000D5B6F">
        <w:rPr>
          <w:lang w:val="en-US"/>
        </w:rPr>
        <w:t xml:space="preserve"> or </w:t>
      </w:r>
      <w:r w:rsidR="00662ABE">
        <w:rPr>
          <w:lang w:val="en-US"/>
        </w:rPr>
        <w:t>“</w:t>
      </w:r>
      <w:r w:rsidR="00B564DC" w:rsidRPr="000D5B6F">
        <w:rPr>
          <w:lang w:val="en-US"/>
        </w:rPr>
        <w:t>used language that was ambiguous or difficult for consumers to interpret.</w:t>
      </w:r>
      <w:r w:rsidR="00B564DC">
        <w:rPr>
          <w:lang w:val="en-US"/>
        </w:rPr>
        <w:t>”</w:t>
      </w:r>
      <w:r w:rsidR="003B6FC7" w:rsidRPr="003B6FC7">
        <w:rPr>
          <w:rStyle w:val="EndnoteReference"/>
          <w:lang w:val="en-US"/>
        </w:rPr>
        <w:t xml:space="preserve"> </w:t>
      </w:r>
      <w:r w:rsidR="003B6FC7">
        <w:rPr>
          <w:rStyle w:val="EndnoteReference"/>
          <w:lang w:val="en-US"/>
        </w:rPr>
        <w:endnoteReference w:id="147"/>
      </w:r>
      <w:r w:rsidR="00B564DC">
        <w:rPr>
          <w:lang w:val="en-US"/>
        </w:rPr>
        <w:t xml:space="preserve"> The CPA was consequently amended </w:t>
      </w:r>
      <w:r w:rsidR="00662ABE">
        <w:rPr>
          <w:lang w:val="en-US"/>
        </w:rPr>
        <w:t xml:space="preserve">to </w:t>
      </w:r>
      <w:r w:rsidR="00912A88">
        <w:rPr>
          <w:lang w:val="en-US"/>
        </w:rPr>
        <w:t xml:space="preserve">state </w:t>
      </w:r>
      <w:r w:rsidR="00B564DC">
        <w:rPr>
          <w:lang w:val="en-US"/>
        </w:rPr>
        <w:t xml:space="preserve">that </w:t>
      </w:r>
      <w:r w:rsidR="00D706B9">
        <w:rPr>
          <w:lang w:val="en-US"/>
        </w:rPr>
        <w:t xml:space="preserve">any </w:t>
      </w:r>
      <w:r w:rsidR="00B564DC">
        <w:rPr>
          <w:lang w:val="en-US"/>
        </w:rPr>
        <w:t>disclosure</w:t>
      </w:r>
      <w:r w:rsidR="00D706B9">
        <w:rPr>
          <w:lang w:val="en-US"/>
        </w:rPr>
        <w:t>s</w:t>
      </w:r>
      <w:r w:rsidR="00B564DC">
        <w:rPr>
          <w:lang w:val="en-US"/>
        </w:rPr>
        <w:t xml:space="preserve"> mandated under CPA “must be clear, comprehensible and prominent”</w:t>
      </w:r>
      <w:r w:rsidR="00662ABE">
        <w:rPr>
          <w:lang w:val="en-US"/>
        </w:rPr>
        <w:t xml:space="preserve"> for consumers to receive fair notice.</w:t>
      </w:r>
      <w:r w:rsidR="00B564DC">
        <w:rPr>
          <w:rStyle w:val="EndnoteReference"/>
          <w:lang w:val="en-US"/>
        </w:rPr>
        <w:endnoteReference w:id="148"/>
      </w:r>
    </w:p>
    <w:p w14:paraId="315E3688" w14:textId="783767E7" w:rsidR="00D257B4" w:rsidRDefault="00381E22" w:rsidP="00D257B4">
      <w:pPr>
        <w:spacing w:after="0"/>
      </w:pPr>
      <w:r>
        <w:t>Over time</w:t>
      </w:r>
      <w:r w:rsidR="00CC3C8E">
        <w:t>,</w:t>
      </w:r>
      <w:r>
        <w:t xml:space="preserve"> </w:t>
      </w:r>
      <w:r w:rsidR="00A44CB9">
        <w:t xml:space="preserve">it has become increasingly clear that that more prominent notice and more extensive disclosure </w:t>
      </w:r>
      <w:r>
        <w:t xml:space="preserve">may not </w:t>
      </w:r>
      <w:r w:rsidR="00A44CB9">
        <w:t>effective</w:t>
      </w:r>
      <w:r w:rsidR="00902DD8">
        <w:t>ly</w:t>
      </w:r>
      <w:r w:rsidR="00A44CB9">
        <w:t xml:space="preserve"> protect</w:t>
      </w:r>
      <w:r w:rsidR="00902DD8">
        <w:t xml:space="preserve"> </w:t>
      </w:r>
      <w:r w:rsidR="00A44CB9">
        <w:t>consumer interests in the digital marketplace.</w:t>
      </w:r>
      <w:r w:rsidR="00A44CB9">
        <w:rPr>
          <w:rStyle w:val="EndnoteReference"/>
        </w:rPr>
        <w:endnoteReference w:id="149"/>
      </w:r>
      <w:r w:rsidR="009E0094">
        <w:t xml:space="preserve"> </w:t>
      </w:r>
      <w:r w:rsidR="00902DD8">
        <w:t>In other words, providing more information may not always result in more informed consumer decisions.</w:t>
      </w:r>
      <w:r w:rsidR="009E0094">
        <w:t xml:space="preserve"> </w:t>
      </w:r>
      <w:r w:rsidR="00D257B4">
        <w:t xml:space="preserve">The OECD summarizes the </w:t>
      </w:r>
      <w:r w:rsidR="00902DD8">
        <w:t xml:space="preserve">issue </w:t>
      </w:r>
      <w:r w:rsidR="00912A88">
        <w:t>as follows</w:t>
      </w:r>
      <w:r w:rsidR="00D257B4">
        <w:t>:</w:t>
      </w:r>
    </w:p>
    <w:p w14:paraId="6EE34E95" w14:textId="77777777" w:rsidR="00D257B4" w:rsidRDefault="00D257B4" w:rsidP="00D257B4">
      <w:pPr>
        <w:spacing w:after="0"/>
      </w:pPr>
    </w:p>
    <w:p w14:paraId="15EFA6B3" w14:textId="5924C85E" w:rsidR="00D257B4" w:rsidRPr="007A41A0" w:rsidRDefault="00D257B4" w:rsidP="007A41A0">
      <w:pPr>
        <w:pStyle w:val="Quote"/>
        <w:jc w:val="left"/>
        <w:rPr>
          <w:i/>
          <w:iCs/>
        </w:rPr>
      </w:pPr>
      <w:r w:rsidRPr="007A41A0">
        <w:rPr>
          <w:i/>
          <w:iCs/>
        </w:rPr>
        <w:lastRenderedPageBreak/>
        <w:t>Online disclosures can play a key role in informing consumer decisions. [And] online disclosure requirements therefore play an important role in a variety of consumer policy issue areas, including e-commerce, product safety, data privacy and financial consumer protection.</w:t>
      </w:r>
    </w:p>
    <w:p w14:paraId="5833BDBB" w14:textId="77777777" w:rsidR="00D257B4" w:rsidRDefault="00D257B4" w:rsidP="00D257B4">
      <w:pPr>
        <w:pStyle w:val="Quote"/>
      </w:pPr>
    </w:p>
    <w:p w14:paraId="76A5EBF8" w14:textId="7327B68F" w:rsidR="00D257B4" w:rsidRPr="007A41A0" w:rsidRDefault="00D257B4" w:rsidP="007A41A0">
      <w:pPr>
        <w:pStyle w:val="Quote"/>
        <w:jc w:val="left"/>
        <w:rPr>
          <w:i/>
          <w:iCs/>
        </w:rPr>
      </w:pPr>
      <w:r w:rsidRPr="1F5E9E68">
        <w:rPr>
          <w:i/>
          <w:iCs/>
        </w:rPr>
        <w:t>However, cognitive limitations such as information overload, as well as technical ones such as small screen sizes on mobile devices, may limit their effectiveness. Additionally, businesses may sometimes focus on technical compliance with disclosure requirements rather than maximising their effectiveness in informing consumer decisions.</w:t>
      </w:r>
      <w:r w:rsidRPr="1F5E9E68">
        <w:rPr>
          <w:rStyle w:val="EndnoteReference"/>
          <w:i/>
          <w:iCs/>
        </w:rPr>
        <w:endnoteReference w:id="150"/>
      </w:r>
    </w:p>
    <w:p w14:paraId="6145D890" w14:textId="4F91E51A" w:rsidR="00471532" w:rsidRDefault="00471532" w:rsidP="00B564DC">
      <w:pPr>
        <w:spacing w:after="0"/>
      </w:pPr>
    </w:p>
    <w:p w14:paraId="6CF0C5CC" w14:textId="5CB50278" w:rsidR="00902DD8" w:rsidRDefault="0082208D" w:rsidP="00B564DC">
      <w:pPr>
        <w:spacing w:after="0"/>
      </w:pPr>
      <w:r>
        <w:t xml:space="preserve">Legal researchers </w:t>
      </w:r>
      <w:r w:rsidR="00902DD8">
        <w:t xml:space="preserve">agree </w:t>
      </w:r>
      <w:r>
        <w:t>that conventional disclosure requirements may</w:t>
      </w:r>
      <w:r w:rsidR="00EE0CFA">
        <w:t xml:space="preserve"> </w:t>
      </w:r>
      <w:r>
        <w:t xml:space="preserve">be of limited assistance in the </w:t>
      </w:r>
      <w:r w:rsidR="00EE0CFA">
        <w:t>d</w:t>
      </w:r>
      <w:r>
        <w:t>igital marketplace.</w:t>
      </w:r>
      <w:r w:rsidR="009E0094">
        <w:t xml:space="preserve"> </w:t>
      </w:r>
      <w:r w:rsidR="00912A88">
        <w:t>Researchers have concluded that d</w:t>
      </w:r>
      <w:r w:rsidR="00DC45F7">
        <w:t>isclosure and ToS</w:t>
      </w:r>
      <w:r>
        <w:t xml:space="preserve"> often</w:t>
      </w:r>
      <w:r w:rsidR="002D297C">
        <w:t>:</w:t>
      </w:r>
    </w:p>
    <w:p w14:paraId="4FCD5949" w14:textId="77777777" w:rsidR="00902DD8" w:rsidRDefault="00902DD8" w:rsidP="00B564DC">
      <w:pPr>
        <w:spacing w:after="0"/>
      </w:pPr>
    </w:p>
    <w:p w14:paraId="5385FEBA" w14:textId="5DBA3270" w:rsidR="0082208D" w:rsidRPr="007A41A0" w:rsidRDefault="00902DD8" w:rsidP="007A41A0">
      <w:pPr>
        <w:spacing w:after="0"/>
        <w:ind w:left="720"/>
        <w:rPr>
          <w:i/>
          <w:iCs/>
        </w:rPr>
      </w:pPr>
      <w:r w:rsidRPr="1F5E9E68">
        <w:rPr>
          <w:i/>
          <w:iCs/>
        </w:rPr>
        <w:t>…</w:t>
      </w:r>
      <w:r w:rsidR="0082208D" w:rsidRPr="1F5E9E68">
        <w:rPr>
          <w:i/>
          <w:iCs/>
        </w:rPr>
        <w:t>disregarded people’s cognitive abilities, literacy levels and/or lack of motivation to engage with information that does not seem to help them achieve a particular goal (e.g. completing a purchase or obtaining access to news content</w:t>
      </w:r>
      <w:r w:rsidR="00CF7EA0">
        <w:rPr>
          <w:i/>
          <w:iCs/>
        </w:rPr>
        <w:t>)</w:t>
      </w:r>
      <w:r w:rsidR="0082208D" w:rsidRPr="1F5E9E68">
        <w:rPr>
          <w:i/>
          <w:iCs/>
        </w:rPr>
        <w:t>.</w:t>
      </w:r>
      <w:r w:rsidR="0082208D" w:rsidRPr="1F5E9E68">
        <w:rPr>
          <w:rStyle w:val="EndnoteReference"/>
          <w:i/>
          <w:iCs/>
        </w:rPr>
        <w:endnoteReference w:id="151"/>
      </w:r>
    </w:p>
    <w:p w14:paraId="05E77E87" w14:textId="77777777" w:rsidR="0082208D" w:rsidRDefault="0082208D" w:rsidP="00B564DC">
      <w:pPr>
        <w:spacing w:after="0"/>
      </w:pPr>
    </w:p>
    <w:p w14:paraId="2B0EF9A7" w14:textId="53BBEDCE" w:rsidR="00471532" w:rsidRDefault="00CC3C8E" w:rsidP="00B564DC">
      <w:pPr>
        <w:spacing w:after="0"/>
      </w:pPr>
      <w:r>
        <w:t>S</w:t>
      </w:r>
      <w:r w:rsidR="00471532">
        <w:t>tudies</w:t>
      </w:r>
      <w:r w:rsidR="00C070E6">
        <w:t xml:space="preserve"> in the digital marketplace</w:t>
      </w:r>
      <w:r w:rsidR="0082208D">
        <w:t xml:space="preserve"> </w:t>
      </w:r>
      <w:r w:rsidR="00902DD8">
        <w:t>have also found that</w:t>
      </w:r>
      <w:r w:rsidR="00E36044">
        <w:t>:</w:t>
      </w:r>
    </w:p>
    <w:p w14:paraId="7BFF17B2" w14:textId="77777777" w:rsidR="00E061D8" w:rsidRDefault="00E061D8" w:rsidP="00B564DC">
      <w:pPr>
        <w:spacing w:after="0"/>
      </w:pPr>
    </w:p>
    <w:p w14:paraId="17F3D41C" w14:textId="5C5C4FED" w:rsidR="00E36044" w:rsidRDefault="00912A88" w:rsidP="00470F77">
      <w:pPr>
        <w:pStyle w:val="ListParagraph"/>
        <w:numPr>
          <w:ilvl w:val="0"/>
          <w:numId w:val="41"/>
        </w:numPr>
        <w:spacing w:after="0"/>
      </w:pPr>
      <w:r>
        <w:t>T</w:t>
      </w:r>
      <w:r w:rsidR="00E36044">
        <w:t>he degree of disclosure has almost no impact on the rate at which consumers read license agreements.</w:t>
      </w:r>
      <w:r w:rsidR="00E36044">
        <w:rPr>
          <w:rStyle w:val="EndnoteReference"/>
        </w:rPr>
        <w:endnoteReference w:id="152"/>
      </w:r>
    </w:p>
    <w:p w14:paraId="10BF84D9" w14:textId="1C8AD08C" w:rsidR="00E36044" w:rsidRDefault="00902DD8" w:rsidP="00470F77">
      <w:pPr>
        <w:pStyle w:val="ListParagraph"/>
        <w:numPr>
          <w:ilvl w:val="0"/>
          <w:numId w:val="41"/>
        </w:numPr>
        <w:spacing w:after="0"/>
      </w:pPr>
      <w:r>
        <w:t>Consumer</w:t>
      </w:r>
      <w:r w:rsidR="0BD58503">
        <w:t>s</w:t>
      </w:r>
      <w:r>
        <w:t xml:space="preserve"> who do read ToS are </w:t>
      </w:r>
      <w:r w:rsidR="00E36044">
        <w:t xml:space="preserve">equally likely to purchase </w:t>
      </w:r>
      <w:r>
        <w:t xml:space="preserve">a </w:t>
      </w:r>
      <w:r w:rsidR="00E36044">
        <w:t>product regardless of the one-sidedness of the contract.</w:t>
      </w:r>
      <w:r w:rsidR="00E36044">
        <w:rPr>
          <w:rStyle w:val="EndnoteReference"/>
        </w:rPr>
        <w:endnoteReference w:id="153"/>
      </w:r>
    </w:p>
    <w:p w14:paraId="0C6FED5B" w14:textId="2B9CD71D" w:rsidR="00E36044" w:rsidRDefault="00E36044" w:rsidP="00470F77">
      <w:pPr>
        <w:pStyle w:val="ListParagraph"/>
        <w:numPr>
          <w:ilvl w:val="0"/>
          <w:numId w:val="41"/>
        </w:numPr>
        <w:spacing w:after="0"/>
      </w:pPr>
      <w:r>
        <w:t>Only “one or two of every 1,000 retail software shoppers access the license agreement and most of those who do access it read no more than a small portion.”</w:t>
      </w:r>
      <w:r>
        <w:rPr>
          <w:rStyle w:val="EndnoteReference"/>
        </w:rPr>
        <w:endnoteReference w:id="154"/>
      </w:r>
    </w:p>
    <w:p w14:paraId="23EB38C9" w14:textId="30F21252" w:rsidR="00E36044" w:rsidRDefault="00027F89" w:rsidP="00470F77">
      <w:pPr>
        <w:pStyle w:val="ListParagraph"/>
        <w:numPr>
          <w:ilvl w:val="0"/>
          <w:numId w:val="41"/>
        </w:numPr>
        <w:spacing w:after="0"/>
      </w:pPr>
      <w:r>
        <w:t xml:space="preserve">The </w:t>
      </w:r>
      <w:r w:rsidR="00E36044">
        <w:t>“limiting factor in becoming informed thus seems not to be the cost of accessing license terms but reading and comprehending them.”</w:t>
      </w:r>
      <w:r w:rsidR="00E36044" w:rsidRPr="00E36044">
        <w:rPr>
          <w:rStyle w:val="EndnoteReference"/>
        </w:rPr>
        <w:t xml:space="preserve"> </w:t>
      </w:r>
      <w:r w:rsidR="00E36044">
        <w:rPr>
          <w:rStyle w:val="EndnoteReference"/>
        </w:rPr>
        <w:endnoteReference w:id="155"/>
      </w:r>
    </w:p>
    <w:p w14:paraId="0DC0F727" w14:textId="3FF5A0A1" w:rsidR="00E36044" w:rsidRDefault="00027F89" w:rsidP="00470F77">
      <w:pPr>
        <w:pStyle w:val="ListParagraph"/>
        <w:numPr>
          <w:ilvl w:val="0"/>
          <w:numId w:val="41"/>
        </w:numPr>
        <w:spacing w:after="0"/>
      </w:pPr>
      <w:r>
        <w:t>M</w:t>
      </w:r>
      <w:r w:rsidR="00E36044">
        <w:t>andating disclosure will not by itself change readership or contracting practices to a meaningful degree given that only “0.36% [of consumer ToS are] more likely to be viewed when they are presented as clickwraps that explicitly require assent.”</w:t>
      </w:r>
      <w:r w:rsidR="00E36044">
        <w:rPr>
          <w:rStyle w:val="EndnoteReference"/>
        </w:rPr>
        <w:endnoteReference w:id="156"/>
      </w:r>
    </w:p>
    <w:p w14:paraId="5DAEEA88" w14:textId="77777777" w:rsidR="00B564DC" w:rsidRDefault="00B564DC" w:rsidP="00B564DC">
      <w:pPr>
        <w:rPr>
          <w:lang w:val="en-US"/>
        </w:rPr>
      </w:pPr>
    </w:p>
    <w:p w14:paraId="47D04234" w14:textId="5A3451BA" w:rsidR="007E644A" w:rsidRPr="001F366E" w:rsidRDefault="00390309" w:rsidP="00390309">
      <w:pPr>
        <w:pStyle w:val="Heading2"/>
        <w:rPr>
          <w:lang w:val="en-US"/>
        </w:rPr>
      </w:pPr>
      <w:bookmarkStart w:id="54" w:name="_Toc138151845"/>
      <w:r>
        <w:rPr>
          <w:lang w:val="en-US"/>
        </w:rPr>
        <w:t xml:space="preserve">4.4 </w:t>
      </w:r>
      <w:r w:rsidR="007E17D4">
        <w:rPr>
          <w:lang w:val="en-US"/>
        </w:rPr>
        <w:t xml:space="preserve">Consumers </w:t>
      </w:r>
      <w:r w:rsidR="00902DD8">
        <w:rPr>
          <w:lang w:val="en-US"/>
        </w:rPr>
        <w:t xml:space="preserve">May </w:t>
      </w:r>
      <w:r w:rsidR="007E17D4">
        <w:rPr>
          <w:lang w:val="en-US"/>
        </w:rPr>
        <w:t xml:space="preserve">Have </w:t>
      </w:r>
      <w:r w:rsidR="002B0442" w:rsidRPr="001F366E">
        <w:rPr>
          <w:lang w:val="en-US"/>
        </w:rPr>
        <w:t xml:space="preserve">Little or </w:t>
      </w:r>
      <w:r w:rsidR="007E644A" w:rsidRPr="001F366E">
        <w:rPr>
          <w:lang w:val="en-US"/>
        </w:rPr>
        <w:t>No Ability to Negotiate</w:t>
      </w:r>
      <w:bookmarkEnd w:id="54"/>
      <w:r w:rsidR="007E644A" w:rsidRPr="001F366E">
        <w:rPr>
          <w:lang w:val="en-US"/>
        </w:rPr>
        <w:t xml:space="preserve"> </w:t>
      </w:r>
    </w:p>
    <w:p w14:paraId="248BE8DE" w14:textId="77777777" w:rsidR="002B0442" w:rsidRDefault="002B0442" w:rsidP="00ED27B1">
      <w:pPr>
        <w:spacing w:after="0"/>
      </w:pPr>
    </w:p>
    <w:p w14:paraId="5161FEFD" w14:textId="7EEDC3AA" w:rsidR="00AA3569" w:rsidRDefault="00902DD8" w:rsidP="00AA3569">
      <w:pPr>
        <w:spacing w:after="0"/>
      </w:pPr>
      <w:r>
        <w:t xml:space="preserve">Online </w:t>
      </w:r>
      <w:r w:rsidR="00AA3569">
        <w:t>ToS contracts often present</w:t>
      </w:r>
      <w:r>
        <w:t xml:space="preserve"> </w:t>
      </w:r>
      <w:r w:rsidR="00AA3569">
        <w:t xml:space="preserve">consumers with little practical choice but to “take it or leave it” with few </w:t>
      </w:r>
      <w:r w:rsidR="5EDEFCF5">
        <w:t xml:space="preserve">other </w:t>
      </w:r>
      <w:r w:rsidR="00AA3569">
        <w:t>options.</w:t>
      </w:r>
      <w:r w:rsidR="009E0094">
        <w:t xml:space="preserve"> </w:t>
      </w:r>
    </w:p>
    <w:p w14:paraId="5267ABE6" w14:textId="77777777" w:rsidR="00AA3569" w:rsidRDefault="00AA3569" w:rsidP="00ED27B1">
      <w:pPr>
        <w:spacing w:after="0"/>
      </w:pPr>
    </w:p>
    <w:p w14:paraId="58049352" w14:textId="70B80FE7" w:rsidR="00363B90" w:rsidRDefault="00D350BF" w:rsidP="00912A88">
      <w:pPr>
        <w:spacing w:after="0"/>
      </w:pPr>
      <w:r>
        <w:t>“</w:t>
      </w:r>
      <w:r w:rsidR="00912A88">
        <w:t>C</w:t>
      </w:r>
      <w:r>
        <w:t xml:space="preserve">ontracts of adhesion” offer little opportunity for negotiation, other than the ability to walk away and find similar services elsewhere. This </w:t>
      </w:r>
      <w:r w:rsidR="00902DD8">
        <w:t xml:space="preserve">situation </w:t>
      </w:r>
      <w:r>
        <w:t>gives businesses “both the ability and incentive to unfairly influence consumers.”</w:t>
      </w:r>
      <w:r>
        <w:rPr>
          <w:rStyle w:val="EndnoteReference"/>
        </w:rPr>
        <w:endnoteReference w:id="157"/>
      </w:r>
      <w:r w:rsidR="00267E0E">
        <w:t xml:space="preserve"> </w:t>
      </w:r>
      <w:r w:rsidR="00912A88">
        <w:t>S</w:t>
      </w:r>
      <w:r w:rsidR="00363B90">
        <w:t xml:space="preserve">tudies in the United States demonstrate that the market regulatory power of consumer choice is largely ineffective in ensuring </w:t>
      </w:r>
      <w:r w:rsidR="00516265">
        <w:t xml:space="preserve">fair and </w:t>
      </w:r>
      <w:r w:rsidR="00363B90">
        <w:t>balanced ToS.</w:t>
      </w:r>
      <w:r w:rsidR="00363B90">
        <w:rPr>
          <w:rStyle w:val="EndnoteReference"/>
        </w:rPr>
        <w:endnoteReference w:id="158"/>
      </w:r>
      <w:r w:rsidR="00BF4218">
        <w:t xml:space="preserve"> </w:t>
      </w:r>
    </w:p>
    <w:p w14:paraId="0D4ECDCD" w14:textId="77777777" w:rsidR="00D350BF" w:rsidRDefault="00D350BF" w:rsidP="007E17D4">
      <w:pPr>
        <w:spacing w:after="0"/>
      </w:pPr>
    </w:p>
    <w:p w14:paraId="6B46AD33" w14:textId="0ADCD47B" w:rsidR="007E17D4" w:rsidRDefault="00614876" w:rsidP="007E17D4">
      <w:pPr>
        <w:spacing w:after="0"/>
      </w:pPr>
      <w:r>
        <w:t xml:space="preserve">These issues are compounded </w:t>
      </w:r>
      <w:r w:rsidR="007E17D4">
        <w:t xml:space="preserve">by the fact that </w:t>
      </w:r>
      <w:r w:rsidR="00902DD8">
        <w:t xml:space="preserve">online ToS </w:t>
      </w:r>
      <w:r w:rsidR="007E17D4">
        <w:t>a</w:t>
      </w:r>
      <w:r w:rsidR="007E17D4" w:rsidRPr="001F04E1">
        <w:t xml:space="preserve">mendments can be </w:t>
      </w:r>
      <w:r w:rsidR="00A469E4" w:rsidRPr="001F04E1">
        <w:t xml:space="preserve">frequent, </w:t>
      </w:r>
      <w:r w:rsidR="00A469E4">
        <w:t>consequential</w:t>
      </w:r>
      <w:r w:rsidR="007E17D4" w:rsidRPr="001F04E1">
        <w:t xml:space="preserve">, and imposed with ineffective (or no) notice. </w:t>
      </w:r>
      <w:r w:rsidR="007E17D4">
        <w:t>Cumulatively, consumers may face hundreds of changes across dozens of ToS for products and services, an unreasonable task to manage.</w:t>
      </w:r>
      <w:r w:rsidR="007E17D4">
        <w:rPr>
          <w:rStyle w:val="EndnoteReference"/>
        </w:rPr>
        <w:endnoteReference w:id="159"/>
      </w:r>
      <w:r w:rsidR="00477E56" w:rsidRPr="00477E56">
        <w:t xml:space="preserve"> </w:t>
      </w:r>
      <w:r w:rsidR="00477E56">
        <w:t xml:space="preserve">Frequent changes </w:t>
      </w:r>
      <w:r w:rsidR="00477E56">
        <w:lastRenderedPageBreak/>
        <w:t xml:space="preserve">may also facilitate deceptive or unconscionable practices. Consumers </w:t>
      </w:r>
      <w:r w:rsidR="000C2A4E">
        <w:t xml:space="preserve">may </w:t>
      </w:r>
      <w:r w:rsidR="00477E56">
        <w:t>also regard frequent changes as an active disincentive to read ToS as the ongoing responsibility to track changes imposes an additional and unreasonable burden.</w:t>
      </w:r>
    </w:p>
    <w:p w14:paraId="7C3A5799" w14:textId="0D9C824E" w:rsidR="007E17D4" w:rsidRDefault="007E17D4" w:rsidP="007E17D4">
      <w:pPr>
        <w:spacing w:after="0"/>
      </w:pPr>
    </w:p>
    <w:p w14:paraId="483FB2A4" w14:textId="77777777" w:rsidR="007E17D4" w:rsidRDefault="007E17D4" w:rsidP="007E17D4">
      <w:pPr>
        <w:spacing w:after="0"/>
      </w:pPr>
    </w:p>
    <w:p w14:paraId="421C25E4" w14:textId="7DAA7BA5" w:rsidR="00680579" w:rsidRPr="001F366E" w:rsidRDefault="00390309" w:rsidP="00390309">
      <w:pPr>
        <w:pStyle w:val="Heading2"/>
        <w:rPr>
          <w:lang w:val="en-US"/>
        </w:rPr>
      </w:pPr>
      <w:bookmarkStart w:id="55" w:name="_Toc138151846"/>
      <w:r>
        <w:rPr>
          <w:lang w:val="en-US"/>
        </w:rPr>
        <w:t xml:space="preserve">4.5 </w:t>
      </w:r>
      <w:r w:rsidR="00047075">
        <w:rPr>
          <w:lang w:val="en-US"/>
        </w:rPr>
        <w:t xml:space="preserve">Deceptive </w:t>
      </w:r>
      <w:r w:rsidR="00AA3569">
        <w:rPr>
          <w:lang w:val="en-US"/>
        </w:rPr>
        <w:t>“</w:t>
      </w:r>
      <w:r w:rsidR="00AA3569" w:rsidRPr="001F366E">
        <w:rPr>
          <w:lang w:val="en-US"/>
        </w:rPr>
        <w:t>Dark Patterns</w:t>
      </w:r>
      <w:r w:rsidR="00AA3569">
        <w:rPr>
          <w:lang w:val="en-US"/>
        </w:rPr>
        <w:t>”</w:t>
      </w:r>
      <w:r w:rsidR="00AA3569" w:rsidRPr="001F366E">
        <w:rPr>
          <w:lang w:val="en-US"/>
        </w:rPr>
        <w:t xml:space="preserve"> </w:t>
      </w:r>
      <w:r w:rsidR="00064D41">
        <w:rPr>
          <w:lang w:val="en-US"/>
        </w:rPr>
        <w:t xml:space="preserve">May Undermine </w:t>
      </w:r>
      <w:r w:rsidR="00ED27B1" w:rsidRPr="001F366E">
        <w:rPr>
          <w:lang w:val="en-US"/>
        </w:rPr>
        <w:t>Consumer Choice</w:t>
      </w:r>
      <w:bookmarkEnd w:id="55"/>
    </w:p>
    <w:p w14:paraId="1DC6BE79" w14:textId="77777777" w:rsidR="00ED27B1" w:rsidRDefault="00ED27B1" w:rsidP="00ED27B1">
      <w:pPr>
        <w:spacing w:after="0"/>
      </w:pPr>
    </w:p>
    <w:p w14:paraId="691C29D5" w14:textId="465C28B3" w:rsidR="0087561F" w:rsidRDefault="0087561F" w:rsidP="0087561F">
      <w:pPr>
        <w:spacing w:after="0"/>
      </w:pPr>
      <w:r>
        <w:t xml:space="preserve">“Dark patterns” refer to subtle or invisible (“dark”) </w:t>
      </w:r>
      <w:r w:rsidR="00DD41DB">
        <w:t xml:space="preserve">contracting, </w:t>
      </w:r>
      <w:r>
        <w:t>software</w:t>
      </w:r>
      <w:r w:rsidR="00DD41DB">
        <w:t>,</w:t>
      </w:r>
      <w:r>
        <w:t xml:space="preserve"> and user interface design practices that “pattern” or “steer, deceive, coerce, or manipulate consumers into making choices that often are not in their best interests.”</w:t>
      </w:r>
      <w:r>
        <w:rPr>
          <w:rStyle w:val="EndnoteReference"/>
        </w:rPr>
        <w:endnoteReference w:id="160"/>
      </w:r>
      <w:r>
        <w:t xml:space="preserve"> The prevalence of a range of different dark patterns is found “on</w:t>
      </w:r>
      <w:r w:rsidR="00DD41DB">
        <w:t xml:space="preserve"> </w:t>
      </w:r>
      <w:r>
        <w:t>e-commerce</w:t>
      </w:r>
      <w:r w:rsidR="00DD41DB">
        <w:t xml:space="preserve"> </w:t>
      </w:r>
      <w:r>
        <w:t>websites, apps, major online platforms, cookie consent notices and search engines” among other forms of digital transactions.</w:t>
      </w:r>
      <w:r>
        <w:rPr>
          <w:rStyle w:val="EndnoteReference"/>
        </w:rPr>
        <w:endnoteReference w:id="161"/>
      </w:r>
    </w:p>
    <w:p w14:paraId="787DC7F6" w14:textId="77777777" w:rsidR="0087561F" w:rsidRDefault="0087561F" w:rsidP="0087561F">
      <w:pPr>
        <w:spacing w:after="0"/>
      </w:pPr>
    </w:p>
    <w:p w14:paraId="0C6D24AD" w14:textId="09264BDE" w:rsidR="0087561F" w:rsidRDefault="0087561F" w:rsidP="0087561F">
      <w:pPr>
        <w:spacing w:after="0"/>
      </w:pPr>
      <w:r>
        <w:t>Typical example</w:t>
      </w:r>
      <w:r w:rsidR="00A03A7A">
        <w:t>s</w:t>
      </w:r>
      <w:r>
        <w:t xml:space="preserve"> of “dark pattern” software and user interface design include:</w:t>
      </w:r>
    </w:p>
    <w:p w14:paraId="5224C183" w14:textId="77777777" w:rsidR="0087561F" w:rsidRDefault="0087561F" w:rsidP="0087561F">
      <w:pPr>
        <w:spacing w:after="0"/>
      </w:pPr>
    </w:p>
    <w:p w14:paraId="0F64DE31" w14:textId="6B9EC8FB" w:rsidR="00DD41DB" w:rsidRDefault="00A03A7A" w:rsidP="00470F77">
      <w:pPr>
        <w:pStyle w:val="ListParagraph"/>
        <w:numPr>
          <w:ilvl w:val="0"/>
          <w:numId w:val="49"/>
        </w:numPr>
        <w:spacing w:after="0"/>
      </w:pPr>
      <w:r>
        <w:t xml:space="preserve">“Frictionless” </w:t>
      </w:r>
      <w:r w:rsidR="00DD41DB" w:rsidRPr="0054628E">
        <w:t>sign-up practices that minimize</w:t>
      </w:r>
      <w:r w:rsidR="00DD41DB">
        <w:t xml:space="preserve"> notice of </w:t>
      </w:r>
      <w:r w:rsidR="00DD41DB" w:rsidRPr="0054628E">
        <w:t>risks and consequences to the consumer</w:t>
      </w:r>
      <w:r w:rsidR="00DD41DB">
        <w:t xml:space="preserve"> </w:t>
      </w:r>
    </w:p>
    <w:p w14:paraId="350C0998" w14:textId="5CA69A12" w:rsidR="00FB1CDD" w:rsidRDefault="00A03A7A" w:rsidP="00470F77">
      <w:pPr>
        <w:pStyle w:val="ListParagraph"/>
        <w:numPr>
          <w:ilvl w:val="0"/>
          <w:numId w:val="49"/>
        </w:numPr>
        <w:spacing w:after="0"/>
      </w:pPr>
      <w:r>
        <w:t>Unnecessary and onerous opt-out procedures</w:t>
      </w:r>
      <w:r w:rsidR="00902DD8">
        <w:t xml:space="preserve"> </w:t>
      </w:r>
      <w:r>
        <w:t xml:space="preserve">such as requiring mailed letters or phone </w:t>
      </w:r>
      <w:r w:rsidR="00FB1CDD">
        <w:t>calls with long wait-times</w:t>
      </w:r>
    </w:p>
    <w:p w14:paraId="67208F10" w14:textId="070A43D0" w:rsidR="0087561F" w:rsidRDefault="00A03A7A" w:rsidP="00470F77">
      <w:pPr>
        <w:pStyle w:val="ListParagraph"/>
        <w:numPr>
          <w:ilvl w:val="0"/>
          <w:numId w:val="49"/>
        </w:numPr>
        <w:spacing w:after="0"/>
      </w:pPr>
      <w:r>
        <w:t>Consent boxes and user settings checked by default</w:t>
      </w:r>
    </w:p>
    <w:p w14:paraId="671D35CC" w14:textId="159DC3CC" w:rsidR="0087561F" w:rsidRDefault="00A03A7A" w:rsidP="00470F77">
      <w:pPr>
        <w:pStyle w:val="ListParagraph"/>
        <w:numPr>
          <w:ilvl w:val="0"/>
          <w:numId w:val="49"/>
        </w:numPr>
        <w:spacing w:after="0"/>
      </w:pPr>
      <w:r>
        <w:t xml:space="preserve">Preference toggles with unclear labeling or </w:t>
      </w:r>
      <w:r w:rsidR="00FB1CDD">
        <w:t xml:space="preserve">in/active </w:t>
      </w:r>
      <w:r w:rsidR="0087561F">
        <w:t>status</w:t>
      </w:r>
    </w:p>
    <w:p w14:paraId="66A5BCE8" w14:textId="5763FBD7" w:rsidR="0087561F" w:rsidRDefault="00A03A7A" w:rsidP="00470F77">
      <w:pPr>
        <w:pStyle w:val="ListParagraph"/>
        <w:numPr>
          <w:ilvl w:val="0"/>
          <w:numId w:val="49"/>
        </w:numPr>
        <w:spacing w:after="0"/>
      </w:pPr>
      <w:r w:rsidRPr="0054628E">
        <w:t>Preference</w:t>
      </w:r>
      <w:r w:rsidR="0087561F">
        <w:t xml:space="preserve">s and settings </w:t>
      </w:r>
      <w:r w:rsidR="0087561F" w:rsidRPr="0054628E">
        <w:t>buried deep within a multi-layered menu structure or website</w:t>
      </w:r>
    </w:p>
    <w:p w14:paraId="7F4CFC66" w14:textId="7E719A9F" w:rsidR="0087561F" w:rsidRDefault="00A03A7A" w:rsidP="00470F77">
      <w:pPr>
        <w:pStyle w:val="ListParagraph"/>
        <w:numPr>
          <w:ilvl w:val="0"/>
          <w:numId w:val="49"/>
        </w:numPr>
        <w:spacing w:after="0"/>
      </w:pPr>
      <w:r>
        <w:t>Frequent pop-ups</w:t>
      </w:r>
    </w:p>
    <w:p w14:paraId="477BD961" w14:textId="6745D027" w:rsidR="0087561F" w:rsidRDefault="00A03A7A" w:rsidP="00470F77">
      <w:pPr>
        <w:pStyle w:val="ListParagraph"/>
        <w:numPr>
          <w:ilvl w:val="0"/>
          <w:numId w:val="49"/>
        </w:numPr>
        <w:spacing w:after="0"/>
      </w:pPr>
      <w:r>
        <w:t>Ob</w:t>
      </w:r>
      <w:r w:rsidR="0087561F">
        <w:t>scured “cancel” or “unsubscribe”</w:t>
      </w:r>
      <w:r w:rsidR="00902DD8">
        <w:t xml:space="preserve"> </w:t>
      </w:r>
      <w:r w:rsidR="0087561F">
        <w:t>buttons</w:t>
      </w:r>
    </w:p>
    <w:p w14:paraId="01665F53" w14:textId="7C4F54E3" w:rsidR="00FB1CDD" w:rsidRDefault="00902DD8" w:rsidP="00470F77">
      <w:pPr>
        <w:pStyle w:val="ListParagraph"/>
        <w:numPr>
          <w:ilvl w:val="0"/>
          <w:numId w:val="49"/>
        </w:numPr>
        <w:spacing w:after="0"/>
      </w:pPr>
      <w:r>
        <w:t xml:space="preserve">Very small </w:t>
      </w:r>
      <w:r w:rsidR="00A03A7A">
        <w:t>text</w:t>
      </w:r>
    </w:p>
    <w:p w14:paraId="754F2FAF" w14:textId="0A7877D0" w:rsidR="0087561F" w:rsidRDefault="00A03A7A" w:rsidP="00470F77">
      <w:pPr>
        <w:pStyle w:val="ListParagraph"/>
        <w:numPr>
          <w:ilvl w:val="0"/>
          <w:numId w:val="49"/>
        </w:numPr>
        <w:spacing w:after="0"/>
      </w:pPr>
      <w:r>
        <w:t xml:space="preserve">Using undisclosed practices that lock consumers into a platform, such as proprietary data formats, bundled services, and “network effects” </w:t>
      </w:r>
      <w:r w:rsidR="00FB1CDD" w:rsidRPr="005B1870">
        <w:t xml:space="preserve">like </w:t>
      </w:r>
      <w:r w:rsidR="00FB1CDD">
        <w:t>non-transferable, non-refundable platform currencies</w:t>
      </w:r>
    </w:p>
    <w:p w14:paraId="28429D5A" w14:textId="6E15C87A" w:rsidR="0087561F" w:rsidRDefault="00902DD8" w:rsidP="00470F77">
      <w:pPr>
        <w:pStyle w:val="ListParagraph"/>
        <w:numPr>
          <w:ilvl w:val="0"/>
          <w:numId w:val="49"/>
        </w:numPr>
        <w:spacing w:after="0"/>
      </w:pPr>
      <w:r>
        <w:t>Unnecessary c</w:t>
      </w:r>
      <w:r w:rsidR="00A03A7A">
        <w:t>ountdown timers</w:t>
      </w:r>
      <w:r w:rsidR="00FB1CDD">
        <w:t xml:space="preserve"> to create an impression of scarcity or a one-time offer</w:t>
      </w:r>
      <w:r w:rsidR="0087561F">
        <w:t>.</w:t>
      </w:r>
      <w:r w:rsidR="00FB1CDD" w:rsidRPr="00FB1CDD">
        <w:rPr>
          <w:rStyle w:val="EndnoteReference"/>
        </w:rPr>
        <w:t xml:space="preserve"> </w:t>
      </w:r>
      <w:r w:rsidR="00FB1CDD">
        <w:rPr>
          <w:rStyle w:val="EndnoteReference"/>
        </w:rPr>
        <w:endnoteReference w:id="162"/>
      </w:r>
    </w:p>
    <w:p w14:paraId="1E9B544C" w14:textId="77777777" w:rsidR="0087561F" w:rsidRDefault="0087561F" w:rsidP="0087561F">
      <w:pPr>
        <w:spacing w:after="0"/>
      </w:pPr>
    </w:p>
    <w:p w14:paraId="47FDAFD7" w14:textId="0BF4318E" w:rsidR="0087561F" w:rsidRDefault="00902DD8" w:rsidP="007A41A0">
      <w:r>
        <w:t xml:space="preserve">A </w:t>
      </w:r>
      <w:r w:rsidR="00BD68A6">
        <w:t xml:space="preserve">recent </w:t>
      </w:r>
      <w:r>
        <w:t xml:space="preserve">OECD </w:t>
      </w:r>
      <w:r w:rsidR="00BD68A6">
        <w:t xml:space="preserve">report </w:t>
      </w:r>
      <w:r>
        <w:t xml:space="preserve">identified </w:t>
      </w:r>
      <w:r w:rsidR="0087561F">
        <w:t xml:space="preserve">24 distinct </w:t>
      </w:r>
      <w:r w:rsidR="00361A6D">
        <w:t>categories</w:t>
      </w:r>
      <w:r w:rsidR="0087561F">
        <w:t xml:space="preserve"> of “dark pattern” design techniques</w:t>
      </w:r>
      <w:r w:rsidR="00361A6D">
        <w:t xml:space="preserve"> deployed in the digital marketplace</w:t>
      </w:r>
      <w:r w:rsidR="000E1EA1">
        <w:t xml:space="preserve"> (see section 8, below, </w:t>
      </w:r>
      <w:r w:rsidR="008E61F1">
        <w:t>and the table in that section)</w:t>
      </w:r>
      <w:r w:rsidR="0087561F">
        <w:t>.</w:t>
      </w:r>
      <w:r w:rsidR="0087561F">
        <w:rPr>
          <w:rStyle w:val="EndnoteReference"/>
        </w:rPr>
        <w:endnoteReference w:id="163"/>
      </w:r>
    </w:p>
    <w:p w14:paraId="0D0D22DD" w14:textId="4300C8B2" w:rsidR="0087561F" w:rsidRDefault="0087561F" w:rsidP="0087561F">
      <w:pPr>
        <w:spacing w:after="0"/>
      </w:pPr>
      <w:r>
        <w:t>Studies of dark patterns show they are very effective at “subverting or impairing consumer autonomy, decision-making or choice”</w:t>
      </w:r>
      <w:r>
        <w:rPr>
          <w:rStyle w:val="EndnoteReference"/>
        </w:rPr>
        <w:endnoteReference w:id="164"/>
      </w:r>
      <w:r>
        <w:t xml:space="preserve"> as well as changing consumer choices and behaviours. </w:t>
      </w:r>
      <w:r w:rsidR="00A03A7A">
        <w:t xml:space="preserve">Dark patterns </w:t>
      </w:r>
      <w:r>
        <w:t xml:space="preserve">can </w:t>
      </w:r>
      <w:r w:rsidR="00A03A7A">
        <w:t xml:space="preserve">also </w:t>
      </w:r>
      <w:r>
        <w:t>cause consumers to experience financial loss, psychological stress, and undermine trust in the supplier.</w:t>
      </w:r>
      <w:r>
        <w:rPr>
          <w:rStyle w:val="EndnoteReference"/>
        </w:rPr>
        <w:endnoteReference w:id="165"/>
      </w:r>
    </w:p>
    <w:p w14:paraId="732DB64B" w14:textId="7066ECEC" w:rsidR="006A6F86" w:rsidRDefault="006A6F86" w:rsidP="00ED27B1">
      <w:pPr>
        <w:spacing w:after="0"/>
      </w:pPr>
    </w:p>
    <w:p w14:paraId="368A7CF8" w14:textId="6CA0BF9A" w:rsidR="00EC53F7" w:rsidRDefault="00361A6D" w:rsidP="00E136EA">
      <w:pPr>
        <w:spacing w:after="0"/>
      </w:pPr>
      <w:r>
        <w:t xml:space="preserve">Ultimately the </w:t>
      </w:r>
      <w:r w:rsidR="00E136EA">
        <w:t xml:space="preserve">“purpose of dark patterns is to </w:t>
      </w:r>
      <w:r w:rsidR="00E136EA" w:rsidRPr="00B96CBC">
        <w:t>increase business revenue</w:t>
      </w:r>
      <w:r w:rsidR="00E136EA">
        <w:t>” through deception.</w:t>
      </w:r>
      <w:r w:rsidR="00E136EA">
        <w:rPr>
          <w:rStyle w:val="EndnoteReference"/>
        </w:rPr>
        <w:endnoteReference w:id="166"/>
      </w:r>
      <w:r w:rsidR="00E136EA">
        <w:t xml:space="preserve"> Unregulated dark pattern practices “may also pressure online businesses to use dark patterns, particularly where they are not clearly prohibited, to remain competitive” and creat</w:t>
      </w:r>
      <w:r w:rsidR="009A52BD">
        <w:t>e</w:t>
      </w:r>
      <w:r w:rsidR="00E136EA">
        <w:t xml:space="preserve"> a “race to the bottom.”</w:t>
      </w:r>
      <w:r w:rsidR="00E136EA">
        <w:rPr>
          <w:rStyle w:val="EndnoteReference"/>
        </w:rPr>
        <w:endnoteReference w:id="167"/>
      </w:r>
      <w:r w:rsidR="00EC53F7">
        <w:t xml:space="preserve"> </w:t>
      </w:r>
      <w:r>
        <w:t>Collectively, t</w:t>
      </w:r>
      <w:r w:rsidR="00E136EA">
        <w:t>hese practices reflect “</w:t>
      </w:r>
      <w:r w:rsidR="00E136EA" w:rsidRPr="00437547">
        <w:t>mounting concern that dark commercial patterns may cause substantial consumer detriment.</w:t>
      </w:r>
      <w:r w:rsidR="00E136EA">
        <w:t>”</w:t>
      </w:r>
      <w:r w:rsidR="00E136EA">
        <w:rPr>
          <w:rStyle w:val="EndnoteReference"/>
        </w:rPr>
        <w:endnoteReference w:id="168"/>
      </w:r>
      <w:r w:rsidR="00EB1AF0">
        <w:t xml:space="preserve"> </w:t>
      </w:r>
    </w:p>
    <w:p w14:paraId="78708525" w14:textId="77777777" w:rsidR="00EC53F7" w:rsidRDefault="00EC53F7" w:rsidP="00E136EA">
      <w:pPr>
        <w:spacing w:after="0"/>
      </w:pPr>
    </w:p>
    <w:p w14:paraId="46E911EA" w14:textId="77777777" w:rsidR="00D0051D" w:rsidRDefault="00521A85" w:rsidP="00521A85">
      <w:pPr>
        <w:spacing w:after="0"/>
      </w:pPr>
      <w:r w:rsidRPr="00521A85">
        <w:t>The United States Federal Trade Commission (FTC) recently developed broadly applicable policy guidance on dark patterns and began landmark enforcement measures.</w:t>
      </w:r>
    </w:p>
    <w:p w14:paraId="03616E17" w14:textId="77777777" w:rsidR="00D0051D" w:rsidRDefault="00D0051D" w:rsidP="00521A85">
      <w:pPr>
        <w:spacing w:after="0"/>
      </w:pPr>
    </w:p>
    <w:p w14:paraId="4B3D9333" w14:textId="77777777" w:rsidR="00D0051D" w:rsidRDefault="00521A85" w:rsidP="00521A85">
      <w:pPr>
        <w:spacing w:after="0"/>
      </w:pPr>
      <w:r w:rsidRPr="00521A85">
        <w:t>The policy acknowledges that dark patterns are widespread practices “designed to trick, trap, and mislead consumers” through tactics that include “disguised ads, difficult-to-cancel subscriptions, buried key terms, and tricks to obtain consumer data.”</w:t>
      </w:r>
      <w:r w:rsidRPr="00521A85">
        <w:rPr>
          <w:rStyle w:val="EndnoteReference"/>
        </w:rPr>
        <w:endnoteReference w:id="169"/>
      </w:r>
    </w:p>
    <w:p w14:paraId="3425818B" w14:textId="77777777" w:rsidR="00D0051D" w:rsidRDefault="00D0051D" w:rsidP="00521A85">
      <w:pPr>
        <w:spacing w:after="0"/>
      </w:pPr>
    </w:p>
    <w:p w14:paraId="719293EA" w14:textId="6F7EEB89" w:rsidR="00521A85" w:rsidRDefault="004F03B0" w:rsidP="00521A85">
      <w:pPr>
        <w:spacing w:after="0"/>
      </w:pPr>
      <w:r>
        <w:t xml:space="preserve">During 2022-2023, the FTC undertook an </w:t>
      </w:r>
      <w:r w:rsidR="00521A85" w:rsidRPr="00521A85">
        <w:t>investigation into the consumer ToS of leading global videogame company Epic</w:t>
      </w:r>
      <w:r w:rsidR="00CC3C8E">
        <w:t xml:space="preserve">, developer of the popular video game </w:t>
      </w:r>
      <w:r w:rsidR="00521A85" w:rsidRPr="00521A85">
        <w:t>Fortnite</w:t>
      </w:r>
      <w:r>
        <w:t xml:space="preserve">. </w:t>
      </w:r>
      <w:r w:rsidR="00521A85" w:rsidRPr="00521A85">
        <w:t>The FTC investigation resulted in fines and penalties totalling $US520 million for Epic’s use of exploitative dark patterns, unfair terms, and exploitation of child privacy.</w:t>
      </w:r>
      <w:r w:rsidR="00521A85" w:rsidRPr="00521A85">
        <w:rPr>
          <w:rStyle w:val="EndnoteReference"/>
        </w:rPr>
        <w:endnoteReference w:id="170"/>
      </w:r>
      <w:r w:rsidR="00521A85" w:rsidRPr="00521A85">
        <w:t xml:space="preserve"> The amount includes $US245M to refund consumers.</w:t>
      </w:r>
      <w:r w:rsidR="00521A85" w:rsidRPr="00521A85">
        <w:rPr>
          <w:rStyle w:val="EndnoteReference"/>
        </w:rPr>
        <w:endnoteReference w:id="171"/>
      </w:r>
    </w:p>
    <w:p w14:paraId="001072F7" w14:textId="77777777" w:rsidR="008D2995" w:rsidRDefault="008D2995" w:rsidP="00521A85">
      <w:pPr>
        <w:spacing w:after="0"/>
      </w:pPr>
    </w:p>
    <w:p w14:paraId="1E758801" w14:textId="5773D1E0" w:rsidR="008D2995" w:rsidRDefault="008D2995" w:rsidP="00521A85">
      <w:pPr>
        <w:spacing w:after="0"/>
      </w:pPr>
      <w:r>
        <w:t>An array of similar practices by Epic is now subject to a class action in Canada, which was certified to proceed in late 2022.</w:t>
      </w:r>
      <w:r>
        <w:rPr>
          <w:rStyle w:val="EndnoteReference"/>
        </w:rPr>
        <w:endnoteReference w:id="172"/>
      </w:r>
    </w:p>
    <w:p w14:paraId="22964C5E" w14:textId="77777777" w:rsidR="00FB1CDD" w:rsidRDefault="00FB1CDD" w:rsidP="00E136EA">
      <w:pPr>
        <w:spacing w:after="0"/>
      </w:pPr>
    </w:p>
    <w:p w14:paraId="0F7D4F6E" w14:textId="4082641F" w:rsidR="00C20D4B" w:rsidRDefault="00FB1CDD" w:rsidP="00C20D4B">
      <w:pPr>
        <w:spacing w:after="0"/>
      </w:pPr>
      <w:r>
        <w:t>Deceptive practices have also attracted fines in the hundreds of millions of euros in France and Italy</w:t>
      </w:r>
      <w:r w:rsidR="00380B3A">
        <w:t xml:space="preserve">. Investigations determined that Google, </w:t>
      </w:r>
      <w:r w:rsidR="00A03A7A">
        <w:t>Facebook,</w:t>
      </w:r>
      <w:r w:rsidR="00380B3A">
        <w:t xml:space="preserve"> and Apple used </w:t>
      </w:r>
      <w:r w:rsidR="00C20D4B">
        <w:t>deceptive dark pattern</w:t>
      </w:r>
      <w:r w:rsidR="00380B3A">
        <w:t>s</w:t>
      </w:r>
      <w:r w:rsidR="00C20D4B">
        <w:t xml:space="preserve"> </w:t>
      </w:r>
      <w:r w:rsidR="00380B3A">
        <w:t xml:space="preserve">to enroll customers by </w:t>
      </w:r>
      <w:r w:rsidR="00C20D4B">
        <w:t>minimiz</w:t>
      </w:r>
      <w:r w:rsidR="00380B3A">
        <w:t>ing</w:t>
      </w:r>
      <w:r w:rsidR="00C20D4B">
        <w:t xml:space="preserve"> or circumvent</w:t>
      </w:r>
      <w:r w:rsidR="00380B3A">
        <w:t>ing</w:t>
      </w:r>
      <w:r w:rsidR="00C20D4B">
        <w:t xml:space="preserve"> adequate notice about key terms and conditions “with clarity and immediacy</w:t>
      </w:r>
      <w:r w:rsidR="00380B3A">
        <w:t>,</w:t>
      </w:r>
      <w:r w:rsidR="00C20D4B">
        <w:t>” as well as frustrating the ability to reject cookie trackers.</w:t>
      </w:r>
      <w:r w:rsidR="00C20D4B">
        <w:rPr>
          <w:rStyle w:val="EndnoteReference"/>
        </w:rPr>
        <w:endnoteReference w:id="173"/>
      </w:r>
      <w:r w:rsidR="00C20D4B" w:rsidRPr="00C20D4B">
        <w:t xml:space="preserve"> </w:t>
      </w:r>
      <w:r w:rsidR="00C20D4B">
        <w:t>This investigation explicitly linked the role of legal notice to common but poorly understood business practices in the digital marketplace. Investigators found operators of several major platforms to be:</w:t>
      </w:r>
    </w:p>
    <w:p w14:paraId="555CF983" w14:textId="77777777" w:rsidR="00C20D4B" w:rsidRDefault="00C20D4B" w:rsidP="00C20D4B">
      <w:pPr>
        <w:spacing w:after="0"/>
      </w:pPr>
    </w:p>
    <w:p w14:paraId="6ADD0C86" w14:textId="11E18272" w:rsidR="00C20D4B" w:rsidRPr="007A41A0" w:rsidRDefault="00EC53F7" w:rsidP="007A41A0">
      <w:pPr>
        <w:pStyle w:val="Quote"/>
        <w:jc w:val="left"/>
        <w:rPr>
          <w:i/>
          <w:iCs/>
        </w:rPr>
      </w:pPr>
      <w:r w:rsidRPr="1F5E9E68">
        <w:rPr>
          <w:i/>
          <w:iCs/>
        </w:rPr>
        <w:t>…</w:t>
      </w:r>
      <w:r w:rsidR="00C20D4B" w:rsidRPr="1F5E9E68">
        <w:rPr>
          <w:i/>
          <w:iCs/>
        </w:rPr>
        <w:t>misleading users who register on its platform by not informing them — “immediately and adequately” — at the point of sign up that it will collect and monetize their personal data… [The] information provided by Facebook was generic and incomplete and did not provide an adequate distinction between the use of data necessary for the personalization of the service (with the aim of facilitating socialization with other users) and the use of data to carry out targeted advertising campaigns.</w:t>
      </w:r>
      <w:r w:rsidR="00C20D4B" w:rsidRPr="1F5E9E68">
        <w:rPr>
          <w:rStyle w:val="EndnoteReference"/>
          <w:i/>
          <w:iCs/>
        </w:rPr>
        <w:endnoteReference w:id="174"/>
      </w:r>
    </w:p>
    <w:p w14:paraId="3AFF8E5F" w14:textId="77777777" w:rsidR="00E136EA" w:rsidRDefault="00E136EA" w:rsidP="00ED27B1">
      <w:pPr>
        <w:spacing w:after="0"/>
      </w:pPr>
    </w:p>
    <w:p w14:paraId="5AE9FD7D" w14:textId="209B25E4" w:rsidR="006A6F86" w:rsidRDefault="006A6F86" w:rsidP="00C20D4B">
      <w:pPr>
        <w:spacing w:after="0"/>
      </w:pPr>
      <w:r>
        <w:t xml:space="preserve">Investigations into </w:t>
      </w:r>
      <w:r w:rsidR="00C20D4B">
        <w:t xml:space="preserve">dark pattern </w:t>
      </w:r>
      <w:r>
        <w:t xml:space="preserve">practices have </w:t>
      </w:r>
      <w:r w:rsidR="000C2A4E">
        <w:t xml:space="preserve">also </w:t>
      </w:r>
      <w:r>
        <w:t xml:space="preserve">begun </w:t>
      </w:r>
      <w:r w:rsidR="00EC53F7">
        <w:t xml:space="preserve">in </w:t>
      </w:r>
      <w:r>
        <w:t xml:space="preserve">Canada. For </w:t>
      </w:r>
      <w:r w:rsidR="00A65E0D">
        <w:t>instance,</w:t>
      </w:r>
      <w:r w:rsidR="00C20D4B">
        <w:t xml:space="preserve"> C</w:t>
      </w:r>
      <w:r>
        <w:t xml:space="preserve">anadian legal media recently </w:t>
      </w:r>
      <w:r w:rsidRPr="006A6F86">
        <w:t xml:space="preserve">raised </w:t>
      </w:r>
      <w:r>
        <w:t xml:space="preserve">the </w:t>
      </w:r>
      <w:r w:rsidRPr="006A6F86">
        <w:t xml:space="preserve">alarm over the ways in which deceptive “dark patterns” in the digital marketplace evade consumer protection principles and </w:t>
      </w:r>
      <w:r w:rsidR="002F1FE2">
        <w:t xml:space="preserve">are </w:t>
      </w:r>
      <w:r w:rsidRPr="006A6F86">
        <w:t>triggering class action lawsuits</w:t>
      </w:r>
      <w:r>
        <w:t>.</w:t>
      </w:r>
      <w:r>
        <w:rPr>
          <w:rStyle w:val="EndnoteReference"/>
        </w:rPr>
        <w:endnoteReference w:id="175"/>
      </w:r>
    </w:p>
    <w:p w14:paraId="477C1FC1" w14:textId="77777777" w:rsidR="00693813" w:rsidRDefault="00693813" w:rsidP="006A2C88"/>
    <w:p w14:paraId="1F1874C8" w14:textId="4734E242" w:rsidR="00462EF8" w:rsidRPr="001F366E" w:rsidRDefault="00390309" w:rsidP="00390309">
      <w:pPr>
        <w:pStyle w:val="Heading2"/>
        <w:rPr>
          <w:lang w:val="en-US"/>
        </w:rPr>
      </w:pPr>
      <w:bookmarkStart w:id="56" w:name="_Toc138151847"/>
      <w:r>
        <w:rPr>
          <w:lang w:val="en-US"/>
        </w:rPr>
        <w:t xml:space="preserve">4.6 </w:t>
      </w:r>
      <w:r w:rsidR="00A61609">
        <w:rPr>
          <w:lang w:val="en-US"/>
        </w:rPr>
        <w:t xml:space="preserve">Low-cost and No-cost </w:t>
      </w:r>
      <w:r w:rsidR="007E17D4">
        <w:rPr>
          <w:lang w:val="en-US"/>
        </w:rPr>
        <w:t>Digital Services May Conceal Important Risks, Avoid Consumer Protections</w:t>
      </w:r>
      <w:bookmarkEnd w:id="56"/>
    </w:p>
    <w:p w14:paraId="3FD39B0C" w14:textId="77777777" w:rsidR="00ED27B1" w:rsidRDefault="00ED27B1" w:rsidP="00ED27B1">
      <w:pPr>
        <w:spacing w:after="0"/>
        <w:rPr>
          <w:lang w:val="en-US"/>
        </w:rPr>
      </w:pPr>
    </w:p>
    <w:p w14:paraId="250206B4" w14:textId="77777777" w:rsidR="00AE6F19" w:rsidRDefault="00A03A7A" w:rsidP="00A03A7A">
      <w:pPr>
        <w:spacing w:after="0"/>
        <w:rPr>
          <w:lang w:val="en-US"/>
        </w:rPr>
      </w:pPr>
      <w:r>
        <w:rPr>
          <w:lang w:val="en-US"/>
        </w:rPr>
        <w:t>Many digital services are provided on a low-cost or no-cost basis to the consumer. Other services may rely on small “micro-transactions,” intermittent subscriptions, platform currencies, credit for user-generated content, and other occasional and non-traditional exchanges of value. Such business models may avoid the regulation and scrutiny of consumer law as they fall short of monetary thresholds that trigger legislative jurisdiction.</w:t>
      </w:r>
      <w:r>
        <w:rPr>
          <w:rStyle w:val="EndnoteReference"/>
          <w:lang w:val="en-US"/>
        </w:rPr>
        <w:endnoteReference w:id="176"/>
      </w:r>
      <w:r>
        <w:rPr>
          <w:lang w:val="en-US"/>
        </w:rPr>
        <w:t xml:space="preserve"> </w:t>
      </w:r>
    </w:p>
    <w:p w14:paraId="66EA1CDD" w14:textId="77777777" w:rsidR="00AE6F19" w:rsidRDefault="00AE6F19" w:rsidP="00A03A7A">
      <w:pPr>
        <w:spacing w:after="0"/>
        <w:rPr>
          <w:lang w:val="en-US"/>
        </w:rPr>
      </w:pPr>
    </w:p>
    <w:p w14:paraId="0C3ECEB4" w14:textId="3EBD0FA1" w:rsidR="00A03A7A" w:rsidRDefault="00A03A7A" w:rsidP="00A03A7A">
      <w:pPr>
        <w:spacing w:after="0"/>
        <w:rPr>
          <w:lang w:val="en-US"/>
        </w:rPr>
      </w:pPr>
      <w:r>
        <w:rPr>
          <w:lang w:val="en-US"/>
        </w:rPr>
        <w:t>These services may also rely on business models that monetize users through data harvesting, user profiling, and targeted content or advertisements, often through vague or misleading terms in the ToS.</w:t>
      </w:r>
      <w:r w:rsidR="00AE6F19">
        <w:rPr>
          <w:lang w:val="en-US"/>
        </w:rPr>
        <w:t xml:space="preserve"> As </w:t>
      </w:r>
      <w:r w:rsidR="00CC3C8E">
        <w:rPr>
          <w:lang w:val="en-US"/>
        </w:rPr>
        <w:t xml:space="preserve">noted above, </w:t>
      </w:r>
      <w:r w:rsidR="00AE6F19">
        <w:rPr>
          <w:lang w:val="en-US"/>
        </w:rPr>
        <w:t>users of such “free” services may pay nothing but be worth hundreds of dollars to the supplier.</w:t>
      </w:r>
      <w:r w:rsidR="00CC3C8E">
        <w:rPr>
          <w:lang w:val="en-US"/>
        </w:rPr>
        <w:t xml:space="preserve"> (See the “What’s a consumer worth?” sidebar in section 2.3 above.) </w:t>
      </w:r>
    </w:p>
    <w:p w14:paraId="17A54F60" w14:textId="7C97C95F" w:rsidR="00BE00C1" w:rsidRPr="001F366E" w:rsidRDefault="00390309" w:rsidP="00390309">
      <w:pPr>
        <w:pStyle w:val="Heading2"/>
        <w:rPr>
          <w:lang w:val="en-US"/>
        </w:rPr>
      </w:pPr>
      <w:bookmarkStart w:id="57" w:name="_Toc138151848"/>
      <w:r>
        <w:rPr>
          <w:lang w:val="en-US"/>
        </w:rPr>
        <w:lastRenderedPageBreak/>
        <w:t xml:space="preserve">4.7 </w:t>
      </w:r>
      <w:r w:rsidR="00E61868">
        <w:rPr>
          <w:lang w:val="en-US"/>
        </w:rPr>
        <w:t xml:space="preserve">ToS May </w:t>
      </w:r>
      <w:r w:rsidR="0047680F">
        <w:rPr>
          <w:lang w:val="en-US"/>
        </w:rPr>
        <w:t xml:space="preserve">Restrict Legal </w:t>
      </w:r>
      <w:r w:rsidR="00E61868">
        <w:rPr>
          <w:lang w:val="en-US"/>
        </w:rPr>
        <w:t>Rights</w:t>
      </w:r>
      <w:r w:rsidR="0047680F">
        <w:rPr>
          <w:lang w:val="en-US"/>
        </w:rPr>
        <w:t xml:space="preserve"> and </w:t>
      </w:r>
      <w:r w:rsidR="00E61868">
        <w:rPr>
          <w:lang w:val="en-US"/>
        </w:rPr>
        <w:t xml:space="preserve">Reduce </w:t>
      </w:r>
      <w:r w:rsidR="00ED27B1" w:rsidRPr="001F366E">
        <w:rPr>
          <w:lang w:val="en-US"/>
        </w:rPr>
        <w:t>Access to Justice</w:t>
      </w:r>
      <w:bookmarkEnd w:id="57"/>
    </w:p>
    <w:p w14:paraId="7650930C" w14:textId="77777777" w:rsidR="00E61868" w:rsidRDefault="00E61868" w:rsidP="00E61868">
      <w:pPr>
        <w:spacing w:after="0"/>
        <w:rPr>
          <w:lang w:val="en-US"/>
        </w:rPr>
      </w:pPr>
    </w:p>
    <w:p w14:paraId="3216637F" w14:textId="5BCC3F9F" w:rsidR="00E61868" w:rsidRDefault="00E61868" w:rsidP="00E61868">
      <w:pPr>
        <w:spacing w:after="0"/>
        <w:rPr>
          <w:lang w:val="en-US"/>
        </w:rPr>
      </w:pPr>
      <w:r w:rsidRPr="00E61868">
        <w:rPr>
          <w:lang w:val="en-US"/>
        </w:rPr>
        <w:t xml:space="preserve">Notwithstanding consumer protection legislation, digital ToS may include provisions attempting to restrict a consumer’s ability to seek legal remedies. </w:t>
      </w:r>
      <w:r w:rsidR="000C2A4E">
        <w:rPr>
          <w:lang w:val="en-US"/>
        </w:rPr>
        <w:t xml:space="preserve">Many </w:t>
      </w:r>
      <w:r w:rsidRPr="00E61868">
        <w:rPr>
          <w:lang w:val="en-US"/>
        </w:rPr>
        <w:t>ToS provisions include terms stating that disputes are governed by foreign laws or must be initiated in foreign jurisdictions.</w:t>
      </w:r>
      <w:r w:rsidR="009E0094">
        <w:rPr>
          <w:lang w:val="en-US"/>
        </w:rPr>
        <w:t xml:space="preserve"> </w:t>
      </w:r>
      <w:r w:rsidRPr="00E61868">
        <w:rPr>
          <w:lang w:val="en-US"/>
        </w:rPr>
        <w:t>Many ToS also specify that disputes must be resolved through internal dispute resolution mechanisms, binding arbitration, or that class action rights are waived.</w:t>
      </w:r>
    </w:p>
    <w:p w14:paraId="7F858CEC" w14:textId="417C23C2" w:rsidR="001A10D6" w:rsidRDefault="001A10D6" w:rsidP="00E61868">
      <w:pPr>
        <w:spacing w:after="0"/>
        <w:rPr>
          <w:lang w:val="en-US"/>
        </w:rPr>
      </w:pPr>
    </w:p>
    <w:p w14:paraId="2542DD76" w14:textId="2715535F" w:rsidR="00FA4D57" w:rsidRDefault="00FA4D57" w:rsidP="00E61868">
      <w:pPr>
        <w:spacing w:after="0"/>
        <w:rPr>
          <w:lang w:val="en-US"/>
        </w:rPr>
      </w:pPr>
      <w:r>
        <w:rPr>
          <w:lang w:val="en-US"/>
        </w:rPr>
        <w:t xml:space="preserve">Consumers </w:t>
      </w:r>
      <w:r w:rsidR="002F4153">
        <w:rPr>
          <w:lang w:val="en-US"/>
        </w:rPr>
        <w:t xml:space="preserve">may </w:t>
      </w:r>
      <w:r>
        <w:rPr>
          <w:lang w:val="en-US"/>
        </w:rPr>
        <w:t xml:space="preserve">also risk reprisal for asserting </w:t>
      </w:r>
      <w:r w:rsidR="006D6EAE">
        <w:rPr>
          <w:lang w:val="en-US"/>
        </w:rPr>
        <w:t xml:space="preserve">their </w:t>
      </w:r>
      <w:r>
        <w:rPr>
          <w:lang w:val="en-US"/>
        </w:rPr>
        <w:t xml:space="preserve">rights. </w:t>
      </w:r>
      <w:r w:rsidR="0047680F">
        <w:rPr>
          <w:lang w:val="en-US"/>
        </w:rPr>
        <w:t xml:space="preserve">For example, </w:t>
      </w:r>
      <w:r w:rsidR="00F5079B">
        <w:rPr>
          <w:lang w:val="en-US"/>
        </w:rPr>
        <w:t xml:space="preserve">the US FTC investigation into Epic (described in section 4.5 above) found </w:t>
      </w:r>
      <w:r>
        <w:rPr>
          <w:lang w:val="en-US"/>
        </w:rPr>
        <w:t xml:space="preserve">sustained and systemic reprisal </w:t>
      </w:r>
      <w:r w:rsidR="00F5079B">
        <w:rPr>
          <w:lang w:val="en-US"/>
        </w:rPr>
        <w:t xml:space="preserve">by the supplier </w:t>
      </w:r>
      <w:r>
        <w:rPr>
          <w:lang w:val="en-US"/>
        </w:rPr>
        <w:t>where consumers assert</w:t>
      </w:r>
      <w:r w:rsidR="00F5079B">
        <w:rPr>
          <w:lang w:val="en-US"/>
        </w:rPr>
        <w:t>ed</w:t>
      </w:r>
      <w:r>
        <w:rPr>
          <w:lang w:val="en-US"/>
        </w:rPr>
        <w:t xml:space="preserve"> legislated or contractual rights. Coercive techniques include locking consumers out of their accounts, stranding digital assets, damaging credit scores by contesting chargebacks, and compelling settlement agreements.</w:t>
      </w:r>
      <w:r>
        <w:rPr>
          <w:rStyle w:val="EndnoteReference"/>
          <w:lang w:val="en-US"/>
        </w:rPr>
        <w:endnoteReference w:id="177"/>
      </w:r>
      <w:r>
        <w:rPr>
          <w:lang w:val="en-US"/>
        </w:rPr>
        <w:t xml:space="preserve"> </w:t>
      </w:r>
    </w:p>
    <w:p w14:paraId="79BCBC1C" w14:textId="77777777" w:rsidR="00FA4D57" w:rsidRDefault="00FA4D57" w:rsidP="00E61868">
      <w:pPr>
        <w:spacing w:after="0"/>
        <w:rPr>
          <w:lang w:val="en-US"/>
        </w:rPr>
      </w:pPr>
    </w:p>
    <w:p w14:paraId="3BC0B47A" w14:textId="77777777" w:rsidR="00CC3C8E" w:rsidRDefault="001A10D6" w:rsidP="00E61868">
      <w:pPr>
        <w:spacing w:after="0"/>
        <w:rPr>
          <w:lang w:val="en-US"/>
        </w:rPr>
      </w:pPr>
      <w:r>
        <w:rPr>
          <w:lang w:val="en-US"/>
        </w:rPr>
        <w:t>Consumers may also often find it impractical to enforce their rights, particularly for the kinds of routine transactions and activities that take place in the digital marketplace.</w:t>
      </w:r>
      <w:r w:rsidR="009E0094">
        <w:rPr>
          <w:lang w:val="en-US"/>
        </w:rPr>
        <w:t xml:space="preserve"> </w:t>
      </w:r>
    </w:p>
    <w:p w14:paraId="1426E567" w14:textId="77777777" w:rsidR="00CC3C8E" w:rsidRDefault="00CC3C8E" w:rsidP="00E61868">
      <w:pPr>
        <w:spacing w:after="0"/>
        <w:rPr>
          <w:lang w:val="en-US"/>
        </w:rPr>
      </w:pPr>
    </w:p>
    <w:p w14:paraId="70762584" w14:textId="760D7138" w:rsidR="00110F97" w:rsidRDefault="00CC3C8E" w:rsidP="00E61868">
      <w:pPr>
        <w:spacing w:after="0"/>
        <w:rPr>
          <w:lang w:val="en-US"/>
        </w:rPr>
      </w:pPr>
      <w:r>
        <w:rPr>
          <w:lang w:val="en-US"/>
        </w:rPr>
        <w:t xml:space="preserve">Finally, </w:t>
      </w:r>
      <w:r w:rsidR="006D6EAE">
        <w:rPr>
          <w:lang w:val="en-US"/>
        </w:rPr>
        <w:t>t</w:t>
      </w:r>
      <w:r w:rsidR="00110F97">
        <w:rPr>
          <w:lang w:val="en-US"/>
        </w:rPr>
        <w:t>he sheer number and scope of supplier practices is also difficult to police</w:t>
      </w:r>
      <w:r w:rsidR="0047680F">
        <w:rPr>
          <w:lang w:val="en-US"/>
        </w:rPr>
        <w:t xml:space="preserve">, suggesting </w:t>
      </w:r>
      <w:r w:rsidR="00110F97">
        <w:rPr>
          <w:lang w:val="en-US"/>
        </w:rPr>
        <w:t xml:space="preserve">the need for proactive and systemic </w:t>
      </w:r>
      <w:r w:rsidR="0047680F">
        <w:rPr>
          <w:lang w:val="en-US"/>
        </w:rPr>
        <w:t>enforcement strategies.</w:t>
      </w:r>
    </w:p>
    <w:p w14:paraId="3CD55205" w14:textId="0E5A6904" w:rsidR="00C8504C" w:rsidRDefault="00C8504C" w:rsidP="00E61868">
      <w:pPr>
        <w:spacing w:after="0"/>
        <w:rPr>
          <w:lang w:val="en-US"/>
        </w:rPr>
      </w:pPr>
    </w:p>
    <w:p w14:paraId="0E321702" w14:textId="7E9EE674" w:rsidR="00C8504C" w:rsidRPr="001F366E" w:rsidRDefault="00390309" w:rsidP="00390309">
      <w:pPr>
        <w:pStyle w:val="Heading2"/>
        <w:rPr>
          <w:lang w:val="en-US"/>
        </w:rPr>
      </w:pPr>
      <w:bookmarkStart w:id="58" w:name="_Toc138151849"/>
      <w:r>
        <w:rPr>
          <w:lang w:val="en-US"/>
        </w:rPr>
        <w:t xml:space="preserve">4.8 </w:t>
      </w:r>
      <w:r w:rsidR="00C8504C">
        <w:rPr>
          <w:lang w:val="en-US"/>
        </w:rPr>
        <w:t>Consumer Protection Laws Can Conflict</w:t>
      </w:r>
      <w:r w:rsidR="006D6EAE">
        <w:rPr>
          <w:lang w:val="en-US"/>
        </w:rPr>
        <w:t xml:space="preserve"> and </w:t>
      </w:r>
      <w:r w:rsidR="00C8504C">
        <w:rPr>
          <w:lang w:val="en-US"/>
        </w:rPr>
        <w:t>Overlap with Other Laws</w:t>
      </w:r>
      <w:bookmarkEnd w:id="58"/>
      <w:r w:rsidR="00C8504C">
        <w:rPr>
          <w:lang w:val="en-US"/>
        </w:rPr>
        <w:t xml:space="preserve"> </w:t>
      </w:r>
    </w:p>
    <w:p w14:paraId="623E7C6D" w14:textId="77777777" w:rsidR="00C8504C" w:rsidRPr="00E61868" w:rsidRDefault="00C8504C" w:rsidP="00E61868">
      <w:pPr>
        <w:spacing w:after="0"/>
        <w:rPr>
          <w:lang w:val="en-US"/>
        </w:rPr>
      </w:pPr>
    </w:p>
    <w:p w14:paraId="3DE6C0E7" w14:textId="7CCB3955" w:rsidR="007D7F8D" w:rsidRDefault="007D7F8D" w:rsidP="00C8504C">
      <w:pPr>
        <w:spacing w:after="0"/>
      </w:pPr>
      <w:r>
        <w:t>More people than ever use digital services for work, education, recreation, communication, or to find jobs and housing.</w:t>
      </w:r>
      <w:r w:rsidR="009E0094">
        <w:t xml:space="preserve"> </w:t>
      </w:r>
      <w:r>
        <w:t>As a result, a</w:t>
      </w:r>
      <w:r w:rsidR="0047680F">
        <w:t xml:space="preserve"> significant proportion of consumer transactions are now conducted through digital intermediaries. </w:t>
      </w:r>
    </w:p>
    <w:p w14:paraId="40C050DA" w14:textId="77777777" w:rsidR="007D7F8D" w:rsidRDefault="007D7F8D" w:rsidP="00C8504C">
      <w:pPr>
        <w:spacing w:after="0"/>
      </w:pPr>
    </w:p>
    <w:p w14:paraId="5216BF23" w14:textId="4B705E42" w:rsidR="0069090C" w:rsidRDefault="0069090C" w:rsidP="00C8504C">
      <w:pPr>
        <w:spacing w:after="0"/>
      </w:pPr>
      <w:r>
        <w:t xml:space="preserve">The reach of the digital marketplace to all facets of life means </w:t>
      </w:r>
      <w:r w:rsidR="00A53BEE">
        <w:t xml:space="preserve">that </w:t>
      </w:r>
      <w:r>
        <w:t xml:space="preserve">consumer contracts now intersect with many other areas of private and public law. </w:t>
      </w:r>
      <w:r w:rsidR="00C8504C">
        <w:t xml:space="preserve">As a result, </w:t>
      </w:r>
      <w:r>
        <w:t xml:space="preserve">ToS </w:t>
      </w:r>
      <w:r w:rsidR="00C8504C">
        <w:t xml:space="preserve">often mean </w:t>
      </w:r>
      <w:r>
        <w:t xml:space="preserve">consumer </w:t>
      </w:r>
      <w:r w:rsidR="00C8504C">
        <w:t xml:space="preserve">protection </w:t>
      </w:r>
      <w:r w:rsidR="006D6EAE">
        <w:t xml:space="preserve">rules </w:t>
      </w:r>
      <w:r w:rsidR="004F20C0">
        <w:t xml:space="preserve">may </w:t>
      </w:r>
      <w:r w:rsidR="006D6EAE">
        <w:t xml:space="preserve">overlap or collide with </w:t>
      </w:r>
      <w:r>
        <w:t>other laws.</w:t>
      </w:r>
      <w:r w:rsidR="009E0094">
        <w:t xml:space="preserve"> </w:t>
      </w:r>
      <w:r>
        <w:t>Examples include:</w:t>
      </w:r>
    </w:p>
    <w:p w14:paraId="3094C327" w14:textId="77777777" w:rsidR="00C8504C" w:rsidRDefault="00C8504C" w:rsidP="00C8504C">
      <w:pPr>
        <w:spacing w:after="0"/>
      </w:pPr>
    </w:p>
    <w:p w14:paraId="36EF2519" w14:textId="77777777" w:rsidR="00C8504C" w:rsidRDefault="00C8504C" w:rsidP="00470F77">
      <w:pPr>
        <w:pStyle w:val="ListParagraph"/>
        <w:numPr>
          <w:ilvl w:val="0"/>
          <w:numId w:val="3"/>
        </w:numPr>
      </w:pPr>
      <w:r>
        <w:t xml:space="preserve">Privacy law </w:t>
      </w:r>
    </w:p>
    <w:p w14:paraId="683350AD" w14:textId="077D3E98" w:rsidR="004D7AE3" w:rsidRDefault="004D7AE3" w:rsidP="00470F77">
      <w:pPr>
        <w:pStyle w:val="ListParagraph"/>
        <w:numPr>
          <w:ilvl w:val="0"/>
          <w:numId w:val="3"/>
        </w:numPr>
      </w:pPr>
      <w:r>
        <w:t>Human rights law</w:t>
      </w:r>
    </w:p>
    <w:p w14:paraId="4DAF7A0E" w14:textId="1D7F28A5" w:rsidR="0069090C" w:rsidRDefault="00ED27B1" w:rsidP="00470F77">
      <w:pPr>
        <w:pStyle w:val="ListParagraph"/>
        <w:numPr>
          <w:ilvl w:val="0"/>
          <w:numId w:val="3"/>
        </w:numPr>
      </w:pPr>
      <w:r>
        <w:t xml:space="preserve">Employment </w:t>
      </w:r>
      <w:r w:rsidR="0069090C">
        <w:t>and labour law</w:t>
      </w:r>
    </w:p>
    <w:p w14:paraId="2F355152" w14:textId="560F6BA2" w:rsidR="0069090C" w:rsidRDefault="00ED27B1" w:rsidP="00470F77">
      <w:pPr>
        <w:pStyle w:val="ListParagraph"/>
        <w:numPr>
          <w:ilvl w:val="0"/>
          <w:numId w:val="3"/>
        </w:numPr>
      </w:pPr>
      <w:r>
        <w:t xml:space="preserve">Product </w:t>
      </w:r>
      <w:r w:rsidR="0069090C">
        <w:t xml:space="preserve">safety </w:t>
      </w:r>
    </w:p>
    <w:p w14:paraId="554DFDD1" w14:textId="75AEBAC7" w:rsidR="004D7AE3" w:rsidRDefault="004D7AE3" w:rsidP="00470F77">
      <w:pPr>
        <w:pStyle w:val="ListParagraph"/>
        <w:numPr>
          <w:ilvl w:val="0"/>
          <w:numId w:val="3"/>
        </w:numPr>
      </w:pPr>
      <w:r>
        <w:t>Competition law</w:t>
      </w:r>
    </w:p>
    <w:p w14:paraId="1F4FA928" w14:textId="4B406386" w:rsidR="00C8504C" w:rsidRDefault="00ED27B1" w:rsidP="00470F77">
      <w:pPr>
        <w:pStyle w:val="ListParagraph"/>
        <w:numPr>
          <w:ilvl w:val="0"/>
          <w:numId w:val="3"/>
        </w:numPr>
      </w:pPr>
      <w:r>
        <w:t xml:space="preserve">Youth </w:t>
      </w:r>
      <w:r w:rsidR="0069090C">
        <w:t>consent</w:t>
      </w:r>
      <w:r w:rsidR="004D7AE3">
        <w:t>.</w:t>
      </w:r>
    </w:p>
    <w:p w14:paraId="777D9416" w14:textId="77777777" w:rsidR="007D7F8D" w:rsidRDefault="007D7F8D" w:rsidP="007A41A0">
      <w:pPr>
        <w:pStyle w:val="ListParagraph"/>
      </w:pPr>
    </w:p>
    <w:p w14:paraId="26C446C4" w14:textId="21D5C947" w:rsidR="0086292E" w:rsidRDefault="00390309" w:rsidP="00390309">
      <w:pPr>
        <w:pStyle w:val="Heading2"/>
      </w:pPr>
      <w:bookmarkStart w:id="59" w:name="_Toc138151850"/>
      <w:r>
        <w:t xml:space="preserve">4.9 </w:t>
      </w:r>
      <w:r w:rsidR="0086292E">
        <w:t>The Limits of Litigation</w:t>
      </w:r>
      <w:bookmarkEnd w:id="59"/>
      <w:r w:rsidR="0086292E">
        <w:t xml:space="preserve"> </w:t>
      </w:r>
    </w:p>
    <w:p w14:paraId="694AFCA8" w14:textId="77777777" w:rsidR="0086292E" w:rsidRDefault="0086292E" w:rsidP="0086292E">
      <w:pPr>
        <w:spacing w:after="0"/>
      </w:pPr>
    </w:p>
    <w:p w14:paraId="200B982F" w14:textId="49FBF717" w:rsidR="0086292E" w:rsidRDefault="0086292E" w:rsidP="0086292E">
      <w:r>
        <w:t xml:space="preserve">In the absence of legislation governing consumer </w:t>
      </w:r>
      <w:r w:rsidR="00252701">
        <w:t>protection</w:t>
      </w:r>
      <w:r>
        <w:t xml:space="preserve"> in the digital marketplace, some consumers have turned to Canadian courts.</w:t>
      </w:r>
    </w:p>
    <w:p w14:paraId="38F219DB" w14:textId="50F28A61" w:rsidR="00194C70" w:rsidRDefault="00CC3C8E" w:rsidP="00194C70">
      <w:r>
        <w:t xml:space="preserve">Litigation </w:t>
      </w:r>
      <w:r w:rsidR="00194C70">
        <w:t xml:space="preserve">will always be a fundamental strategy to protect and promote consumer rights. That said, there may be important </w:t>
      </w:r>
      <w:r w:rsidR="006D6EAE">
        <w:t xml:space="preserve">limits </w:t>
      </w:r>
      <w:r w:rsidR="00194C70">
        <w:t xml:space="preserve">on the benefits of </w:t>
      </w:r>
      <w:r w:rsidR="006D6EAE">
        <w:t xml:space="preserve">individual or even collective litigation to address </w:t>
      </w:r>
      <w:r w:rsidR="0086292E">
        <w:lastRenderedPageBreak/>
        <w:t xml:space="preserve">consumer </w:t>
      </w:r>
      <w:r w:rsidR="00BF20F8">
        <w:t xml:space="preserve">hostile </w:t>
      </w:r>
      <w:r w:rsidR="0086292E">
        <w:t>behaviour.</w:t>
      </w:r>
      <w:r w:rsidR="00194C70">
        <w:t xml:space="preserve"> For example,</w:t>
      </w:r>
      <w:r w:rsidR="00186AC3">
        <w:t xml:space="preserve"> </w:t>
      </w:r>
      <w:r>
        <w:t>l</w:t>
      </w:r>
      <w:r w:rsidR="0086292E">
        <w:t xml:space="preserve">itigation </w:t>
      </w:r>
      <w:r>
        <w:t xml:space="preserve">may </w:t>
      </w:r>
      <w:r w:rsidR="006A1AA3">
        <w:t>lag</w:t>
      </w:r>
      <w:r w:rsidR="0086292E">
        <w:t xml:space="preserve"> </w:t>
      </w:r>
      <w:r w:rsidR="005C63FF">
        <w:t xml:space="preserve">business </w:t>
      </w:r>
      <w:r w:rsidR="0086292E">
        <w:t>practices</w:t>
      </w:r>
      <w:r w:rsidR="00194C70">
        <w:t xml:space="preserve"> in the complex, fast-paced, and constantly evolving digital marketplace, meaning that court decisions </w:t>
      </w:r>
      <w:r w:rsidR="0086292E">
        <w:t xml:space="preserve">may </w:t>
      </w:r>
      <w:r w:rsidR="00194C70">
        <w:t>have limited impact on the business practices of the defendant or as precedents in other context</w:t>
      </w:r>
      <w:r w:rsidR="00EA110C">
        <w:t>s</w:t>
      </w:r>
      <w:r w:rsidR="00194C70">
        <w:t>.</w:t>
      </w:r>
      <w:r w:rsidR="00F5437E">
        <w:t xml:space="preserve"> </w:t>
      </w:r>
      <w:r w:rsidR="00194C70">
        <w:t xml:space="preserve">Less scrupulous actors may also seek to strategically exploit the reactive and slow pace of litigation. It was recently revealed, for instance, that Uber </w:t>
      </w:r>
      <w:r w:rsidR="00194C70" w:rsidRPr="006B51E6">
        <w:t xml:space="preserve">intentionally adopted </w:t>
      </w:r>
      <w:r w:rsidR="00194C70">
        <w:t>an aggressive</w:t>
      </w:r>
      <w:r w:rsidR="00194C70" w:rsidRPr="006B51E6">
        <w:t xml:space="preserve"> litigation strategy to delay</w:t>
      </w:r>
      <w:r w:rsidR="00194C70">
        <w:t xml:space="preserve"> government and </w:t>
      </w:r>
      <w:r w:rsidR="00194C70" w:rsidRPr="006B51E6">
        <w:t xml:space="preserve">allow </w:t>
      </w:r>
      <w:r w:rsidR="00194C70">
        <w:t xml:space="preserve">more time for lobbying and to </w:t>
      </w:r>
      <w:r w:rsidR="00194C70" w:rsidRPr="006B51E6">
        <w:t>normaliz</w:t>
      </w:r>
      <w:r w:rsidR="00194C70">
        <w:t>e public perception of</w:t>
      </w:r>
      <w:r w:rsidR="00194C70" w:rsidRPr="006B51E6">
        <w:t xml:space="preserve"> their business model in the interim</w:t>
      </w:r>
      <w:r w:rsidR="00194C70">
        <w:t>.</w:t>
      </w:r>
      <w:r w:rsidR="00194C70">
        <w:rPr>
          <w:rStyle w:val="EndnoteReference"/>
        </w:rPr>
        <w:endnoteReference w:id="178"/>
      </w:r>
    </w:p>
    <w:p w14:paraId="7758FBDA" w14:textId="577F7591" w:rsidR="00194C70" w:rsidRDefault="00194C70" w:rsidP="0086292E">
      <w:r>
        <w:t xml:space="preserve">The most significant “limit of litigation,” however, is rooted in access to justice: </w:t>
      </w:r>
      <w:r w:rsidR="00F5437E">
        <w:t>c</w:t>
      </w:r>
      <w:r w:rsidR="00233207">
        <w:t>onsumer lawsuits c</w:t>
      </w:r>
      <w:r>
        <w:t xml:space="preserve">hallenging </w:t>
      </w:r>
      <w:r w:rsidR="00233207">
        <w:t xml:space="preserve">online </w:t>
      </w:r>
      <w:r>
        <w:t xml:space="preserve">business practices </w:t>
      </w:r>
      <w:r w:rsidR="00233207">
        <w:t>are inevitably expensive, lengthy, and complex legally. Only the best-resource</w:t>
      </w:r>
      <w:r w:rsidR="001C1299">
        <w:t>d</w:t>
      </w:r>
      <w:r w:rsidR="00233207">
        <w:t xml:space="preserve"> litigants are likely to be capable of initiating such actions.</w:t>
      </w:r>
      <w:r w:rsidR="00F5437E">
        <w:t xml:space="preserve"> </w:t>
      </w:r>
      <w:r w:rsidR="00E95793">
        <w:t xml:space="preserve">Individual consumers are unlikely to have the resources, time, or capability to litigate their </w:t>
      </w:r>
      <w:r w:rsidR="00F14786">
        <w:t>individual</w:t>
      </w:r>
      <w:r w:rsidR="00E95793">
        <w:t xml:space="preserve"> disputes, particularly when the monetary value of these suits is often so low.  </w:t>
      </w:r>
    </w:p>
    <w:p w14:paraId="0069CA2C" w14:textId="52879E36" w:rsidR="0086292E" w:rsidRDefault="00FE2A9D" w:rsidP="0086292E">
      <w:pPr>
        <w:spacing w:after="0" w:line="240" w:lineRule="auto"/>
      </w:pPr>
      <w:r>
        <w:t xml:space="preserve">Some Canadian courts have </w:t>
      </w:r>
      <w:r w:rsidR="0086292E">
        <w:t>acknowledge</w:t>
      </w:r>
      <w:r>
        <w:t>d</w:t>
      </w:r>
      <w:r w:rsidR="0086292E">
        <w:t xml:space="preserve"> the</w:t>
      </w:r>
      <w:r w:rsidR="006D6EAE">
        <w:t xml:space="preserve"> </w:t>
      </w:r>
      <w:r w:rsidR="0086292E">
        <w:t>limit</w:t>
      </w:r>
      <w:r>
        <w:t xml:space="preserve">s of </w:t>
      </w:r>
      <w:r w:rsidR="00952B7A">
        <w:t xml:space="preserve">the </w:t>
      </w:r>
      <w:r>
        <w:t xml:space="preserve">judicial </w:t>
      </w:r>
      <w:r w:rsidR="00952B7A">
        <w:t>process</w:t>
      </w:r>
      <w:r>
        <w:t xml:space="preserve"> to address the </w:t>
      </w:r>
      <w:r w:rsidR="0086292E">
        <w:t xml:space="preserve">breadth of </w:t>
      </w:r>
      <w:r w:rsidR="005C63FF">
        <w:t xml:space="preserve">novel </w:t>
      </w:r>
      <w:r w:rsidR="0086292E">
        <w:t xml:space="preserve">issues </w:t>
      </w:r>
      <w:r>
        <w:t xml:space="preserve">in the digital marketplace, particularly </w:t>
      </w:r>
      <w:r w:rsidR="00952B7A">
        <w:t xml:space="preserve">given the </w:t>
      </w:r>
      <w:r w:rsidR="00952B7A" w:rsidRPr="00952B7A">
        <w:t>power imbalance between the supplier and consumer</w:t>
      </w:r>
      <w:r w:rsidR="00952B7A">
        <w:t>, and the reality that consumers often can’t practically choose to participate in many services despite the potential consequences</w:t>
      </w:r>
      <w:r w:rsidR="0086292E">
        <w:t>.</w:t>
      </w:r>
      <w:r w:rsidR="009C5F86">
        <w:rPr>
          <w:rStyle w:val="EndnoteReference"/>
        </w:rPr>
        <w:endnoteReference w:id="179"/>
      </w:r>
    </w:p>
    <w:p w14:paraId="757DBD0B" w14:textId="77777777" w:rsidR="0086292E" w:rsidRDefault="0086292E" w:rsidP="0086292E">
      <w:pPr>
        <w:spacing w:after="0" w:line="240" w:lineRule="auto"/>
      </w:pPr>
    </w:p>
    <w:p w14:paraId="30D1F42B" w14:textId="56FC079B" w:rsidR="0086292E" w:rsidRDefault="00FE2A9D" w:rsidP="001F366E">
      <w:pPr>
        <w:spacing w:after="0" w:line="240" w:lineRule="auto"/>
      </w:pPr>
      <w:r>
        <w:t xml:space="preserve">Some Canadian courts have also acknowledged the need for </w:t>
      </w:r>
      <w:r w:rsidR="006D6EAE">
        <w:t xml:space="preserve">a </w:t>
      </w:r>
      <w:r w:rsidR="00F97DA5">
        <w:t xml:space="preserve">more </w:t>
      </w:r>
      <w:r w:rsidR="0086292E">
        <w:t>comprehensive and coordinated approach</w:t>
      </w:r>
      <w:r w:rsidR="00F97DA5">
        <w:t xml:space="preserve"> amidst a provincial patchwork of consumer laws</w:t>
      </w:r>
      <w:r w:rsidR="0086292E">
        <w:t xml:space="preserve">. </w:t>
      </w:r>
      <w:r w:rsidR="006D6EAE">
        <w:t>A BC court r</w:t>
      </w:r>
      <w:r w:rsidR="0086292E">
        <w:t>ecent</w:t>
      </w:r>
      <w:r w:rsidR="006D6EAE">
        <w:t>ly</w:t>
      </w:r>
      <w:r w:rsidR="0086292E">
        <w:t xml:space="preserve"> accept</w:t>
      </w:r>
      <w:r w:rsidR="006D6EAE">
        <w:t>ed</w:t>
      </w:r>
      <w:r w:rsidR="0086292E">
        <w:t>, for the first time in Canada, inter-provincial jurisdiction over consumer disputes.</w:t>
      </w:r>
      <w:r w:rsidR="0086292E">
        <w:rPr>
          <w:rStyle w:val="EndnoteReference"/>
        </w:rPr>
        <w:endnoteReference w:id="180"/>
      </w:r>
      <w:r w:rsidR="0086292E">
        <w:t xml:space="preserve"> Th</w:t>
      </w:r>
      <w:r w:rsidR="006D6EAE">
        <w:t xml:space="preserve">is decision </w:t>
      </w:r>
      <w:r w:rsidR="0086292E">
        <w:t xml:space="preserve">is </w:t>
      </w:r>
      <w:r w:rsidR="006D6EAE">
        <w:t xml:space="preserve">likely </w:t>
      </w:r>
      <w:r w:rsidR="0086292E">
        <w:t>to be treated skeptically by other governments and courts</w:t>
      </w:r>
      <w:r w:rsidR="006D6EAE">
        <w:t>.</w:t>
      </w:r>
      <w:r w:rsidR="0086292E">
        <w:rPr>
          <w:rStyle w:val="EndnoteReference"/>
        </w:rPr>
        <w:endnoteReference w:id="181"/>
      </w:r>
      <w:r w:rsidR="0086292E">
        <w:t xml:space="preserve"> </w:t>
      </w:r>
      <w:r w:rsidR="006D6EAE">
        <w:t xml:space="preserve">Nevertheless, the decision </w:t>
      </w:r>
      <w:r w:rsidR="00E95793">
        <w:t xml:space="preserve">highlights </w:t>
      </w:r>
      <w:r w:rsidR="0086292E">
        <w:t xml:space="preserve">the need </w:t>
      </w:r>
      <w:r w:rsidR="006D6EAE">
        <w:t xml:space="preserve">for </w:t>
      </w:r>
      <w:r w:rsidR="0086292E">
        <w:t>a comprehensive and coordinated approach to digital marketplace regulation.</w:t>
      </w:r>
    </w:p>
    <w:p w14:paraId="4D8473DF" w14:textId="77777777" w:rsidR="001F366E" w:rsidRDefault="001F366E" w:rsidP="001F366E">
      <w:pPr>
        <w:spacing w:after="0" w:line="240" w:lineRule="auto"/>
      </w:pPr>
    </w:p>
    <w:p w14:paraId="0190E054" w14:textId="22CF69EE" w:rsidR="0086292E" w:rsidRDefault="00BF0839" w:rsidP="0086292E">
      <w:r>
        <w:t xml:space="preserve">Despite these </w:t>
      </w:r>
      <w:r w:rsidR="006D6EAE">
        <w:t>limitations</w:t>
      </w:r>
      <w:r w:rsidR="0086292E">
        <w:t xml:space="preserve">, </w:t>
      </w:r>
      <w:r w:rsidR="006D6EAE">
        <w:t xml:space="preserve">Canadian </w:t>
      </w:r>
      <w:r w:rsidR="00FE2A9D">
        <w:t>court</w:t>
      </w:r>
      <w:r w:rsidR="006D6EAE">
        <w:t>s</w:t>
      </w:r>
      <w:r w:rsidR="00FE2A9D">
        <w:t xml:space="preserve"> </w:t>
      </w:r>
      <w:r w:rsidR="0086292E">
        <w:t xml:space="preserve">have begun to interpret consumer contract law </w:t>
      </w:r>
      <w:r w:rsidR="00FE2A9D">
        <w:t xml:space="preserve">to account for the </w:t>
      </w:r>
      <w:r w:rsidR="0086292E">
        <w:t>digital marketplace.</w:t>
      </w:r>
      <w:r w:rsidR="009E0094">
        <w:t xml:space="preserve"> </w:t>
      </w:r>
      <w:r w:rsidR="0086292E">
        <w:t xml:space="preserve">A series of relatively recent provincial and Supreme Court decisions </w:t>
      </w:r>
      <w:r w:rsidR="00FE2A9D">
        <w:t>have held that</w:t>
      </w:r>
      <w:r w:rsidR="0086292E">
        <w:t>:</w:t>
      </w:r>
    </w:p>
    <w:p w14:paraId="2DFAADAA" w14:textId="1DEF502D" w:rsidR="0086292E" w:rsidRDefault="00FE2A9D" w:rsidP="00470F77">
      <w:pPr>
        <w:pStyle w:val="ListParagraph"/>
        <w:numPr>
          <w:ilvl w:val="0"/>
          <w:numId w:val="6"/>
        </w:numPr>
        <w:spacing w:after="0" w:line="240" w:lineRule="auto"/>
      </w:pPr>
      <w:r>
        <w:t xml:space="preserve">The </w:t>
      </w:r>
      <w:r w:rsidR="0086292E" w:rsidRPr="00D1290E">
        <w:t>unequal bargaining power</w:t>
      </w:r>
      <w:r w:rsidR="0086292E">
        <w:t xml:space="preserve"> between consumers and </w:t>
      </w:r>
      <w:r w:rsidR="00F03B04">
        <w:t>digital marketplace suppliers</w:t>
      </w:r>
      <w:r w:rsidR="006D6EAE">
        <w:t xml:space="preserve"> </w:t>
      </w:r>
      <w:r w:rsidR="004A2816">
        <w:t xml:space="preserve">suggests </w:t>
      </w:r>
      <w:r w:rsidR="00F30F24">
        <w:t>the need for a large and liberal interpretation of legislation in favor of consumer</w:t>
      </w:r>
      <w:r w:rsidR="004A2816">
        <w:t xml:space="preserve"> protection</w:t>
      </w:r>
      <w:r w:rsidR="000E271B">
        <w:t>.</w:t>
      </w:r>
      <w:r w:rsidR="000E271B">
        <w:rPr>
          <w:rStyle w:val="EndnoteReference"/>
        </w:rPr>
        <w:endnoteReference w:id="182"/>
      </w:r>
    </w:p>
    <w:p w14:paraId="174CA6DA" w14:textId="77777777" w:rsidR="006D6EAE" w:rsidRDefault="006D6EAE" w:rsidP="007A41A0">
      <w:pPr>
        <w:pStyle w:val="ListParagraph"/>
        <w:spacing w:after="0" w:line="240" w:lineRule="auto"/>
      </w:pPr>
    </w:p>
    <w:p w14:paraId="1F77C178" w14:textId="1928C12F" w:rsidR="0092669D" w:rsidRDefault="004A2816" w:rsidP="00470F77">
      <w:pPr>
        <w:pStyle w:val="ListParagraph"/>
        <w:numPr>
          <w:ilvl w:val="0"/>
          <w:numId w:val="6"/>
        </w:numPr>
        <w:spacing w:after="0" w:line="240" w:lineRule="auto"/>
      </w:pPr>
      <w:r>
        <w:t>Courts should actively consider m</w:t>
      </w:r>
      <w:r w:rsidR="0092669D">
        <w:t xml:space="preserve">arket </w:t>
      </w:r>
      <w:r w:rsidR="00D42EF8">
        <w:t>environment</w:t>
      </w:r>
      <w:r w:rsidR="0092669D">
        <w:t xml:space="preserve"> </w:t>
      </w:r>
      <w:r w:rsidR="007D7280">
        <w:t xml:space="preserve">or </w:t>
      </w:r>
      <w:r w:rsidR="007D7280" w:rsidRPr="007D7280">
        <w:rPr>
          <w:b/>
          <w:bCs/>
          <w:color w:val="FF0000"/>
        </w:rPr>
        <w:t>market contexts</w:t>
      </w:r>
      <w:r w:rsidR="007D7280" w:rsidRPr="007D7280">
        <w:rPr>
          <w:color w:val="FF0000"/>
        </w:rPr>
        <w:t xml:space="preserve"> </w:t>
      </w:r>
      <w:r w:rsidR="000311C4">
        <w:t>shap</w:t>
      </w:r>
      <w:r>
        <w:t xml:space="preserve">ing </w:t>
      </w:r>
      <w:r w:rsidR="000311C4">
        <w:t>supplier/consumer relationships in</w:t>
      </w:r>
      <w:r w:rsidR="0092669D">
        <w:t xml:space="preserve"> the digital marketplace, </w:t>
      </w:r>
      <w:r w:rsidR="0092669D" w:rsidRPr="00D1290E">
        <w:t xml:space="preserve">including </w:t>
      </w:r>
      <w:r w:rsidR="0092669D">
        <w:t xml:space="preserve">lack of </w:t>
      </w:r>
      <w:r>
        <w:t xml:space="preserve">consumer </w:t>
      </w:r>
      <w:r w:rsidR="0092669D">
        <w:t>choice</w:t>
      </w:r>
      <w:r>
        <w:t xml:space="preserve"> and difficulty </w:t>
      </w:r>
      <w:r w:rsidR="007767DC">
        <w:t>of seeking redress for minor transactions</w:t>
      </w:r>
      <w:r w:rsidR="000E271B">
        <w:t>.</w:t>
      </w:r>
      <w:r w:rsidR="000E271B">
        <w:rPr>
          <w:rStyle w:val="EndnoteReference"/>
        </w:rPr>
        <w:endnoteReference w:id="183"/>
      </w:r>
    </w:p>
    <w:p w14:paraId="523BC095" w14:textId="77777777" w:rsidR="006D6EAE" w:rsidRDefault="006D6EAE" w:rsidP="007A41A0">
      <w:pPr>
        <w:pStyle w:val="ListParagraph"/>
        <w:spacing w:after="0" w:line="240" w:lineRule="auto"/>
      </w:pPr>
    </w:p>
    <w:p w14:paraId="41E0FBE0" w14:textId="7263D8BD" w:rsidR="004A2816" w:rsidRDefault="00DD275D" w:rsidP="00470F77">
      <w:pPr>
        <w:pStyle w:val="ListParagraph"/>
        <w:numPr>
          <w:ilvl w:val="0"/>
          <w:numId w:val="6"/>
        </w:numPr>
        <w:spacing w:after="0" w:line="240" w:lineRule="auto"/>
      </w:pPr>
      <w:r>
        <w:t xml:space="preserve">Consumer </w:t>
      </w:r>
      <w:r w:rsidR="004A2816">
        <w:t xml:space="preserve">ToS </w:t>
      </w:r>
      <w:r>
        <w:t xml:space="preserve">may be found unconscionable where </w:t>
      </w:r>
      <w:r w:rsidR="004A2816">
        <w:t xml:space="preserve">terms </w:t>
      </w:r>
      <w:r>
        <w:t>prefer</w:t>
      </w:r>
      <w:r w:rsidR="00FE2A9D">
        <w:t xml:space="preserve"> the law of foreign jurisdictions</w:t>
      </w:r>
      <w:r w:rsidR="004A2816">
        <w:t xml:space="preserve">, </w:t>
      </w:r>
      <w:r>
        <w:t>contract</w:t>
      </w:r>
      <w:r w:rsidR="00FE2A9D">
        <w:t xml:space="preserve"> out of labour and employment legis</w:t>
      </w:r>
      <w:r w:rsidR="0092669D">
        <w:t xml:space="preserve">lation, </w:t>
      </w:r>
      <w:r>
        <w:t>waive</w:t>
      </w:r>
      <w:r w:rsidR="004A2816">
        <w:t xml:space="preserve"> </w:t>
      </w:r>
      <w:r w:rsidR="0092669D">
        <w:t xml:space="preserve">local class action or privacy rights, or </w:t>
      </w:r>
      <w:r>
        <w:t>impose</w:t>
      </w:r>
      <w:r w:rsidR="0092669D">
        <w:t xml:space="preserve"> dispute resolution jurisdict</w:t>
      </w:r>
      <w:r w:rsidR="003802CD">
        <w:t>ions</w:t>
      </w:r>
      <w:r w:rsidR="000E271B">
        <w:t>.</w:t>
      </w:r>
      <w:r w:rsidR="000E271B">
        <w:rPr>
          <w:rStyle w:val="EndnoteReference"/>
        </w:rPr>
        <w:endnoteReference w:id="184"/>
      </w:r>
    </w:p>
    <w:p w14:paraId="1947284E" w14:textId="77777777" w:rsidR="004A2816" w:rsidRDefault="004A2816" w:rsidP="007A41A0">
      <w:pPr>
        <w:spacing w:after="0"/>
      </w:pPr>
    </w:p>
    <w:p w14:paraId="36861113" w14:textId="77777777" w:rsidR="008D2995" w:rsidRDefault="004A2816" w:rsidP="00470F77">
      <w:pPr>
        <w:pStyle w:val="ListParagraph"/>
        <w:numPr>
          <w:ilvl w:val="0"/>
          <w:numId w:val="6"/>
        </w:numPr>
      </w:pPr>
      <w:r>
        <w:t>S</w:t>
      </w:r>
      <w:r w:rsidR="00FE2A9D">
        <w:t xml:space="preserve">eparate and distinct considerations </w:t>
      </w:r>
      <w:r>
        <w:t xml:space="preserve">are </w:t>
      </w:r>
      <w:r w:rsidR="00FE2A9D">
        <w:t>required to interpret standard-form contracts in consumer versus commercial con</w:t>
      </w:r>
      <w:r w:rsidR="0086292E">
        <w:t>texts</w:t>
      </w:r>
      <w:r w:rsidR="000E271B">
        <w:t>.</w:t>
      </w:r>
      <w:r w:rsidR="0086292E">
        <w:rPr>
          <w:rStyle w:val="EndnoteReference"/>
        </w:rPr>
        <w:endnoteReference w:id="185"/>
      </w:r>
    </w:p>
    <w:p w14:paraId="5049D58D" w14:textId="77777777" w:rsidR="008D2995" w:rsidRPr="008D2995" w:rsidRDefault="008D2995" w:rsidP="008D2995">
      <w:pPr>
        <w:pStyle w:val="ListParagraph"/>
        <w:rPr>
          <w:rStyle w:val="EndnoteReference"/>
          <w:vertAlign w:val="baseline"/>
        </w:rPr>
      </w:pPr>
    </w:p>
    <w:p w14:paraId="2B5778F5" w14:textId="1DBC9AF4" w:rsidR="008D2995" w:rsidRPr="008D2995" w:rsidRDefault="008D2995" w:rsidP="00470F77">
      <w:pPr>
        <w:pStyle w:val="ListParagraph"/>
        <w:numPr>
          <w:ilvl w:val="0"/>
          <w:numId w:val="6"/>
        </w:numPr>
        <w:rPr>
          <w:rStyle w:val="EndnoteReference"/>
          <w:vertAlign w:val="baseline"/>
        </w:rPr>
      </w:pPr>
      <w:r w:rsidRPr="008D2995">
        <w:rPr>
          <w:rStyle w:val="EndnoteReference"/>
          <w:vertAlign w:val="baseline"/>
        </w:rPr>
        <w:t xml:space="preserve">A class action </w:t>
      </w:r>
      <w:r>
        <w:t xml:space="preserve">in Canada </w:t>
      </w:r>
      <w:r w:rsidRPr="008D2995">
        <w:rPr>
          <w:rStyle w:val="EndnoteReference"/>
          <w:vertAlign w:val="baseline"/>
        </w:rPr>
        <w:t xml:space="preserve">against Epic for </w:t>
      </w:r>
      <w:r>
        <w:t xml:space="preserve">practices </w:t>
      </w:r>
      <w:r w:rsidR="0069172D">
        <w:t>like</w:t>
      </w:r>
      <w:r>
        <w:t xml:space="preserve"> those investigated by the </w:t>
      </w:r>
      <w:r w:rsidR="004F20C0">
        <w:t xml:space="preserve">U.S. Federal Trade Commission </w:t>
      </w:r>
      <w:r>
        <w:t>was certified to proceed as of December 2022.</w:t>
      </w:r>
      <w:r>
        <w:rPr>
          <w:rStyle w:val="EndnoteReference"/>
        </w:rPr>
        <w:endnoteReference w:id="186"/>
      </w:r>
    </w:p>
    <w:p w14:paraId="40841B6F" w14:textId="48AAF24E" w:rsidR="00081BDE" w:rsidRDefault="00130674" w:rsidP="00470F77">
      <w:pPr>
        <w:pStyle w:val="Heading1"/>
        <w:numPr>
          <w:ilvl w:val="0"/>
          <w:numId w:val="65"/>
        </w:numPr>
      </w:pPr>
      <w:bookmarkStart w:id="60" w:name="_Toc138151851"/>
      <w:bookmarkStart w:id="61" w:name="_Toc121093432"/>
      <w:r>
        <w:lastRenderedPageBreak/>
        <w:t>Consultation Issues and Questions</w:t>
      </w:r>
      <w:bookmarkEnd w:id="60"/>
      <w:r>
        <w:t xml:space="preserve"> </w:t>
      </w:r>
      <w:bookmarkEnd w:id="61"/>
      <w:r w:rsidR="00081BDE">
        <w:br/>
      </w:r>
    </w:p>
    <w:p w14:paraId="56C7408E" w14:textId="5FEB6A0E" w:rsidR="009642CC" w:rsidRDefault="008C3858" w:rsidP="007A41A0">
      <w:r>
        <w:t xml:space="preserve">The </w:t>
      </w:r>
      <w:r w:rsidR="009642CC">
        <w:t>provincial government’s 2023 Consultation Paper includes many significant reforms to update the CPA.</w:t>
      </w:r>
      <w:r w:rsidR="009E0094">
        <w:t xml:space="preserve"> </w:t>
      </w:r>
      <w:r>
        <w:t xml:space="preserve">As noted, </w:t>
      </w:r>
      <w:r w:rsidR="009642CC">
        <w:t xml:space="preserve">the LCO believes the provincial government’s proposed reforms do not </w:t>
      </w:r>
      <w:r>
        <w:t xml:space="preserve">go far enough to </w:t>
      </w:r>
      <w:r w:rsidR="009642CC">
        <w:t xml:space="preserve">address many consumer protection issues rights specific to the digital marketplace. </w:t>
      </w:r>
    </w:p>
    <w:p w14:paraId="27B66C51" w14:textId="7581F898" w:rsidR="00D95251" w:rsidRDefault="00D95251" w:rsidP="008546ED">
      <w:r>
        <w:t xml:space="preserve">This section identifies and discusses a range of </w:t>
      </w:r>
      <w:r w:rsidR="008C3858">
        <w:t xml:space="preserve">issues and </w:t>
      </w:r>
      <w:r>
        <w:t>proposals that go beyond the provincial government’s CPA proposals.</w:t>
      </w:r>
      <w:r w:rsidR="009E0094">
        <w:t xml:space="preserve"> </w:t>
      </w:r>
      <w:r w:rsidR="00015E0E">
        <w:t xml:space="preserve">These issues </w:t>
      </w:r>
      <w:r w:rsidR="008C3858">
        <w:t xml:space="preserve">and proposals </w:t>
      </w:r>
      <w:r w:rsidR="00015E0E">
        <w:t xml:space="preserve">are sometimes described as being part of a “new consumer agenda” </w:t>
      </w:r>
      <w:r w:rsidR="008C3858">
        <w:t xml:space="preserve">designed </w:t>
      </w:r>
      <w:r w:rsidR="00015E0E">
        <w:t>to protect consumers against a new, complex, and expansive range of risks in the digital economy.</w:t>
      </w:r>
      <w:r w:rsidR="00696E6C">
        <w:rPr>
          <w:rStyle w:val="EndnoteReference"/>
        </w:rPr>
        <w:endnoteReference w:id="187"/>
      </w:r>
      <w:r w:rsidR="009E0094">
        <w:t xml:space="preserve"> </w:t>
      </w:r>
      <w:r w:rsidR="008C3858">
        <w:t>These issues and principles form the basis of our Consultation Paper.</w:t>
      </w:r>
      <w:r w:rsidR="00015E0E">
        <w:t xml:space="preserve"> </w:t>
      </w:r>
    </w:p>
    <w:p w14:paraId="6AE5C9D5" w14:textId="77777777" w:rsidR="00D95251" w:rsidRDefault="00D95251" w:rsidP="00081BDE">
      <w:pPr>
        <w:spacing w:after="0" w:line="240" w:lineRule="auto"/>
      </w:pPr>
    </w:p>
    <w:p w14:paraId="3D8D8516" w14:textId="1F905A58" w:rsidR="00015E0E" w:rsidRDefault="00696E6C" w:rsidP="00015E0E">
      <w:pPr>
        <w:spacing w:after="0" w:line="240" w:lineRule="auto"/>
      </w:pPr>
      <w:r>
        <w:t>The range of these issues are explored in the following sections 6 through 11, which discuss:</w:t>
      </w:r>
    </w:p>
    <w:p w14:paraId="355DCB5B" w14:textId="77777777" w:rsidR="00015E0E" w:rsidRDefault="00015E0E" w:rsidP="007A41A0">
      <w:pPr>
        <w:spacing w:after="0" w:line="240" w:lineRule="auto"/>
      </w:pPr>
    </w:p>
    <w:p w14:paraId="79377B06" w14:textId="44F80498" w:rsidR="00015E0E" w:rsidRDefault="002B521B" w:rsidP="00470F77">
      <w:pPr>
        <w:pStyle w:val="ListParagraph"/>
        <w:numPr>
          <w:ilvl w:val="0"/>
          <w:numId w:val="63"/>
        </w:numPr>
      </w:pPr>
      <w:r>
        <w:t xml:space="preserve">Creating </w:t>
      </w:r>
      <w:r w:rsidR="007B4BB7">
        <w:t xml:space="preserve">dedicated and consistent consumer protection rules for online contracts </w:t>
      </w:r>
    </w:p>
    <w:p w14:paraId="666E4523" w14:textId="7FE6A134" w:rsidR="00015E0E" w:rsidRDefault="007B4BB7" w:rsidP="00470F77">
      <w:pPr>
        <w:pStyle w:val="ListParagraph"/>
        <w:numPr>
          <w:ilvl w:val="0"/>
          <w:numId w:val="63"/>
        </w:numPr>
      </w:pPr>
      <w:r>
        <w:t xml:space="preserve">Improving notice and disclosure </w:t>
      </w:r>
    </w:p>
    <w:p w14:paraId="2F5F40DC" w14:textId="4DC353C8" w:rsidR="00015E0E" w:rsidRDefault="007B4BB7" w:rsidP="00470F77">
      <w:pPr>
        <w:pStyle w:val="ListParagraph"/>
        <w:numPr>
          <w:ilvl w:val="0"/>
          <w:numId w:val="63"/>
        </w:numPr>
      </w:pPr>
      <w:r>
        <w:t>Regulating or prohibiting "dark patterns”</w:t>
      </w:r>
    </w:p>
    <w:p w14:paraId="668E1F58" w14:textId="05354689" w:rsidR="007C7287" w:rsidRDefault="00696E6C" w:rsidP="00470F77">
      <w:pPr>
        <w:pStyle w:val="ListParagraph"/>
        <w:numPr>
          <w:ilvl w:val="0"/>
          <w:numId w:val="63"/>
        </w:numPr>
      </w:pPr>
      <w:r>
        <w:t>Providing b</w:t>
      </w:r>
      <w:r w:rsidR="007B4BB7">
        <w:t>etter consumer protections for youth and vulnerable consumers</w:t>
      </w:r>
    </w:p>
    <w:p w14:paraId="0413ADEF" w14:textId="0B136010" w:rsidR="003A2FB4" w:rsidRDefault="007B4BB7" w:rsidP="00470F77">
      <w:pPr>
        <w:pStyle w:val="ListParagraph"/>
        <w:numPr>
          <w:ilvl w:val="0"/>
          <w:numId w:val="63"/>
        </w:numPr>
      </w:pPr>
      <w:r>
        <w:t>Reducing deception and unconscionable practices</w:t>
      </w:r>
      <w:r w:rsidR="00696E6C">
        <w:t xml:space="preserve">, and </w:t>
      </w:r>
    </w:p>
    <w:p w14:paraId="26A62385" w14:textId="0158F000" w:rsidR="003A2FB4" w:rsidRDefault="007B4BB7" w:rsidP="00470F77">
      <w:pPr>
        <w:pStyle w:val="ListParagraph"/>
        <w:numPr>
          <w:ilvl w:val="0"/>
          <w:numId w:val="63"/>
        </w:numPr>
      </w:pPr>
      <w:r>
        <w:t>Improving oversight, enforcement and access to justice.</w:t>
      </w:r>
    </w:p>
    <w:p w14:paraId="0B2CDEE3" w14:textId="0FEE0BED" w:rsidR="00D9485A" w:rsidRDefault="008C3858" w:rsidP="008546ED">
      <w:r>
        <w:t>Importantly, the LCO’s research and analysis suggests an emerging consensus around several key issues and principles important to consumer protection law reform.</w:t>
      </w:r>
      <w:r w:rsidR="00740677">
        <w:br/>
      </w:r>
    </w:p>
    <w:p w14:paraId="3A4C4795" w14:textId="77777777" w:rsidR="00D9485A" w:rsidRDefault="00D9485A">
      <w:r>
        <w:br w:type="page"/>
      </w:r>
    </w:p>
    <w:p w14:paraId="2B7A85E0" w14:textId="4BFBED97" w:rsidR="002B521B" w:rsidRDefault="002B521B" w:rsidP="00470F77">
      <w:pPr>
        <w:pStyle w:val="Heading1"/>
        <w:numPr>
          <w:ilvl w:val="0"/>
          <w:numId w:val="65"/>
        </w:numPr>
      </w:pPr>
      <w:bookmarkStart w:id="62" w:name="_Toc138151852"/>
      <w:r w:rsidRPr="002B521B">
        <w:lastRenderedPageBreak/>
        <w:t>Creating Dedicated and Consistent Consumer Protection Rules for Online</w:t>
      </w:r>
      <w:r>
        <w:t xml:space="preserve"> </w:t>
      </w:r>
      <w:r w:rsidR="00C3624B">
        <w:t>Practices</w:t>
      </w:r>
      <w:bookmarkEnd w:id="62"/>
    </w:p>
    <w:p w14:paraId="5C13EDC9" w14:textId="77777777" w:rsidR="002B521B" w:rsidRDefault="002B521B" w:rsidP="002B521B"/>
    <w:p w14:paraId="4C19427C" w14:textId="4A91F5D9" w:rsidR="002B521B" w:rsidRDefault="002B521B" w:rsidP="002B521B">
      <w:pPr>
        <w:spacing w:after="0" w:line="240" w:lineRule="auto"/>
      </w:pPr>
      <w:r>
        <w:t xml:space="preserve">The gaps in consumer protection </w:t>
      </w:r>
      <w:r w:rsidR="00812C14">
        <w:t>distinct to</w:t>
      </w:r>
      <w:r>
        <w:t xml:space="preserve"> Ontario’s digital marketplace suggest the need to establish dedicated and consistent consumer protection rules for online </w:t>
      </w:r>
      <w:r w:rsidR="00C3624B">
        <w:t xml:space="preserve">practices impacting </w:t>
      </w:r>
      <w:r>
        <w:t>consumer contracts in Ontario.</w:t>
      </w:r>
      <w:r w:rsidR="009E0094">
        <w:t xml:space="preserve"> </w:t>
      </w:r>
      <w:r>
        <w:t>The following sections identif</w:t>
      </w:r>
      <w:r w:rsidR="003C5CAA">
        <w:t>y</w:t>
      </w:r>
      <w:r>
        <w:t xml:space="preserve"> several potential reform proposals to meet that need, including:</w:t>
      </w:r>
    </w:p>
    <w:p w14:paraId="23C672F0" w14:textId="77777777" w:rsidR="002B521B" w:rsidRDefault="002B521B" w:rsidP="002B521B">
      <w:pPr>
        <w:spacing w:after="0" w:line="240" w:lineRule="auto"/>
      </w:pPr>
    </w:p>
    <w:p w14:paraId="76FB7B08" w14:textId="5C915B40" w:rsidR="004D405E" w:rsidRDefault="002B521B" w:rsidP="00470F77">
      <w:pPr>
        <w:pStyle w:val="ListParagraph"/>
        <w:numPr>
          <w:ilvl w:val="0"/>
          <w:numId w:val="66"/>
        </w:numPr>
        <w:spacing w:after="0" w:line="240" w:lineRule="auto"/>
      </w:pPr>
      <w:r>
        <w:t xml:space="preserve">Defining “online” </w:t>
      </w:r>
      <w:r w:rsidR="00C3624B">
        <w:t xml:space="preserve">practices </w:t>
      </w:r>
      <w:r>
        <w:t>and establishing dedicated provisions</w:t>
      </w:r>
    </w:p>
    <w:p w14:paraId="22EC03BA" w14:textId="4F6682C9" w:rsidR="004D405E" w:rsidRDefault="004D405E" w:rsidP="00470F77">
      <w:pPr>
        <w:pStyle w:val="ListParagraph"/>
        <w:numPr>
          <w:ilvl w:val="0"/>
          <w:numId w:val="66"/>
        </w:numPr>
        <w:spacing w:after="0" w:line="240" w:lineRule="auto"/>
      </w:pPr>
      <w:r>
        <w:t>Eliminat</w:t>
      </w:r>
      <w:r w:rsidR="003C5CAA">
        <w:t>ing</w:t>
      </w:r>
      <w:r w:rsidR="0041730B">
        <w:t xml:space="preserve"> </w:t>
      </w:r>
      <w:r>
        <w:t>the CPA’s monetary threshold to better protect consumers using free, low-cost, or occasional cost services</w:t>
      </w:r>
    </w:p>
    <w:p w14:paraId="784CD3F6" w14:textId="2AB43F60" w:rsidR="004D405E" w:rsidRDefault="004D405E" w:rsidP="00470F77">
      <w:pPr>
        <w:pStyle w:val="ListParagraph"/>
        <w:numPr>
          <w:ilvl w:val="0"/>
          <w:numId w:val="66"/>
        </w:numPr>
      </w:pPr>
      <w:r>
        <w:t xml:space="preserve">Regulating unilateral changes to </w:t>
      </w:r>
      <w:r w:rsidR="003C5CAA">
        <w:t>ToS.</w:t>
      </w:r>
    </w:p>
    <w:p w14:paraId="7B6E4B7D" w14:textId="77777777" w:rsidR="00B12F23" w:rsidRDefault="00B12F23" w:rsidP="004956F5"/>
    <w:p w14:paraId="0ABCE847" w14:textId="5FEFFDFF" w:rsidR="00EB6376" w:rsidRDefault="00591C34" w:rsidP="00591C34">
      <w:pPr>
        <w:pStyle w:val="Heading2"/>
      </w:pPr>
      <w:bookmarkStart w:id="63" w:name="_Toc138151853"/>
      <w:r>
        <w:rPr>
          <w:rStyle w:val="Heading2Char"/>
        </w:rPr>
        <w:t>6.1</w:t>
      </w:r>
      <w:r>
        <w:rPr>
          <w:rStyle w:val="Heading2Char"/>
        </w:rPr>
        <w:tab/>
      </w:r>
      <w:r w:rsidR="00D513D4" w:rsidRPr="007A41A0">
        <w:rPr>
          <w:rStyle w:val="Heading2Char"/>
        </w:rPr>
        <w:t xml:space="preserve">Define </w:t>
      </w:r>
      <w:r w:rsidR="00A05FB0" w:rsidRPr="007A41A0">
        <w:rPr>
          <w:rStyle w:val="Heading2Char"/>
        </w:rPr>
        <w:t>“</w:t>
      </w:r>
      <w:r w:rsidR="00D513D4" w:rsidRPr="007A41A0">
        <w:rPr>
          <w:rStyle w:val="Heading2Char"/>
        </w:rPr>
        <w:t>O</w:t>
      </w:r>
      <w:r w:rsidR="00A05FB0" w:rsidRPr="007A41A0">
        <w:rPr>
          <w:rStyle w:val="Heading2Char"/>
        </w:rPr>
        <w:t>nline”</w:t>
      </w:r>
      <w:r w:rsidR="00D513D4" w:rsidRPr="007A41A0">
        <w:rPr>
          <w:rStyle w:val="Heading2Char"/>
        </w:rPr>
        <w:t xml:space="preserve"> </w:t>
      </w:r>
      <w:r w:rsidR="00D219FC">
        <w:rPr>
          <w:rStyle w:val="Heading2Char"/>
        </w:rPr>
        <w:t>Practices</w:t>
      </w:r>
      <w:r w:rsidR="00D219FC" w:rsidRPr="007A41A0">
        <w:rPr>
          <w:rStyle w:val="Heading2Char"/>
        </w:rPr>
        <w:t xml:space="preserve"> </w:t>
      </w:r>
      <w:r w:rsidR="00D513D4" w:rsidRPr="007A41A0">
        <w:rPr>
          <w:rStyle w:val="Heading2Char"/>
        </w:rPr>
        <w:t xml:space="preserve">and </w:t>
      </w:r>
      <w:r w:rsidR="00A74E14" w:rsidRPr="007A41A0">
        <w:rPr>
          <w:rStyle w:val="Heading2Char"/>
        </w:rPr>
        <w:t>Establish Dedicated Pro</w:t>
      </w:r>
      <w:r w:rsidR="00114B24">
        <w:rPr>
          <w:rStyle w:val="Heading2Char"/>
        </w:rPr>
        <w:t>visions</w:t>
      </w:r>
      <w:bookmarkEnd w:id="63"/>
      <w:r w:rsidR="00114B24">
        <w:rPr>
          <w:rStyle w:val="Heading2Char"/>
        </w:rPr>
        <w:t xml:space="preserve"> </w:t>
      </w:r>
    </w:p>
    <w:p w14:paraId="1139DF90" w14:textId="77777777" w:rsidR="00D95251" w:rsidRDefault="00D95251" w:rsidP="00EE3282">
      <w:pPr>
        <w:rPr>
          <w:highlight w:val="yellow"/>
        </w:rPr>
      </w:pPr>
    </w:p>
    <w:p w14:paraId="3B97906A" w14:textId="05A146EA" w:rsidR="00EE3282" w:rsidRPr="007A41A0" w:rsidRDefault="00EE3282" w:rsidP="00EE3282">
      <w:r w:rsidRPr="007A41A0">
        <w:t>The CPA includes at least three types of contracts</w:t>
      </w:r>
      <w:r w:rsidR="00D219FC">
        <w:t xml:space="preserve"> that </w:t>
      </w:r>
      <w:r w:rsidR="0075313C">
        <w:t>may</w:t>
      </w:r>
      <w:r w:rsidR="00D219FC">
        <w:t xml:space="preserve"> include an online component</w:t>
      </w:r>
      <w:r w:rsidRPr="007A41A0">
        <w:t>, including “internet”, “remote” and “</w:t>
      </w:r>
      <w:r w:rsidR="0075313C">
        <w:t>future performance</w:t>
      </w:r>
      <w:r w:rsidRPr="007A41A0">
        <w:t>” contracts.</w:t>
      </w:r>
      <w:r w:rsidR="00DD3020" w:rsidRPr="007A41A0">
        <w:rPr>
          <w:rStyle w:val="EndnoteReference"/>
        </w:rPr>
        <w:endnoteReference w:id="188"/>
      </w:r>
      <w:r w:rsidR="009E0094">
        <w:t xml:space="preserve"> </w:t>
      </w:r>
      <w:r w:rsidRPr="007A41A0">
        <w:t>These contracts were added to the CPA in 2002 in response early forms of internet commerce</w:t>
      </w:r>
      <w:r w:rsidR="009C6F0E">
        <w:t xml:space="preserve"> and the need to modernize a CPA </w:t>
      </w:r>
      <w:r w:rsidR="007865B3">
        <w:t xml:space="preserve">otherwise </w:t>
      </w:r>
      <w:r w:rsidR="009C6F0E">
        <w:t>“</w:t>
      </w:r>
      <w:r w:rsidR="009C6F0E" w:rsidRPr="009C6F0E">
        <w:t xml:space="preserve">passed in the </w:t>
      </w:r>
      <w:r w:rsidR="007865B3">
        <w:t xml:space="preserve">[economy of the] </w:t>
      </w:r>
      <w:r w:rsidR="009C6F0E" w:rsidRPr="009C6F0E">
        <w:t>1960s and into the 1970s</w:t>
      </w:r>
      <w:r w:rsidRPr="007A41A0">
        <w:t>.</w:t>
      </w:r>
      <w:r w:rsidR="009C6F0E">
        <w:t>” Notably, the 2002 legislature confirmed the need to modernize the CPA to ensure an equivalent “</w:t>
      </w:r>
      <w:r w:rsidR="009C6F0E" w:rsidRPr="009C6F0E">
        <w:t>level of protection for consumers who shop for goods and services on the Internet to those going to their local corner store</w:t>
      </w:r>
      <w:r w:rsidR="009C6F0E">
        <w:t>..</w:t>
      </w:r>
      <w:r w:rsidR="009C6F0E" w:rsidRPr="009C6F0E">
        <w:t>.</w:t>
      </w:r>
      <w:r w:rsidR="009C6F0E">
        <w:t xml:space="preserve"> </w:t>
      </w:r>
      <w:r w:rsidR="009C6F0E" w:rsidRPr="009C6F0E">
        <w:t>with a face-to-face encounter</w:t>
      </w:r>
      <w:r w:rsidR="009C6F0E">
        <w:t>.”</w:t>
      </w:r>
      <w:r w:rsidRPr="007A41A0">
        <w:rPr>
          <w:rStyle w:val="EndnoteReference"/>
        </w:rPr>
        <w:endnoteReference w:id="189"/>
      </w:r>
      <w:r w:rsidR="009E0094">
        <w:t xml:space="preserve"> </w:t>
      </w:r>
      <w:r w:rsidRPr="007A41A0">
        <w:t xml:space="preserve"> </w:t>
      </w:r>
    </w:p>
    <w:p w14:paraId="408C10EB" w14:textId="3E9EB06B" w:rsidR="00EE3282" w:rsidRPr="007A41A0" w:rsidRDefault="008216C4" w:rsidP="00EE3282">
      <w:pPr>
        <w:rPr>
          <w:rFonts w:cs="Times New Roman"/>
          <w:szCs w:val="24"/>
          <w:lang w:val="en-US"/>
        </w:rPr>
      </w:pPr>
      <w:r>
        <w:t xml:space="preserve">This legislative approach sought to distinguish contracts based on </w:t>
      </w:r>
      <w:r w:rsidRPr="1F5E9E68">
        <w:rPr>
          <w:i/>
          <w:iCs/>
        </w:rPr>
        <w:t>where</w:t>
      </w:r>
      <w:r>
        <w:t xml:space="preserve"> they are formed (i.e., in person, on a phone</w:t>
      </w:r>
      <w:r w:rsidR="00DE328D">
        <w:t xml:space="preserve"> or by mail</w:t>
      </w:r>
      <w:r>
        <w:t xml:space="preserve">, or online). Experience today is that these distinctions aren’t always sensical. For </w:t>
      </w:r>
      <w:r w:rsidR="00DE328D">
        <w:t>instance,</w:t>
      </w:r>
      <w:r>
        <w:t xml:space="preserve"> a consumer might buy a </w:t>
      </w:r>
      <w:r w:rsidR="004A1643">
        <w:t>product</w:t>
      </w:r>
      <w:r>
        <w:t xml:space="preserve"> in person by confirming their purchase </w:t>
      </w:r>
      <w:r w:rsidR="004A1643">
        <w:t>with their</w:t>
      </w:r>
      <w:r>
        <w:t xml:space="preserve"> phone in a transaction mediated by an online third party. Consequently, the </w:t>
      </w:r>
      <w:r w:rsidR="00EE3282" w:rsidRPr="007A41A0">
        <w:t xml:space="preserve">CPA’s </w:t>
      </w:r>
      <w:r>
        <w:t xml:space="preserve">current </w:t>
      </w:r>
      <w:r w:rsidR="00EE3282" w:rsidRPr="007A41A0">
        <w:t xml:space="preserve">legislative distinctions between different types of </w:t>
      </w:r>
      <w:r w:rsidRPr="007A41A0">
        <w:t>contracts</w:t>
      </w:r>
      <w:r w:rsidR="00EE3282" w:rsidRPr="007A41A0">
        <w:t xml:space="preserve"> overlap</w:t>
      </w:r>
      <w:r>
        <w:t xml:space="preserve">. This may </w:t>
      </w:r>
      <w:r w:rsidR="00EE3282" w:rsidRPr="007A41A0">
        <w:t xml:space="preserve">cause confusion, </w:t>
      </w:r>
      <w:r>
        <w:t>undermine various</w:t>
      </w:r>
      <w:r w:rsidR="00EE3282" w:rsidRPr="007A41A0">
        <w:t xml:space="preserve"> consumer protections, and </w:t>
      </w:r>
      <w:r>
        <w:t>contribute to regulatory evasion</w:t>
      </w:r>
      <w:r w:rsidR="00EE3282" w:rsidRPr="007A41A0">
        <w:t>.</w:t>
      </w:r>
      <w:r w:rsidR="00EE3282" w:rsidRPr="007A41A0">
        <w:rPr>
          <w:rStyle w:val="EndnoteReference"/>
        </w:rPr>
        <w:endnoteReference w:id="190"/>
      </w:r>
      <w:r w:rsidR="00EE3282" w:rsidRPr="007A41A0">
        <w:t xml:space="preserve"> For instance, </w:t>
      </w:r>
      <w:r w:rsidR="00EE3282" w:rsidRPr="1F5E9E68">
        <w:rPr>
          <w:rFonts w:cs="Times New Roman"/>
          <w:lang w:val="en-US"/>
        </w:rPr>
        <w:t>one academic reference created 12 tables spread over eight pages to map out the intersections of these laws across various types of transaction.</w:t>
      </w:r>
      <w:r w:rsidR="00EE3282" w:rsidRPr="1F5E9E68">
        <w:rPr>
          <w:rStyle w:val="EndnoteReference"/>
          <w:rFonts w:cs="Times New Roman"/>
          <w:lang w:val="en-US"/>
        </w:rPr>
        <w:endnoteReference w:id="191"/>
      </w:r>
      <w:r w:rsidR="00EE3282" w:rsidRPr="1F5E9E68">
        <w:rPr>
          <w:rFonts w:cs="Times New Roman"/>
          <w:lang w:val="en-US"/>
        </w:rPr>
        <w:t xml:space="preserve"> </w:t>
      </w:r>
    </w:p>
    <w:p w14:paraId="5EEE861E" w14:textId="77777777" w:rsidR="00114B24" w:rsidRPr="007A41A0" w:rsidRDefault="00114B24" w:rsidP="00114B24">
      <w:r w:rsidRPr="007A41A0">
        <w:t>The provincial government’s CPA proposals eliminates statutory distinctions between “remote,” “internet,” “future consideration” and “direct” contracts in favor of a single set of “core rules” that would apply to most consumer contracts, “including a contract entered into online.”</w:t>
      </w:r>
      <w:r w:rsidRPr="007A41A0">
        <w:rPr>
          <w:rStyle w:val="EndnoteReference"/>
        </w:rPr>
        <w:endnoteReference w:id="192"/>
      </w:r>
      <w:r w:rsidRPr="007A41A0">
        <w:t xml:space="preserve"> </w:t>
      </w:r>
    </w:p>
    <w:p w14:paraId="7F9C1FC3" w14:textId="4A553FE8" w:rsidR="00114B24" w:rsidRPr="007A41A0" w:rsidRDefault="008C3858" w:rsidP="00114B24">
      <w:r>
        <w:t xml:space="preserve">A </w:t>
      </w:r>
      <w:r w:rsidR="00114B24" w:rsidRPr="007A41A0">
        <w:t xml:space="preserve">single set of “core rules” </w:t>
      </w:r>
      <w:r>
        <w:t xml:space="preserve">may not </w:t>
      </w:r>
      <w:r w:rsidR="00114B24" w:rsidRPr="007A41A0">
        <w:t>effectively anticipate important consumer protection issues in online transactions for two reasons.</w:t>
      </w:r>
    </w:p>
    <w:p w14:paraId="237B6724" w14:textId="43818205" w:rsidR="00114B24" w:rsidRPr="007A41A0" w:rsidRDefault="00114B24" w:rsidP="00114B24">
      <w:r w:rsidRPr="007A41A0">
        <w:t>First, consumer needs and consumer protection issues in online transactions are unlikely to be addressed in a single definition of “core rules” that “would apply to most consumer contracts including direct, remote, internet, future performance, timeshare, personal development service, loan brokering, credit repair services and certain lease agreements.”</w:t>
      </w:r>
      <w:r w:rsidRPr="007A41A0">
        <w:rPr>
          <w:rStyle w:val="EndnoteReference"/>
        </w:rPr>
        <w:endnoteReference w:id="193"/>
      </w:r>
      <w:r w:rsidR="009E0094">
        <w:t xml:space="preserve"> </w:t>
      </w:r>
      <w:r w:rsidR="008C3858">
        <w:t xml:space="preserve">A </w:t>
      </w:r>
      <w:r w:rsidRPr="007A41A0">
        <w:t>generic approach may also inadvertently mislead consumers into a false sense of reliance on incomplete standard terms.</w:t>
      </w:r>
    </w:p>
    <w:p w14:paraId="503087C0" w14:textId="0F44C7E8" w:rsidR="00114B24" w:rsidRPr="007A41A0" w:rsidRDefault="00114B24" w:rsidP="00114B24">
      <w:r w:rsidRPr="007A41A0">
        <w:lastRenderedPageBreak/>
        <w:t>Second, the provincial government’s proposals do not define “online” contracts</w:t>
      </w:r>
      <w:r w:rsidR="00D219FC">
        <w:t xml:space="preserve"> or practices</w:t>
      </w:r>
      <w:r w:rsidRPr="007A41A0">
        <w:t>.</w:t>
      </w:r>
      <w:r w:rsidR="009E0094">
        <w:t xml:space="preserve"> </w:t>
      </w:r>
      <w:r w:rsidRPr="007A41A0">
        <w:t xml:space="preserve">This </w:t>
      </w:r>
      <w:r w:rsidR="00D32CA3">
        <w:t xml:space="preserve">gap </w:t>
      </w:r>
      <w:r w:rsidRPr="007A41A0">
        <w:t>raises several questions, including whether the CPA’s existing protections for internet contracts will continue in whole or in part.</w:t>
      </w:r>
      <w:r w:rsidR="009E0094">
        <w:t xml:space="preserve"> </w:t>
      </w:r>
      <w:r w:rsidRPr="007A41A0">
        <w:t>For example, the CPA currently provides the following protections for “internet agreements”:</w:t>
      </w:r>
    </w:p>
    <w:p w14:paraId="70D4A903" w14:textId="77777777" w:rsidR="00114B24" w:rsidRPr="007A41A0" w:rsidRDefault="00114B24" w:rsidP="00470F77">
      <w:pPr>
        <w:pStyle w:val="ListParagraph"/>
        <w:numPr>
          <w:ilvl w:val="0"/>
          <w:numId w:val="18"/>
        </w:numPr>
        <w:rPr>
          <w:rFonts w:cs="Times New Roman"/>
          <w:szCs w:val="24"/>
          <w:lang w:val="en-US"/>
        </w:rPr>
      </w:pPr>
      <w:r w:rsidRPr="007A41A0">
        <w:rPr>
          <w:rFonts w:cs="Times New Roman"/>
          <w:szCs w:val="24"/>
          <w:lang w:val="en-US"/>
        </w:rPr>
        <w:t>An express opportunity for the consumer to accept or decline the internet agreement</w:t>
      </w:r>
    </w:p>
    <w:p w14:paraId="2964D73F" w14:textId="77777777" w:rsidR="00114B24" w:rsidRPr="007A41A0" w:rsidRDefault="00114B24" w:rsidP="00470F77">
      <w:pPr>
        <w:pStyle w:val="ListParagraph"/>
        <w:numPr>
          <w:ilvl w:val="0"/>
          <w:numId w:val="18"/>
        </w:numPr>
        <w:rPr>
          <w:rFonts w:cs="Times New Roman"/>
          <w:szCs w:val="24"/>
          <w:lang w:val="en-US"/>
        </w:rPr>
      </w:pPr>
      <w:r w:rsidRPr="007A41A0">
        <w:rPr>
          <w:rFonts w:cs="Times New Roman"/>
          <w:szCs w:val="24"/>
          <w:lang w:val="en-US"/>
        </w:rPr>
        <w:t>The accessibility of the mandatory disclosure document</w:t>
      </w:r>
    </w:p>
    <w:p w14:paraId="1CA248CE" w14:textId="77777777" w:rsidR="00114B24" w:rsidRPr="007A41A0" w:rsidRDefault="00114B24" w:rsidP="00470F77">
      <w:pPr>
        <w:pStyle w:val="ListParagraph"/>
        <w:numPr>
          <w:ilvl w:val="0"/>
          <w:numId w:val="18"/>
        </w:numPr>
        <w:rPr>
          <w:rFonts w:cs="Times New Roman"/>
          <w:szCs w:val="24"/>
          <w:lang w:val="en-US"/>
        </w:rPr>
      </w:pPr>
      <w:r w:rsidRPr="007A41A0">
        <w:rPr>
          <w:rFonts w:cs="Times New Roman"/>
          <w:szCs w:val="24"/>
          <w:lang w:val="en-US"/>
        </w:rPr>
        <w:t>A seven-day cooling off period to cancel the agreement</w:t>
      </w:r>
    </w:p>
    <w:p w14:paraId="18CFD42A" w14:textId="77777777" w:rsidR="00114B24" w:rsidRPr="007A41A0" w:rsidRDefault="00114B24" w:rsidP="00470F77">
      <w:pPr>
        <w:pStyle w:val="ListParagraph"/>
        <w:numPr>
          <w:ilvl w:val="0"/>
          <w:numId w:val="18"/>
        </w:numPr>
        <w:rPr>
          <w:rFonts w:cs="Times New Roman"/>
          <w:szCs w:val="24"/>
          <w:lang w:val="en-US"/>
        </w:rPr>
      </w:pPr>
      <w:r w:rsidRPr="007A41A0">
        <w:rPr>
          <w:rFonts w:cs="Times New Roman"/>
          <w:szCs w:val="24"/>
          <w:lang w:val="en-US"/>
        </w:rPr>
        <w:t>The suppliers name, telephone number, and place of business premises</w:t>
      </w:r>
    </w:p>
    <w:p w14:paraId="780B141D" w14:textId="77777777" w:rsidR="00114B24" w:rsidRPr="007A41A0" w:rsidRDefault="00114B24" w:rsidP="00470F77">
      <w:pPr>
        <w:pStyle w:val="ListParagraph"/>
        <w:numPr>
          <w:ilvl w:val="0"/>
          <w:numId w:val="18"/>
        </w:numPr>
        <w:rPr>
          <w:rFonts w:cs="Times New Roman"/>
          <w:szCs w:val="24"/>
          <w:lang w:val="en-US"/>
        </w:rPr>
      </w:pPr>
      <w:r w:rsidRPr="007A41A0">
        <w:rPr>
          <w:rFonts w:cs="Times New Roman"/>
          <w:szCs w:val="24"/>
          <w:lang w:val="en-US"/>
        </w:rPr>
        <w:t xml:space="preserve">The manner of delivery, including the name of the carrier </w:t>
      </w:r>
    </w:p>
    <w:p w14:paraId="5C0F99F7" w14:textId="77777777" w:rsidR="00114B24" w:rsidRPr="007A41A0" w:rsidRDefault="00114B24" w:rsidP="00470F77">
      <w:pPr>
        <w:pStyle w:val="ListParagraph"/>
        <w:numPr>
          <w:ilvl w:val="0"/>
          <w:numId w:val="18"/>
        </w:numPr>
        <w:rPr>
          <w:rFonts w:cs="Times New Roman"/>
          <w:szCs w:val="24"/>
          <w:lang w:val="en-US"/>
        </w:rPr>
      </w:pPr>
      <w:r w:rsidRPr="007A41A0">
        <w:rPr>
          <w:rFonts w:cs="Times New Roman"/>
          <w:szCs w:val="24"/>
          <w:lang w:val="en-US"/>
        </w:rPr>
        <w:t>The rights and obligations of the supplier in relation to cancelation, returns, exchanges and refunds</w:t>
      </w:r>
    </w:p>
    <w:p w14:paraId="5D927544" w14:textId="77777777" w:rsidR="00114B24" w:rsidRPr="007A41A0" w:rsidRDefault="00114B24" w:rsidP="00470F77">
      <w:pPr>
        <w:pStyle w:val="ListParagraph"/>
        <w:numPr>
          <w:ilvl w:val="0"/>
          <w:numId w:val="18"/>
        </w:numPr>
        <w:rPr>
          <w:rFonts w:cs="Times New Roman"/>
          <w:szCs w:val="24"/>
          <w:lang w:val="en-US"/>
        </w:rPr>
      </w:pPr>
      <w:r w:rsidRPr="1F5E9E68">
        <w:rPr>
          <w:rFonts w:cs="Times New Roman"/>
          <w:lang w:val="en-US"/>
        </w:rPr>
        <w:t>Any other restrictions, limitations, and conditions imposed by the supplier unilaterally.</w:t>
      </w:r>
      <w:r w:rsidRPr="1F5E9E68">
        <w:rPr>
          <w:rStyle w:val="EndnoteReference"/>
          <w:rFonts w:cs="Times New Roman"/>
          <w:lang w:val="en-US"/>
        </w:rPr>
        <w:endnoteReference w:id="194"/>
      </w:r>
    </w:p>
    <w:p w14:paraId="72D62244" w14:textId="77777777" w:rsidR="00812C14" w:rsidRDefault="00114B24" w:rsidP="00AA5DBE">
      <w:r w:rsidRPr="007A41A0">
        <w:t>It is unclear whether a new category of “online” transactions will have equivalent protections.</w:t>
      </w:r>
    </w:p>
    <w:p w14:paraId="7D024FF1" w14:textId="7DF06594" w:rsidR="002675F0" w:rsidRDefault="00812C14" w:rsidP="002675F0">
      <w:r>
        <w:t>It is further</w:t>
      </w:r>
      <w:r w:rsidR="00114B24" w:rsidRPr="007A41A0">
        <w:t xml:space="preserve"> notable that recent regulations</w:t>
      </w:r>
      <w:r w:rsidR="00114B24" w:rsidRPr="1F5E9E68">
        <w:rPr>
          <w:rFonts w:cs="Times New Roman"/>
          <w:lang w:val="en-US"/>
        </w:rPr>
        <w:t xml:space="preserve"> enacted under Part 4 of the CPA </w:t>
      </w:r>
      <w:r w:rsidR="00114B24" w:rsidRPr="1F5E9E68">
        <w:rPr>
          <w:rFonts w:cs="Times New Roman"/>
          <w:i/>
          <w:iCs/>
          <w:lang w:val="en-US"/>
        </w:rPr>
        <w:t>exempt</w:t>
      </w:r>
      <w:r w:rsidR="00114B24" w:rsidRPr="1F5E9E68">
        <w:rPr>
          <w:rFonts w:cs="Times New Roman"/>
          <w:lang w:val="en-US"/>
        </w:rPr>
        <w:t xml:space="preserve"> internet platforms supplying accommodation, public auctions, or perishable food from several long-standing CPA consumer protections.</w:t>
      </w:r>
      <w:r w:rsidR="00114B24" w:rsidRPr="1F5E9E68">
        <w:rPr>
          <w:rStyle w:val="EndnoteReference"/>
          <w:rFonts w:cs="Times New Roman"/>
          <w:lang w:val="en-US"/>
        </w:rPr>
        <w:endnoteReference w:id="195"/>
      </w:r>
      <w:r w:rsidR="009E0094" w:rsidRPr="1F5E9E68">
        <w:rPr>
          <w:rFonts w:cs="Times New Roman"/>
          <w:lang w:val="en-US"/>
        </w:rPr>
        <w:t xml:space="preserve"> </w:t>
      </w:r>
      <w:r w:rsidR="00114B24" w:rsidRPr="1F5E9E68">
        <w:rPr>
          <w:rFonts w:cs="Times New Roman"/>
          <w:lang w:val="en-US"/>
        </w:rPr>
        <w:t>As a result, Ontarians using services such as AirBnB, eBay, Door Dash, and Uber Eats may have fewer consumer protections than for other consumer transactions.</w:t>
      </w:r>
      <w:r w:rsidR="009E0094" w:rsidRPr="1F5E9E68">
        <w:rPr>
          <w:rFonts w:cs="Times New Roman"/>
          <w:lang w:val="en-US"/>
        </w:rPr>
        <w:t xml:space="preserve"> </w:t>
      </w:r>
      <w:r w:rsidR="00D32CA3">
        <w:rPr>
          <w:rFonts w:cs="Times New Roman"/>
          <w:lang w:val="en-US"/>
        </w:rPr>
        <w:t>T</w:t>
      </w:r>
      <w:r w:rsidR="00114B24" w:rsidRPr="1F5E9E68">
        <w:rPr>
          <w:rFonts w:cs="Times New Roman"/>
          <w:lang w:val="en-US"/>
        </w:rPr>
        <w:t>hese exemptions arguably undermine the principle that consumers should enjoy equivalent protections across the digital marketplace.</w:t>
      </w:r>
      <w:r w:rsidR="00B827DC">
        <w:t>In contrast, m</w:t>
      </w:r>
      <w:r w:rsidR="002675F0">
        <w:t xml:space="preserve">any jurisdictions have legislated definitions of </w:t>
      </w:r>
      <w:r w:rsidR="002A00CE" w:rsidRPr="006F7CF6">
        <w:t xml:space="preserve">“online” </w:t>
      </w:r>
      <w:r w:rsidR="002675F0">
        <w:t>or “digital” contracts</w:t>
      </w:r>
      <w:r w:rsidR="00D219FC">
        <w:t>, practices</w:t>
      </w:r>
      <w:r w:rsidR="002675F0">
        <w:t xml:space="preserve"> or services to promote better consumer protections in the digital marketplace. In many cases, these jurisdictions have defined legislative provisions which act as “standard terms” applicable to all digital marketplace </w:t>
      </w:r>
      <w:r w:rsidR="00015E0E">
        <w:t>ToS</w:t>
      </w:r>
      <w:r w:rsidR="002675F0">
        <w:t xml:space="preserve">. </w:t>
      </w:r>
    </w:p>
    <w:p w14:paraId="74501A59" w14:textId="0A75D621" w:rsidR="002675F0" w:rsidRDefault="002675F0" w:rsidP="002675F0">
      <w:r>
        <w:t xml:space="preserve">For instance, the European Union (EU) has adopted several dedicated definitions addressing “online” </w:t>
      </w:r>
      <w:r w:rsidR="00D219FC">
        <w:t xml:space="preserve">practices </w:t>
      </w:r>
      <w:r>
        <w:t>and the “digital marketplace,” including:</w:t>
      </w:r>
    </w:p>
    <w:p w14:paraId="400FC371" w14:textId="592DF2D0" w:rsidR="002675F0" w:rsidRDefault="002675F0" w:rsidP="00470F77">
      <w:pPr>
        <w:pStyle w:val="ListParagraph"/>
        <w:numPr>
          <w:ilvl w:val="0"/>
          <w:numId w:val="42"/>
        </w:numPr>
      </w:pPr>
      <w:r>
        <w:t xml:space="preserve">“digital sector: means the sector of products and services provided by means of, or through, information society” </w:t>
      </w:r>
    </w:p>
    <w:p w14:paraId="37C98A50" w14:textId="77777777" w:rsidR="002675F0" w:rsidRDefault="002675F0" w:rsidP="00470F77">
      <w:pPr>
        <w:pStyle w:val="ListParagraph"/>
        <w:numPr>
          <w:ilvl w:val="0"/>
          <w:numId w:val="42"/>
        </w:numPr>
      </w:pPr>
      <w:r>
        <w:t xml:space="preserve">“online platform: means a hosting service that, at the request of a recipient of the service, stores and disseminates information to the public” </w:t>
      </w:r>
    </w:p>
    <w:p w14:paraId="49CBE4BF" w14:textId="057086D9" w:rsidR="002675F0" w:rsidRDefault="002675F0" w:rsidP="00470F77">
      <w:pPr>
        <w:pStyle w:val="ListParagraph"/>
        <w:numPr>
          <w:ilvl w:val="0"/>
          <w:numId w:val="42"/>
        </w:numPr>
      </w:pPr>
      <w:r>
        <w:t>“online marketplace: means a service using software, including a website, part of a website or an application, operated by or on behalf of a trader which allows consumers to conclude distance contracts with other traders or consumers</w:t>
      </w:r>
      <w:r w:rsidR="00D219FC">
        <w:t>.</w:t>
      </w:r>
      <w:r>
        <w:t>”</w:t>
      </w:r>
      <w:r w:rsidR="001B5358">
        <w:rPr>
          <w:rStyle w:val="EndnoteReference"/>
        </w:rPr>
        <w:endnoteReference w:id="196"/>
      </w:r>
    </w:p>
    <w:p w14:paraId="351940A8" w14:textId="5BEDE35E" w:rsidR="002675F0" w:rsidRDefault="002675F0" w:rsidP="002675F0">
      <w:r>
        <w:t>These definitions allow the EU to create specific and targeted regulatory responses to digital consumer needs, including greater transparency, more effective notice and disclosure, clearer identification of unconscionable and unfair terms, and online-specific remedies.</w:t>
      </w:r>
      <w:r w:rsidR="009E0094">
        <w:t xml:space="preserve"> </w:t>
      </w:r>
      <w:r>
        <w:t xml:space="preserve">The EU has used this approach in </w:t>
      </w:r>
      <w:r w:rsidR="00015E0E">
        <w:t xml:space="preserve">other </w:t>
      </w:r>
      <w:r>
        <w:t>consumer-focused legislation as well.</w:t>
      </w:r>
      <w:r w:rsidR="009E0094">
        <w:t xml:space="preserve"> </w:t>
      </w:r>
      <w:r>
        <w:t>For example:</w:t>
      </w:r>
    </w:p>
    <w:p w14:paraId="24D24992" w14:textId="65A47119" w:rsidR="002675F0" w:rsidRDefault="002675F0" w:rsidP="00470F77">
      <w:pPr>
        <w:pStyle w:val="ListParagraph"/>
        <w:numPr>
          <w:ilvl w:val="0"/>
          <w:numId w:val="36"/>
        </w:numPr>
        <w:spacing w:after="0" w:line="240" w:lineRule="auto"/>
      </w:pPr>
      <w:r>
        <w:t xml:space="preserve">The </w:t>
      </w:r>
      <w:r w:rsidRPr="1F5E9E68">
        <w:rPr>
          <w:i/>
          <w:iCs/>
        </w:rPr>
        <w:t>Digital Markets Act</w:t>
      </w:r>
      <w:r>
        <w:t xml:space="preserve"> </w:t>
      </w:r>
      <w:r w:rsidR="13BE178B">
        <w:t xml:space="preserve">(DMA) </w:t>
      </w:r>
      <w:r>
        <w:t>defines “platforms” operating at various scales of reach and sophistication and establishes consumer-driven dispute resolution and systemic reporting mechanisms.</w:t>
      </w:r>
      <w:r>
        <w:rPr>
          <w:rStyle w:val="EndnoteReference"/>
        </w:rPr>
        <w:endnoteReference w:id="197"/>
      </w:r>
    </w:p>
    <w:p w14:paraId="325D2607" w14:textId="2CCB33BF" w:rsidR="002675F0" w:rsidRDefault="002675F0" w:rsidP="00470F77">
      <w:pPr>
        <w:pStyle w:val="ListParagraph"/>
        <w:numPr>
          <w:ilvl w:val="0"/>
          <w:numId w:val="36"/>
        </w:numPr>
        <w:spacing w:after="0" w:line="240" w:lineRule="auto"/>
      </w:pPr>
      <w:r>
        <w:t xml:space="preserve">The </w:t>
      </w:r>
      <w:r w:rsidRPr="1F5E9E68">
        <w:rPr>
          <w:i/>
          <w:iCs/>
        </w:rPr>
        <w:t>Digital Services Act</w:t>
      </w:r>
      <w:r>
        <w:t xml:space="preserve"> </w:t>
      </w:r>
      <w:r w:rsidR="73B59033">
        <w:t xml:space="preserve">(DSA) </w:t>
      </w:r>
      <w:r>
        <w:t xml:space="preserve">also </w:t>
      </w:r>
      <w:r w:rsidR="003C5CAA">
        <w:t>defines</w:t>
      </w:r>
      <w:r w:rsidR="00E75067">
        <w:t xml:space="preserve"> </w:t>
      </w:r>
      <w:r>
        <w:t>“platform</w:t>
      </w:r>
      <w:r w:rsidR="003C5CAA">
        <w:t>s</w:t>
      </w:r>
      <w:r>
        <w:t>” and requires</w:t>
      </w:r>
      <w:r w:rsidRPr="00680448">
        <w:t xml:space="preserve"> </w:t>
      </w:r>
      <w:r w:rsidR="003C5CAA">
        <w:t xml:space="preserve">platforms </w:t>
      </w:r>
      <w:r w:rsidRPr="00680448">
        <w:t xml:space="preserve">to police </w:t>
      </w:r>
      <w:r w:rsidR="003C5CAA">
        <w:t xml:space="preserve">themselves </w:t>
      </w:r>
      <w:r w:rsidRPr="00680448">
        <w:t xml:space="preserve">their platforms for </w:t>
      </w:r>
      <w:r>
        <w:t xml:space="preserve">misinformation, disclose content-promoting algorithms, and stop targeted advertising on the basis </w:t>
      </w:r>
      <w:r w:rsidR="165CFC8D">
        <w:t xml:space="preserve">of </w:t>
      </w:r>
      <w:r>
        <w:t>ethnicity, religion, or sexual orientation.</w:t>
      </w:r>
      <w:r>
        <w:rPr>
          <w:rStyle w:val="EndnoteReference"/>
        </w:rPr>
        <w:endnoteReference w:id="198"/>
      </w:r>
    </w:p>
    <w:p w14:paraId="3A88B907" w14:textId="77777777" w:rsidR="002675F0" w:rsidRDefault="002675F0" w:rsidP="002675F0">
      <w:pPr>
        <w:spacing w:after="0" w:line="240" w:lineRule="auto"/>
      </w:pPr>
    </w:p>
    <w:p w14:paraId="2C07B43F" w14:textId="0A8CEF5F" w:rsidR="00EC1868" w:rsidRDefault="00EC1868" w:rsidP="00EC1868">
      <w:pPr>
        <w:spacing w:after="0" w:line="240" w:lineRule="auto"/>
      </w:pPr>
      <w:r>
        <w:t xml:space="preserve">The UK is also in the process of finalizing the </w:t>
      </w:r>
      <w:r w:rsidRPr="1F5E9E68">
        <w:rPr>
          <w:i/>
          <w:iCs/>
        </w:rPr>
        <w:t xml:space="preserve">Online Safety Bill </w:t>
      </w:r>
      <w:r>
        <w:t>which introduces new rules for search engines and any platform that hosts user-generated content.</w:t>
      </w:r>
      <w:r>
        <w:rPr>
          <w:rStyle w:val="EndnoteReference"/>
        </w:rPr>
        <w:endnoteReference w:id="199"/>
      </w:r>
      <w:r>
        <w:t xml:space="preserve"> These rules effectively set “standard terms” for search engine and platform ToS which consumers can rely on.</w:t>
      </w:r>
      <w:r>
        <w:rPr>
          <w:rStyle w:val="EndnoteReference"/>
        </w:rPr>
        <w:endnoteReference w:id="200"/>
      </w:r>
    </w:p>
    <w:p w14:paraId="693B32B9" w14:textId="77777777" w:rsidR="00EC1868" w:rsidRDefault="00EC1868" w:rsidP="00EC1868">
      <w:pPr>
        <w:spacing w:after="0" w:line="240" w:lineRule="auto"/>
        <w:rPr>
          <w:b/>
          <w:bCs/>
          <w:highlight w:val="lightGray"/>
        </w:rPr>
      </w:pPr>
    </w:p>
    <w:p w14:paraId="4EAA24E2" w14:textId="5B3F551A" w:rsidR="00EC1868" w:rsidRPr="00750FA2" w:rsidRDefault="00EC1868" w:rsidP="00EC1868">
      <w:pPr>
        <w:spacing w:after="0" w:line="240" w:lineRule="auto"/>
        <w:rPr>
          <w:highlight w:val="lightGray"/>
        </w:rPr>
      </w:pPr>
      <w:r w:rsidRPr="00750FA2">
        <w:rPr>
          <w:b/>
          <w:bCs/>
          <w:highlight w:val="lightGray"/>
        </w:rPr>
        <w:t>SIDEBAR: Addressing Technology and Consumer Rights</w:t>
      </w:r>
      <w:r w:rsidRPr="00750FA2">
        <w:rPr>
          <w:highlight w:val="lightGray"/>
        </w:rPr>
        <w:t>. The</w:t>
      </w:r>
      <w:r w:rsidR="003C5CAA">
        <w:rPr>
          <w:highlight w:val="lightGray"/>
        </w:rPr>
        <w:t xml:space="preserve"> LCO’s Consultation Paper considers </w:t>
      </w:r>
      <w:r w:rsidRPr="00750FA2">
        <w:rPr>
          <w:highlight w:val="lightGray"/>
        </w:rPr>
        <w:t xml:space="preserve">updates to the CPA to </w:t>
      </w:r>
      <w:r w:rsidR="003C5CAA">
        <w:rPr>
          <w:highlight w:val="lightGray"/>
        </w:rPr>
        <w:t xml:space="preserve">Ontario’s </w:t>
      </w:r>
      <w:r w:rsidRPr="00750FA2">
        <w:rPr>
          <w:highlight w:val="lightGray"/>
        </w:rPr>
        <w:t>consumer protection remain</w:t>
      </w:r>
      <w:r w:rsidR="003C5CAA">
        <w:rPr>
          <w:highlight w:val="lightGray"/>
        </w:rPr>
        <w:t>s</w:t>
      </w:r>
      <w:r w:rsidRPr="00750FA2">
        <w:rPr>
          <w:highlight w:val="lightGray"/>
        </w:rPr>
        <w:t xml:space="preserve"> responsive to new digital marketplace technologies and business </w:t>
      </w:r>
      <w:r w:rsidR="003C5CAA">
        <w:rPr>
          <w:highlight w:val="lightGray"/>
        </w:rPr>
        <w:t>practices</w:t>
      </w:r>
      <w:r w:rsidRPr="00750FA2">
        <w:rPr>
          <w:highlight w:val="lightGray"/>
        </w:rPr>
        <w:t xml:space="preserve">. </w:t>
      </w:r>
      <w:r w:rsidR="003C5CAA">
        <w:rPr>
          <w:highlight w:val="lightGray"/>
        </w:rPr>
        <w:t xml:space="preserve">Recent European reforms, such as the </w:t>
      </w:r>
      <w:r w:rsidR="003C5CAA" w:rsidRPr="008546ED">
        <w:rPr>
          <w:i/>
          <w:iCs/>
          <w:highlight w:val="lightGray"/>
        </w:rPr>
        <w:t>D</w:t>
      </w:r>
      <w:r w:rsidR="009919D0" w:rsidRPr="008546ED">
        <w:rPr>
          <w:i/>
          <w:iCs/>
          <w:highlight w:val="lightGray"/>
        </w:rPr>
        <w:t>igital Markets Act</w:t>
      </w:r>
      <w:r w:rsidR="003C5CAA">
        <w:rPr>
          <w:highlight w:val="lightGray"/>
        </w:rPr>
        <w:t xml:space="preserve">, </w:t>
      </w:r>
      <w:r w:rsidR="009919D0" w:rsidRPr="008546ED">
        <w:rPr>
          <w:i/>
          <w:iCs/>
          <w:highlight w:val="lightGray"/>
        </w:rPr>
        <w:t>Digital Services Act</w:t>
      </w:r>
      <w:r w:rsidR="009919D0">
        <w:rPr>
          <w:highlight w:val="lightGray"/>
        </w:rPr>
        <w:t>,</w:t>
      </w:r>
      <w:r w:rsidR="00B951EA">
        <w:rPr>
          <w:highlight w:val="lightGray"/>
        </w:rPr>
        <w:t xml:space="preserve"> </w:t>
      </w:r>
      <w:r w:rsidRPr="00750FA2">
        <w:rPr>
          <w:highlight w:val="lightGray"/>
        </w:rPr>
        <w:t>and 2021 Unfair Commercial Practices Directive (UCPD)</w:t>
      </w:r>
      <w:r w:rsidR="003C5CAA">
        <w:rPr>
          <w:highlight w:val="lightGray"/>
        </w:rPr>
        <w:t>, are more far-reaching</w:t>
      </w:r>
      <w:r w:rsidRPr="00750FA2">
        <w:rPr>
          <w:highlight w:val="lightGray"/>
        </w:rPr>
        <w:t>.</w:t>
      </w:r>
      <w:r w:rsidRPr="00750FA2">
        <w:rPr>
          <w:rStyle w:val="EndnoteReference"/>
          <w:highlight w:val="lightGray"/>
        </w:rPr>
        <w:endnoteReference w:id="201"/>
      </w:r>
      <w:r w:rsidRPr="00750FA2">
        <w:rPr>
          <w:highlight w:val="lightGray"/>
        </w:rPr>
        <w:t xml:space="preserve"> </w:t>
      </w:r>
      <w:r w:rsidR="003C5CAA">
        <w:rPr>
          <w:highlight w:val="lightGray"/>
        </w:rPr>
        <w:t xml:space="preserve"> For example, t</w:t>
      </w:r>
      <w:r w:rsidR="00344865" w:rsidRPr="00750FA2">
        <w:rPr>
          <w:highlight w:val="lightGray"/>
        </w:rPr>
        <w:t xml:space="preserve">he UCPD </w:t>
      </w:r>
      <w:r w:rsidR="003C5CAA">
        <w:rPr>
          <w:highlight w:val="lightGray"/>
        </w:rPr>
        <w:t xml:space="preserve">includes </w:t>
      </w:r>
      <w:r w:rsidR="00344865" w:rsidRPr="00750FA2">
        <w:rPr>
          <w:highlight w:val="lightGray"/>
        </w:rPr>
        <w:t xml:space="preserve">detailed </w:t>
      </w:r>
      <w:r w:rsidR="009919D0">
        <w:rPr>
          <w:highlight w:val="lightGray"/>
        </w:rPr>
        <w:t xml:space="preserve">provisions addressing </w:t>
      </w:r>
      <w:r w:rsidR="00344865">
        <w:rPr>
          <w:highlight w:val="lightGray"/>
        </w:rPr>
        <w:t xml:space="preserve">contracting, technological, and business practices </w:t>
      </w:r>
      <w:r w:rsidR="009919D0">
        <w:rPr>
          <w:highlight w:val="lightGray"/>
        </w:rPr>
        <w:t xml:space="preserve">that may </w:t>
      </w:r>
      <w:r w:rsidR="00344865" w:rsidRPr="00750FA2">
        <w:rPr>
          <w:highlight w:val="lightGray"/>
        </w:rPr>
        <w:t>violate consumer protection principles</w:t>
      </w:r>
      <w:r w:rsidR="009919D0">
        <w:rPr>
          <w:highlight w:val="lightGray"/>
        </w:rPr>
        <w:t>, including</w:t>
      </w:r>
      <w:r w:rsidRPr="00750FA2">
        <w:rPr>
          <w:highlight w:val="lightGray"/>
        </w:rPr>
        <w:t>:</w:t>
      </w:r>
    </w:p>
    <w:p w14:paraId="7055C2B9" w14:textId="77777777" w:rsidR="00EC1868" w:rsidRPr="00750FA2" w:rsidRDefault="00EC1868" w:rsidP="00EC1868">
      <w:pPr>
        <w:spacing w:after="0" w:line="240" w:lineRule="auto"/>
        <w:rPr>
          <w:highlight w:val="lightGray"/>
        </w:rPr>
      </w:pPr>
    </w:p>
    <w:p w14:paraId="2EDE9882" w14:textId="2DF36579" w:rsidR="00075F1C" w:rsidRDefault="003C5CAA" w:rsidP="00470F77">
      <w:pPr>
        <w:pStyle w:val="ListParagraph"/>
        <w:numPr>
          <w:ilvl w:val="0"/>
          <w:numId w:val="12"/>
        </w:numPr>
        <w:spacing w:after="0" w:line="240" w:lineRule="auto"/>
        <w:rPr>
          <w:highlight w:val="lightGray"/>
        </w:rPr>
      </w:pPr>
      <w:r>
        <w:rPr>
          <w:highlight w:val="lightGray"/>
        </w:rPr>
        <w:t>M</w:t>
      </w:r>
      <w:r w:rsidR="00075F1C">
        <w:rPr>
          <w:highlight w:val="lightGray"/>
        </w:rPr>
        <w:t>isleading information and misleading omissions</w:t>
      </w:r>
    </w:p>
    <w:p w14:paraId="2C8D71F1" w14:textId="6D88AD78" w:rsidR="00075F1C" w:rsidRDefault="003C5CAA" w:rsidP="00470F77">
      <w:pPr>
        <w:pStyle w:val="ListParagraph"/>
        <w:numPr>
          <w:ilvl w:val="0"/>
          <w:numId w:val="12"/>
        </w:numPr>
        <w:spacing w:after="0" w:line="240" w:lineRule="auto"/>
        <w:rPr>
          <w:highlight w:val="lightGray"/>
        </w:rPr>
      </w:pPr>
      <w:r>
        <w:rPr>
          <w:highlight w:val="lightGray"/>
        </w:rPr>
        <w:t>H</w:t>
      </w:r>
      <w:r w:rsidR="00075F1C" w:rsidRPr="004347F2">
        <w:rPr>
          <w:highlight w:val="lightGray"/>
        </w:rPr>
        <w:t>idden marketing</w:t>
      </w:r>
      <w:r w:rsidR="00075F1C">
        <w:rPr>
          <w:highlight w:val="lightGray"/>
        </w:rPr>
        <w:t xml:space="preserve"> / </w:t>
      </w:r>
      <w:r w:rsidR="00075F1C" w:rsidRPr="004347F2">
        <w:rPr>
          <w:highlight w:val="lightGray"/>
        </w:rPr>
        <w:t>failure to identify commercial intent</w:t>
      </w:r>
    </w:p>
    <w:p w14:paraId="495905AA" w14:textId="2F73BE9E" w:rsidR="00075F1C" w:rsidRDefault="003C5CAA" w:rsidP="00470F77">
      <w:pPr>
        <w:pStyle w:val="ListParagraph"/>
        <w:numPr>
          <w:ilvl w:val="0"/>
          <w:numId w:val="12"/>
        </w:numPr>
        <w:spacing w:after="0" w:line="240" w:lineRule="auto"/>
        <w:rPr>
          <w:highlight w:val="lightGray"/>
        </w:rPr>
      </w:pPr>
      <w:r>
        <w:rPr>
          <w:highlight w:val="lightGray"/>
        </w:rPr>
        <w:t>M</w:t>
      </w:r>
      <w:r w:rsidR="00075F1C" w:rsidRPr="004347F2">
        <w:rPr>
          <w:highlight w:val="lightGray"/>
        </w:rPr>
        <w:t>aterial information provided in an unclear manner</w:t>
      </w:r>
    </w:p>
    <w:p w14:paraId="773B1FCC" w14:textId="06648E24" w:rsidR="00075F1C" w:rsidRPr="004347F2" w:rsidRDefault="003C5CAA" w:rsidP="00470F77">
      <w:pPr>
        <w:pStyle w:val="ListParagraph"/>
        <w:numPr>
          <w:ilvl w:val="0"/>
          <w:numId w:val="12"/>
        </w:numPr>
        <w:spacing w:after="0" w:line="240" w:lineRule="auto"/>
        <w:rPr>
          <w:highlight w:val="lightGray"/>
        </w:rPr>
      </w:pPr>
      <w:r>
        <w:rPr>
          <w:highlight w:val="lightGray"/>
        </w:rPr>
        <w:t>U</w:t>
      </w:r>
      <w:r w:rsidR="00075F1C" w:rsidRPr="004347F2">
        <w:rPr>
          <w:highlight w:val="lightGray"/>
        </w:rPr>
        <w:t>se of the claim ‘free’</w:t>
      </w:r>
    </w:p>
    <w:p w14:paraId="323FDB88" w14:textId="5AADAD47" w:rsidR="00075F1C" w:rsidRDefault="003C5CAA" w:rsidP="00470F77">
      <w:pPr>
        <w:pStyle w:val="ListParagraph"/>
        <w:numPr>
          <w:ilvl w:val="0"/>
          <w:numId w:val="12"/>
        </w:numPr>
        <w:spacing w:after="0" w:line="240" w:lineRule="auto"/>
        <w:rPr>
          <w:highlight w:val="lightGray"/>
        </w:rPr>
      </w:pPr>
      <w:r>
        <w:rPr>
          <w:highlight w:val="lightGray"/>
        </w:rPr>
        <w:t>F</w:t>
      </w:r>
      <w:r w:rsidR="00075F1C">
        <w:rPr>
          <w:highlight w:val="lightGray"/>
        </w:rPr>
        <w:t>ree trials and subscription traps</w:t>
      </w:r>
    </w:p>
    <w:p w14:paraId="56D5C526" w14:textId="53DD7175" w:rsidR="00075F1C" w:rsidRDefault="003C5CAA" w:rsidP="00470F77">
      <w:pPr>
        <w:pStyle w:val="ListParagraph"/>
        <w:numPr>
          <w:ilvl w:val="0"/>
          <w:numId w:val="12"/>
        </w:numPr>
        <w:spacing w:after="0" w:line="240" w:lineRule="auto"/>
        <w:rPr>
          <w:highlight w:val="lightGray"/>
        </w:rPr>
      </w:pPr>
      <w:r>
        <w:rPr>
          <w:highlight w:val="lightGray"/>
        </w:rPr>
        <w:t>I</w:t>
      </w:r>
      <w:r w:rsidR="00075F1C" w:rsidRPr="00750FA2">
        <w:rPr>
          <w:highlight w:val="lightGray"/>
        </w:rPr>
        <w:t>nfluencer marketing</w:t>
      </w:r>
      <w:r w:rsidR="00075F1C">
        <w:rPr>
          <w:highlight w:val="lightGray"/>
        </w:rPr>
        <w:t xml:space="preserve"> transparency</w:t>
      </w:r>
    </w:p>
    <w:p w14:paraId="61F92D5A" w14:textId="71566839" w:rsidR="00075F1C" w:rsidRPr="00750FA2" w:rsidRDefault="003C5CAA" w:rsidP="00470F77">
      <w:pPr>
        <w:pStyle w:val="ListParagraph"/>
        <w:numPr>
          <w:ilvl w:val="0"/>
          <w:numId w:val="12"/>
        </w:numPr>
        <w:spacing w:after="0" w:line="240" w:lineRule="auto"/>
        <w:rPr>
          <w:highlight w:val="lightGray"/>
        </w:rPr>
      </w:pPr>
      <w:r>
        <w:rPr>
          <w:highlight w:val="lightGray"/>
        </w:rPr>
        <w:t>U</w:t>
      </w:r>
      <w:r w:rsidR="00075F1C">
        <w:rPr>
          <w:highlight w:val="lightGray"/>
        </w:rPr>
        <w:t>ser reviews</w:t>
      </w:r>
    </w:p>
    <w:p w14:paraId="2F4DBAC6" w14:textId="1AE940EE" w:rsidR="00075F1C" w:rsidRPr="00750FA2" w:rsidRDefault="003C5CAA" w:rsidP="00470F77">
      <w:pPr>
        <w:pStyle w:val="ListParagraph"/>
        <w:numPr>
          <w:ilvl w:val="0"/>
          <w:numId w:val="12"/>
        </w:numPr>
        <w:spacing w:after="0" w:line="240" w:lineRule="auto"/>
        <w:rPr>
          <w:highlight w:val="lightGray"/>
        </w:rPr>
      </w:pPr>
      <w:r>
        <w:rPr>
          <w:highlight w:val="lightGray"/>
        </w:rPr>
        <w:t>D</w:t>
      </w:r>
      <w:r w:rsidR="00075F1C" w:rsidRPr="00750FA2">
        <w:rPr>
          <w:highlight w:val="lightGray"/>
        </w:rPr>
        <w:t xml:space="preserve">ata-driven </w:t>
      </w:r>
      <w:r w:rsidR="00075F1C">
        <w:rPr>
          <w:highlight w:val="lightGray"/>
        </w:rPr>
        <w:t xml:space="preserve">and algorithmic </w:t>
      </w:r>
      <w:r w:rsidR="00075F1C" w:rsidRPr="00750FA2">
        <w:rPr>
          <w:highlight w:val="lightGray"/>
        </w:rPr>
        <w:t>personalisation of content</w:t>
      </w:r>
    </w:p>
    <w:p w14:paraId="5403190B" w14:textId="016CA56F" w:rsidR="00075F1C" w:rsidRPr="00750FA2" w:rsidRDefault="003C5CAA" w:rsidP="00470F77">
      <w:pPr>
        <w:pStyle w:val="ListParagraph"/>
        <w:numPr>
          <w:ilvl w:val="0"/>
          <w:numId w:val="12"/>
        </w:numPr>
        <w:spacing w:after="0" w:line="240" w:lineRule="auto"/>
        <w:rPr>
          <w:highlight w:val="lightGray"/>
        </w:rPr>
      </w:pPr>
      <w:r>
        <w:rPr>
          <w:highlight w:val="lightGray"/>
        </w:rPr>
        <w:t>D</w:t>
      </w:r>
      <w:r w:rsidR="00075F1C" w:rsidRPr="00750FA2">
        <w:rPr>
          <w:highlight w:val="lightGray"/>
        </w:rPr>
        <w:t>ark pattern design of user interfaces</w:t>
      </w:r>
    </w:p>
    <w:p w14:paraId="15E4900B" w14:textId="401344ED" w:rsidR="00075F1C" w:rsidRPr="00750FA2" w:rsidRDefault="009919D0" w:rsidP="00470F77">
      <w:pPr>
        <w:pStyle w:val="ListParagraph"/>
        <w:numPr>
          <w:ilvl w:val="0"/>
          <w:numId w:val="12"/>
        </w:numPr>
        <w:spacing w:after="0" w:line="240" w:lineRule="auto"/>
        <w:rPr>
          <w:highlight w:val="lightGray"/>
        </w:rPr>
      </w:pPr>
      <w:r>
        <w:rPr>
          <w:highlight w:val="lightGray"/>
        </w:rPr>
        <w:t>C</w:t>
      </w:r>
      <w:r w:rsidR="00075F1C" w:rsidRPr="00750FA2">
        <w:rPr>
          <w:highlight w:val="lightGray"/>
        </w:rPr>
        <w:t>onsumer lock-in to proprietary platform</w:t>
      </w:r>
      <w:r w:rsidR="00075F1C">
        <w:rPr>
          <w:highlight w:val="lightGray"/>
        </w:rPr>
        <w:t>s and format</w:t>
      </w:r>
      <w:r w:rsidR="00075F1C" w:rsidRPr="00750FA2">
        <w:rPr>
          <w:highlight w:val="lightGray"/>
        </w:rPr>
        <w:t>s</w:t>
      </w:r>
    </w:p>
    <w:p w14:paraId="6786E9D4" w14:textId="3E481B61" w:rsidR="00EC1868" w:rsidRPr="00750FA2" w:rsidRDefault="009919D0" w:rsidP="00470F77">
      <w:pPr>
        <w:pStyle w:val="ListParagraph"/>
        <w:numPr>
          <w:ilvl w:val="0"/>
          <w:numId w:val="12"/>
        </w:numPr>
        <w:spacing w:after="0" w:line="240" w:lineRule="auto"/>
        <w:rPr>
          <w:highlight w:val="lightGray"/>
        </w:rPr>
      </w:pPr>
      <w:r>
        <w:rPr>
          <w:highlight w:val="lightGray"/>
        </w:rPr>
        <w:t>G</w:t>
      </w:r>
      <w:r w:rsidR="00075F1C" w:rsidRPr="00750FA2">
        <w:rPr>
          <w:highlight w:val="lightGray"/>
        </w:rPr>
        <w:t>aming practices including sale of virtual items, in-game marketing, and digital currencie</w:t>
      </w:r>
      <w:r w:rsidR="00075F1C">
        <w:rPr>
          <w:highlight w:val="lightGray"/>
        </w:rPr>
        <w:t>s</w:t>
      </w:r>
      <w:r w:rsidR="00EC1868" w:rsidRPr="00750FA2">
        <w:rPr>
          <w:highlight w:val="lightGray"/>
        </w:rPr>
        <w:t>.</w:t>
      </w:r>
      <w:r w:rsidR="00EC1868" w:rsidRPr="00750FA2">
        <w:rPr>
          <w:rStyle w:val="EndnoteReference"/>
          <w:highlight w:val="lightGray"/>
        </w:rPr>
        <w:endnoteReference w:id="202"/>
      </w:r>
    </w:p>
    <w:p w14:paraId="6AA96FCC" w14:textId="77777777" w:rsidR="00EC1868" w:rsidRDefault="00EC1868" w:rsidP="002675F0">
      <w:pPr>
        <w:spacing w:after="0" w:line="240" w:lineRule="auto"/>
      </w:pPr>
    </w:p>
    <w:p w14:paraId="3D30C84D" w14:textId="77777777" w:rsidR="00114B24" w:rsidRDefault="00114B24" w:rsidP="002675F0">
      <w:pPr>
        <w:spacing w:after="0" w:line="240" w:lineRule="auto"/>
      </w:pPr>
    </w:p>
    <w:p w14:paraId="6E239DC6" w14:textId="7BE003CD" w:rsidR="001365F7" w:rsidRDefault="002675F0" w:rsidP="002675F0">
      <w:pPr>
        <w:spacing w:after="0" w:line="240" w:lineRule="auto"/>
      </w:pPr>
      <w:r>
        <w:t xml:space="preserve">Importantly, </w:t>
      </w:r>
      <w:r w:rsidR="00114B24">
        <w:t xml:space="preserve">Ontario has already established an important precedent </w:t>
      </w:r>
      <w:r w:rsidR="0097680D">
        <w:t>example of</w:t>
      </w:r>
      <w:r w:rsidR="00114B24">
        <w:t xml:space="preserve"> dedicated </w:t>
      </w:r>
      <w:r w:rsidR="00497A14">
        <w:t>digital legislation</w:t>
      </w:r>
      <w:r w:rsidR="0097680D">
        <w:t>.</w:t>
      </w:r>
      <w:r w:rsidR="00114B24">
        <w:t xml:space="preserve"> </w:t>
      </w:r>
    </w:p>
    <w:p w14:paraId="78D05D19" w14:textId="77777777" w:rsidR="001365F7" w:rsidRDefault="001365F7" w:rsidP="002675F0">
      <w:pPr>
        <w:spacing w:after="0" w:line="240" w:lineRule="auto"/>
      </w:pPr>
    </w:p>
    <w:p w14:paraId="676F9FF0" w14:textId="4C18BCBF" w:rsidR="00D32CA3" w:rsidRDefault="00D32CA3" w:rsidP="00114B24">
      <w:pPr>
        <w:spacing w:after="0" w:line="240" w:lineRule="auto"/>
      </w:pPr>
      <w:r>
        <w:t xml:space="preserve">In April 2022, </w:t>
      </w:r>
      <w:r w:rsidR="002675F0">
        <w:t xml:space="preserve">Ontario created and enacted a definition of “online digital platform” in the </w:t>
      </w:r>
      <w:r w:rsidR="002675F0" w:rsidRPr="1F5E9E68">
        <w:rPr>
          <w:i/>
          <w:iCs/>
        </w:rPr>
        <w:t>Digital Platform Workers’ Rights Act, 2022</w:t>
      </w:r>
      <w:r w:rsidR="002675F0">
        <w:t xml:space="preserve"> (DPWRA).</w:t>
      </w:r>
      <w:r w:rsidR="002675F0">
        <w:rPr>
          <w:rStyle w:val="EndnoteReference"/>
        </w:rPr>
        <w:endnoteReference w:id="203"/>
      </w:r>
      <w:r w:rsidR="002675F0">
        <w:t xml:space="preserve"> </w:t>
      </w:r>
      <w:r>
        <w:t xml:space="preserve">The DPWRA </w:t>
      </w:r>
      <w:r w:rsidR="002675F0">
        <w:t xml:space="preserve">establishes the first stand-alone definition of “digital platform” anywhere in Ontario law. The purpose of this legislation is to clarify certain employment and labour rights for those who work for an </w:t>
      </w:r>
    </w:p>
    <w:p w14:paraId="1188D8B4" w14:textId="77777777" w:rsidR="00D32CA3" w:rsidRDefault="00D32CA3" w:rsidP="00114B24">
      <w:pPr>
        <w:spacing w:after="0" w:line="240" w:lineRule="auto"/>
      </w:pPr>
    </w:p>
    <w:p w14:paraId="11D90637" w14:textId="6A287326" w:rsidR="00D32CA3" w:rsidRPr="008546ED" w:rsidRDefault="002675F0" w:rsidP="008546ED">
      <w:pPr>
        <w:spacing w:after="0" w:line="240" w:lineRule="auto"/>
        <w:ind w:left="720"/>
        <w:rPr>
          <w:i/>
          <w:iCs/>
        </w:rPr>
      </w:pPr>
      <w:r w:rsidRPr="008546ED">
        <w:rPr>
          <w:i/>
          <w:iCs/>
        </w:rPr>
        <w:t>online digital platform that allows workers to choose to accept or decline digital platform work… for the provision of for payment ride share, delivery, courier or other prescribed servi</w:t>
      </w:r>
      <w:r w:rsidR="00015E0E" w:rsidRPr="008546ED">
        <w:rPr>
          <w:i/>
          <w:iCs/>
        </w:rPr>
        <w:t>ces</w:t>
      </w:r>
      <w:r w:rsidRPr="008546ED">
        <w:rPr>
          <w:i/>
          <w:iCs/>
        </w:rPr>
        <w:t>...</w:t>
      </w:r>
      <w:r w:rsidRPr="008546ED">
        <w:rPr>
          <w:rStyle w:val="EndnoteReference"/>
          <w:i/>
          <w:iCs/>
        </w:rPr>
        <w:endnoteReference w:id="204"/>
      </w:r>
      <w:r w:rsidR="009E0094" w:rsidRPr="008546ED">
        <w:rPr>
          <w:i/>
          <w:iCs/>
        </w:rPr>
        <w:t xml:space="preserve"> </w:t>
      </w:r>
    </w:p>
    <w:p w14:paraId="54A3BA2D" w14:textId="77777777" w:rsidR="00D32CA3" w:rsidRDefault="00D32CA3" w:rsidP="00114B24">
      <w:pPr>
        <w:spacing w:after="0" w:line="240" w:lineRule="auto"/>
      </w:pPr>
    </w:p>
    <w:p w14:paraId="3E5D8CCF" w14:textId="1834A6C6" w:rsidR="002675F0" w:rsidRDefault="002675F0" w:rsidP="00114B24">
      <w:pPr>
        <w:spacing w:after="0" w:line="240" w:lineRule="auto"/>
      </w:pPr>
      <w:r>
        <w:t>The legislation mak</w:t>
      </w:r>
      <w:r w:rsidR="001365F7">
        <w:t>e</w:t>
      </w:r>
      <w:r w:rsidR="00D32CA3">
        <w:t>s</w:t>
      </w:r>
      <w:r w:rsidR="001365F7">
        <w:t xml:space="preserve"> </w:t>
      </w:r>
      <w:r>
        <w:t>platforms (and hence their ToS with workers) more transparent</w:t>
      </w:r>
      <w:r w:rsidR="001365F7">
        <w:t xml:space="preserve"> </w:t>
      </w:r>
      <w:r>
        <w:t>and balance</w:t>
      </w:r>
      <w:r w:rsidR="00D32CA3">
        <w:t>s</w:t>
      </w:r>
      <w:r>
        <w:t xml:space="preserve"> inequities between the worker and platform. </w:t>
      </w:r>
      <w:r w:rsidR="0097680D">
        <w:t>To achieve this, t</w:t>
      </w:r>
      <w:r>
        <w:t>he legislation creates a new category of worker, the “digital platform worker</w:t>
      </w:r>
      <w:r w:rsidR="0097680D">
        <w:t>,</w:t>
      </w:r>
      <w:r>
        <w:t xml:space="preserve">” </w:t>
      </w:r>
      <w:r w:rsidR="0097680D">
        <w:t>and</w:t>
      </w:r>
      <w:r>
        <w:t xml:space="preserve"> ensure</w:t>
      </w:r>
      <w:r w:rsidR="0097680D">
        <w:t>s workers</w:t>
      </w:r>
      <w:r>
        <w:t xml:space="preserve"> have access to</w:t>
      </w:r>
      <w:r w:rsidR="0097680D">
        <w:t xml:space="preserve"> “key</w:t>
      </w:r>
      <w:r>
        <w:t xml:space="preserve"> information</w:t>
      </w:r>
      <w:r w:rsidR="0097680D">
        <w:t>” and “market contexts” that impact them</w:t>
      </w:r>
      <w:r w:rsidR="00D32CA3">
        <w:t xml:space="preserve">, including </w:t>
      </w:r>
      <w:r w:rsidR="0097680D">
        <w:t xml:space="preserve">notice and disclosure of how the platform calculates worker pay; </w:t>
      </w:r>
      <w:r>
        <w:t xml:space="preserve">notice of removal </w:t>
      </w:r>
      <w:r w:rsidR="0097680D">
        <w:t xml:space="preserve">of the worker </w:t>
      </w:r>
      <w:r>
        <w:t>from the platform</w:t>
      </w:r>
      <w:r w:rsidR="0097680D">
        <w:t xml:space="preserve">; </w:t>
      </w:r>
      <w:r>
        <w:t>how algorithmic performance rating is conducted</w:t>
      </w:r>
      <w:r w:rsidR="0097680D">
        <w:t xml:space="preserve">; </w:t>
      </w:r>
      <w:r>
        <w:t>and freedom from reprisals</w:t>
      </w:r>
      <w:r w:rsidR="0097680D">
        <w:t xml:space="preserve"> (such as worker account suspension and de-platforming) when workers raise concerns</w:t>
      </w:r>
      <w:r>
        <w:t>.</w:t>
      </w:r>
      <w:r>
        <w:rPr>
          <w:rStyle w:val="EndnoteReference"/>
        </w:rPr>
        <w:endnoteReference w:id="205"/>
      </w:r>
    </w:p>
    <w:p w14:paraId="15E1C30B" w14:textId="77777777" w:rsidR="00114B24" w:rsidRDefault="00114B24" w:rsidP="007A41A0">
      <w:pPr>
        <w:spacing w:after="0" w:line="240" w:lineRule="auto"/>
      </w:pPr>
    </w:p>
    <w:p w14:paraId="0B1C8FA1" w14:textId="2393F132" w:rsidR="002675F0" w:rsidRDefault="00D32CA3" w:rsidP="002A00CE">
      <w:r>
        <w:t>T</w:t>
      </w:r>
      <w:r w:rsidR="00D95251">
        <w:t xml:space="preserve">here are several </w:t>
      </w:r>
      <w:r w:rsidR="00497A14">
        <w:t xml:space="preserve">potential benefits </w:t>
      </w:r>
      <w:r w:rsidR="0097680D">
        <w:t xml:space="preserve">of applying this approach to modernize online consumer </w:t>
      </w:r>
      <w:r w:rsidR="00881210">
        <w:t xml:space="preserve">practices </w:t>
      </w:r>
      <w:r w:rsidR="0097680D">
        <w:t>in Ontario.</w:t>
      </w:r>
    </w:p>
    <w:p w14:paraId="0875FC79" w14:textId="67D0AB82" w:rsidR="00E83380" w:rsidRDefault="003C6DDF" w:rsidP="003C6DDF">
      <w:r>
        <w:t xml:space="preserve">First, adding new and specific CPA definitions of “online” practices </w:t>
      </w:r>
      <w:r w:rsidR="00497A14">
        <w:t>c</w:t>
      </w:r>
      <w:r>
        <w:t xml:space="preserve">ould create a legislative and regulatory framework to address the wide range of consumer harms and risks that arise uniquely (or </w:t>
      </w:r>
      <w:r>
        <w:lastRenderedPageBreak/>
        <w:t xml:space="preserve">primarily) in the digital marketplace. For example, dedicated definitions and provisions </w:t>
      </w:r>
      <w:r w:rsidR="00497A14">
        <w:t>c</w:t>
      </w:r>
      <w:r>
        <w:t>ould allow the CPA to identify regulations and practices that address the complexity of</w:t>
      </w:r>
      <w:r w:rsidR="00D95251">
        <w:t xml:space="preserve"> online </w:t>
      </w:r>
      <w:r>
        <w:t xml:space="preserve">ToS contracts; issues relating to online disclosure, notice and consent; </w:t>
      </w:r>
      <w:r w:rsidR="00C777AE">
        <w:t xml:space="preserve">issues related to unconscionability; </w:t>
      </w:r>
      <w:r>
        <w:t xml:space="preserve">and “dark patterns.” Dedicated definitions and provisions </w:t>
      </w:r>
      <w:r w:rsidR="00497A14">
        <w:t>c</w:t>
      </w:r>
      <w:r>
        <w:t xml:space="preserve">ould also allow the CPA to address the impact digital terms of service may have on privacy rights, consumer profiling, </w:t>
      </w:r>
      <w:r w:rsidR="00C777AE">
        <w:t xml:space="preserve">content creator rights, </w:t>
      </w:r>
      <w:r w:rsidR="00881210">
        <w:t xml:space="preserve">platform misogyny, </w:t>
      </w:r>
      <w:r>
        <w:t>as well as to employment and labour righ</w:t>
      </w:r>
      <w:r w:rsidR="00D95251">
        <w:t>ts.</w:t>
      </w:r>
    </w:p>
    <w:p w14:paraId="7F2B66E5" w14:textId="3DD1B43D" w:rsidR="003C6DDF" w:rsidRDefault="00A76A2E" w:rsidP="003C6DDF">
      <w:r>
        <w:t xml:space="preserve">This approach focuses on </w:t>
      </w:r>
      <w:r w:rsidR="00131D45">
        <w:t xml:space="preserve">what businesses do in online transactions rather than trying to define how or where a contract is formed. Trying to define “online contracts” is very difficult. In reality, most contracts are a hybrid of online and offline activities, like buying something in a store while having the receipt emailed. </w:t>
      </w:r>
      <w:r w:rsidR="002F5738">
        <w:t>Instead, the emphasis is on defining practices which take place in the online or digital marketplace that may raise legitimate consumer protection issues.</w:t>
      </w:r>
      <w:r>
        <w:t xml:space="preserve"> </w:t>
      </w:r>
    </w:p>
    <w:p w14:paraId="333EF2A7" w14:textId="17FA3FDA" w:rsidR="00194CE9" w:rsidRDefault="002F5738" w:rsidP="003C6DDF">
      <w:r>
        <w:t>In this regard, a</w:t>
      </w:r>
      <w:r w:rsidR="00D32CA3">
        <w:t xml:space="preserve"> </w:t>
      </w:r>
      <w:r w:rsidR="00194CE9" w:rsidRPr="00EA670D">
        <w:t xml:space="preserve">definition of “online” </w:t>
      </w:r>
      <w:r w:rsidR="00194CE9">
        <w:t xml:space="preserve">may be </w:t>
      </w:r>
      <w:r w:rsidR="00194CE9" w:rsidRPr="00EA670D">
        <w:t xml:space="preserve">needed to establish </w:t>
      </w:r>
      <w:r w:rsidR="00194CE9">
        <w:t xml:space="preserve">a core set of </w:t>
      </w:r>
      <w:r w:rsidR="00194CE9" w:rsidRPr="00EA670D">
        <w:t xml:space="preserve">broad and equivalent protection of consumers anywhere in the </w:t>
      </w:r>
      <w:r w:rsidR="00194CE9" w:rsidRPr="007A41A0">
        <w:t>digital marketplace</w:t>
      </w:r>
      <w:r w:rsidR="00194CE9">
        <w:t xml:space="preserve">. This is </w:t>
      </w:r>
      <w:r w:rsidR="00194CE9" w:rsidRPr="00EA670D">
        <w:t xml:space="preserve">consistent with long-established foundational principles </w:t>
      </w:r>
      <w:r w:rsidR="00194CE9">
        <w:t>of consumer protection law that aims to ensure equivalent protection anywhere, thus increasing consumer confidence while limiting harms.</w:t>
      </w:r>
    </w:p>
    <w:p w14:paraId="139E65AD" w14:textId="026475D5" w:rsidR="003C6DDF" w:rsidRDefault="003C6DDF" w:rsidP="003C6DDF">
      <w:r>
        <w:t xml:space="preserve">Second, </w:t>
      </w:r>
      <w:r w:rsidR="00497A14">
        <w:t xml:space="preserve">this </w:t>
      </w:r>
      <w:r>
        <w:t xml:space="preserve">approach </w:t>
      </w:r>
      <w:r w:rsidR="00497A14">
        <w:t>c</w:t>
      </w:r>
      <w:r>
        <w:t>ould benefit Ontario businesses by clarifying that “online” CPA provisions would not apply to businesses that do not operate in the digital marketplace businesses</w:t>
      </w:r>
      <w:r w:rsidR="00881210">
        <w:t xml:space="preserve"> or who engage in specified online practices that merit consumer protection</w:t>
      </w:r>
      <w:r w:rsidR="009919D0">
        <w:t xml:space="preserve">.  This approach would </w:t>
      </w:r>
      <w:r>
        <w:t>reduc</w:t>
      </w:r>
      <w:r w:rsidR="009919D0">
        <w:t>e</w:t>
      </w:r>
      <w:r w:rsidR="00AA096C">
        <w:t xml:space="preserve"> </w:t>
      </w:r>
      <w:r>
        <w:t>regulatory uncertainty and burdens for many Ontario businesses and services</w:t>
      </w:r>
      <w:r w:rsidR="009919D0">
        <w:t xml:space="preserve">, satisfying </w:t>
      </w:r>
      <w:r>
        <w:t xml:space="preserve">a key </w:t>
      </w:r>
      <w:r w:rsidR="00497A14">
        <w:t>provincial priority</w:t>
      </w:r>
      <w:r>
        <w:t>.</w:t>
      </w:r>
      <w:r>
        <w:rPr>
          <w:rStyle w:val="EndnoteReference"/>
        </w:rPr>
        <w:endnoteReference w:id="206"/>
      </w:r>
    </w:p>
    <w:p w14:paraId="23ACAEB0" w14:textId="3C845F21" w:rsidR="00EB6376" w:rsidRDefault="00BC12F5" w:rsidP="00BC12F5">
      <w:r>
        <w:t xml:space="preserve">Third, </w:t>
      </w:r>
      <w:r w:rsidR="00497A14">
        <w:t xml:space="preserve">this </w:t>
      </w:r>
      <w:r>
        <w:t>approach</w:t>
      </w:r>
      <w:r w:rsidR="00497A14">
        <w:t xml:space="preserve"> could</w:t>
      </w:r>
      <w:r w:rsidR="00114B24">
        <w:t xml:space="preserve"> </w:t>
      </w:r>
      <w:r w:rsidR="00497A14">
        <w:t xml:space="preserve">promote </w:t>
      </w:r>
      <w:r>
        <w:t>harmonization and reduc</w:t>
      </w:r>
      <w:r w:rsidR="00497A14">
        <w:t>e</w:t>
      </w:r>
      <w:r w:rsidR="00114B24">
        <w:t xml:space="preserve"> </w:t>
      </w:r>
      <w:r>
        <w:t>compliance costs for businesses and consumers.</w:t>
      </w:r>
      <w:r w:rsidR="00F00B78">
        <w:t xml:space="preserve"> It would also make compliance for all businesses easier and </w:t>
      </w:r>
      <w:r w:rsidR="2999D73A">
        <w:t>clearer, and</w:t>
      </w:r>
      <w:r w:rsidR="00F00B78">
        <w:t xml:space="preserve"> eliminate the “race to the bottom” that disadvantages consumers and honest businesses alike.</w:t>
      </w:r>
    </w:p>
    <w:p w14:paraId="1A41268D" w14:textId="77777777" w:rsidR="00194CE9" w:rsidRDefault="00194CE9" w:rsidP="00F50ACC">
      <w:pPr>
        <w:spacing w:after="0" w:line="240" w:lineRule="auto"/>
      </w:pPr>
    </w:p>
    <w:p w14:paraId="584B1179" w14:textId="0C804F46" w:rsidR="00194CE9" w:rsidRDefault="00194CE9" w:rsidP="00520F7A"/>
    <w:p w14:paraId="316DE3E8" w14:textId="630925FF" w:rsidR="00EC1868" w:rsidRPr="00EC1868" w:rsidRDefault="00EC1868" w:rsidP="00520F7A">
      <w:pPr>
        <w:rPr>
          <w:highlight w:val="lightGray"/>
        </w:rPr>
      </w:pPr>
      <w:r w:rsidRPr="00EC1868">
        <w:rPr>
          <w:highlight w:val="lightGray"/>
        </w:rPr>
        <w:t xml:space="preserve">SIDEBAR: </w:t>
      </w:r>
      <w:r w:rsidRPr="00EC1868">
        <w:rPr>
          <w:b/>
          <w:bCs/>
          <w:highlight w:val="lightGray"/>
        </w:rPr>
        <w:t xml:space="preserve">Consultation Questions: Defining “Online” </w:t>
      </w:r>
      <w:r w:rsidR="00881210">
        <w:rPr>
          <w:b/>
          <w:bCs/>
          <w:highlight w:val="lightGray"/>
        </w:rPr>
        <w:t>Practices</w:t>
      </w:r>
      <w:r w:rsidR="00881210" w:rsidRPr="00EC1868">
        <w:rPr>
          <w:b/>
          <w:bCs/>
          <w:highlight w:val="lightGray"/>
        </w:rPr>
        <w:t xml:space="preserve"> </w:t>
      </w:r>
      <w:r w:rsidRPr="00EC1868">
        <w:rPr>
          <w:b/>
          <w:bCs/>
          <w:highlight w:val="lightGray"/>
        </w:rPr>
        <w:t>and Establishing Dedicated Provisions</w:t>
      </w:r>
    </w:p>
    <w:p w14:paraId="0A645F6F" w14:textId="71039BA0" w:rsidR="00EC1868" w:rsidRPr="00EC1868" w:rsidRDefault="00EC1868" w:rsidP="00EC1868">
      <w:pPr>
        <w:spacing w:line="256" w:lineRule="auto"/>
        <w:ind w:left="1440" w:hanging="1440"/>
        <w:rPr>
          <w:rFonts w:ascii="Calibri" w:eastAsia="Calibri" w:hAnsi="Calibri" w:cs="Times New Roman"/>
          <w:i/>
          <w:iCs/>
          <w:highlight w:val="lightGray"/>
        </w:rPr>
      </w:pPr>
      <w:r w:rsidRPr="00EC1868">
        <w:rPr>
          <w:rFonts w:ascii="Calibri" w:eastAsia="Calibri" w:hAnsi="Calibri" w:cs="Times New Roman"/>
          <w:i/>
          <w:iCs/>
          <w:highlight w:val="lightGray"/>
        </w:rPr>
        <w:t>Question 1:</w:t>
      </w:r>
      <w:r w:rsidRPr="00EC1868">
        <w:rPr>
          <w:rFonts w:ascii="Calibri" w:eastAsia="Calibri" w:hAnsi="Calibri" w:cs="Times New Roman"/>
          <w:i/>
          <w:iCs/>
          <w:highlight w:val="lightGray"/>
        </w:rPr>
        <w:tab/>
        <w:t xml:space="preserve">What factor or factors distinguish “online” </w:t>
      </w:r>
      <w:r w:rsidR="00881210">
        <w:rPr>
          <w:rFonts w:ascii="Calibri" w:eastAsia="Calibri" w:hAnsi="Calibri" w:cs="Times New Roman"/>
          <w:i/>
          <w:iCs/>
          <w:highlight w:val="lightGray"/>
        </w:rPr>
        <w:t>practices</w:t>
      </w:r>
      <w:r w:rsidR="00881210" w:rsidRPr="00EC1868">
        <w:rPr>
          <w:rFonts w:ascii="Calibri" w:eastAsia="Calibri" w:hAnsi="Calibri" w:cs="Times New Roman"/>
          <w:i/>
          <w:iCs/>
          <w:highlight w:val="lightGray"/>
        </w:rPr>
        <w:t xml:space="preserve"> </w:t>
      </w:r>
      <w:r w:rsidRPr="00EC1868">
        <w:rPr>
          <w:rFonts w:ascii="Calibri" w:eastAsia="Calibri" w:hAnsi="Calibri" w:cs="Times New Roman"/>
          <w:i/>
          <w:iCs/>
          <w:highlight w:val="lightGray"/>
        </w:rPr>
        <w:t>from other forms of contract identified in the Consumer Protection Act (CPA)?</w:t>
      </w:r>
    </w:p>
    <w:p w14:paraId="47ADEBD5" w14:textId="7DA31BF3" w:rsidR="00EC1868" w:rsidRPr="00497C4C" w:rsidRDefault="00EC1868" w:rsidP="00EC1868">
      <w:pPr>
        <w:spacing w:line="256" w:lineRule="auto"/>
        <w:ind w:left="1440" w:hanging="1440"/>
        <w:rPr>
          <w:rFonts w:ascii="Calibri" w:eastAsia="Calibri" w:hAnsi="Calibri" w:cs="Times New Roman"/>
          <w:i/>
          <w:iCs/>
          <w:color w:val="FF0000"/>
        </w:rPr>
      </w:pPr>
      <w:r w:rsidRPr="00EC1868">
        <w:rPr>
          <w:rFonts w:ascii="Calibri" w:eastAsia="Calibri" w:hAnsi="Calibri" w:cs="Times New Roman"/>
          <w:i/>
          <w:iCs/>
          <w:highlight w:val="lightGray"/>
        </w:rPr>
        <w:t xml:space="preserve">Question 2: </w:t>
      </w:r>
      <w:r w:rsidRPr="00EC1868">
        <w:rPr>
          <w:rFonts w:ascii="Calibri" w:eastAsia="Calibri" w:hAnsi="Calibri" w:cs="Times New Roman"/>
          <w:i/>
          <w:iCs/>
          <w:highlight w:val="lightGray"/>
        </w:rPr>
        <w:tab/>
        <w:t>Should Ontario create a statutory or regulatory framework to address potential consumer risks and harms in the digital marketplace? If so, should the CPA be amended to add a statutory definition of “online</w:t>
      </w:r>
      <w:r w:rsidR="00881210">
        <w:rPr>
          <w:rFonts w:ascii="Calibri" w:eastAsia="Calibri" w:hAnsi="Calibri" w:cs="Times New Roman"/>
          <w:i/>
          <w:iCs/>
          <w:highlight w:val="lightGray"/>
        </w:rPr>
        <w:t>” practices</w:t>
      </w:r>
      <w:r w:rsidRPr="00EC1868">
        <w:rPr>
          <w:rFonts w:ascii="Calibri" w:eastAsia="Calibri" w:hAnsi="Calibri" w:cs="Times New Roman"/>
          <w:i/>
          <w:iCs/>
          <w:highlight w:val="lightGray"/>
        </w:rPr>
        <w:t xml:space="preserve">?  How should “online” </w:t>
      </w:r>
      <w:r w:rsidR="00881210">
        <w:rPr>
          <w:rFonts w:ascii="Calibri" w:eastAsia="Calibri" w:hAnsi="Calibri" w:cs="Times New Roman"/>
          <w:i/>
          <w:iCs/>
          <w:highlight w:val="lightGray"/>
        </w:rPr>
        <w:t>practices</w:t>
      </w:r>
      <w:r w:rsidR="00881210" w:rsidRPr="00EC1868">
        <w:rPr>
          <w:rFonts w:ascii="Calibri" w:eastAsia="Calibri" w:hAnsi="Calibri" w:cs="Times New Roman"/>
          <w:i/>
          <w:iCs/>
          <w:highlight w:val="lightGray"/>
        </w:rPr>
        <w:t xml:space="preserve"> </w:t>
      </w:r>
      <w:r w:rsidRPr="00EC1868">
        <w:rPr>
          <w:rFonts w:ascii="Calibri" w:eastAsia="Calibri" w:hAnsi="Calibri" w:cs="Times New Roman"/>
          <w:i/>
          <w:iCs/>
          <w:highlight w:val="lightGray"/>
        </w:rPr>
        <w:t>be defined?</w:t>
      </w:r>
      <w:r w:rsidRPr="00497C4C">
        <w:rPr>
          <w:rFonts w:ascii="Calibri" w:eastAsia="Calibri" w:hAnsi="Calibri" w:cs="Times New Roman"/>
          <w:i/>
          <w:iCs/>
        </w:rPr>
        <w:t xml:space="preserve"> </w:t>
      </w:r>
    </w:p>
    <w:p w14:paraId="2CAC9A6E" w14:textId="77777777" w:rsidR="004D405E" w:rsidRPr="00EB19BE" w:rsidRDefault="004D405E" w:rsidP="004D405E">
      <w:pPr>
        <w:rPr>
          <w:color w:val="FF0000"/>
        </w:rPr>
      </w:pPr>
    </w:p>
    <w:p w14:paraId="74AD32E4" w14:textId="241D5AF8" w:rsidR="004D405E" w:rsidRDefault="00CB3F15" w:rsidP="00CB3F15">
      <w:pPr>
        <w:pStyle w:val="Heading2"/>
      </w:pPr>
      <w:bookmarkStart w:id="64" w:name="_Toc138151854"/>
      <w:r>
        <w:t>6.2</w:t>
      </w:r>
      <w:r>
        <w:tab/>
      </w:r>
      <w:r w:rsidR="004D405E">
        <w:t>Eliminate the CPA’s Monetary Threshold to Better Protect Consumers Using Free, Low-Cost, or Occasional Cost Services</w:t>
      </w:r>
      <w:bookmarkEnd w:id="64"/>
    </w:p>
    <w:p w14:paraId="3386593A" w14:textId="77777777" w:rsidR="004D405E" w:rsidRDefault="004D405E" w:rsidP="004D405E"/>
    <w:p w14:paraId="4419DE69" w14:textId="0E439063" w:rsidR="004D405E" w:rsidRPr="00E32542" w:rsidRDefault="004D405E" w:rsidP="004D405E">
      <w:r w:rsidRPr="00E32542">
        <w:t xml:space="preserve">At present, </w:t>
      </w:r>
      <w:r w:rsidR="002D6FF6">
        <w:t xml:space="preserve">some of </w:t>
      </w:r>
      <w:r w:rsidRPr="00E32542">
        <w:t>the CPA’s consumer protections are dependent on the monetary threshold of the consumer contract.</w:t>
      </w:r>
      <w:r w:rsidR="009E0094">
        <w:t xml:space="preserve"> </w:t>
      </w:r>
      <w:r w:rsidRPr="00E32542">
        <w:t>For example, the CPA current consumer protections for “internet agreements” (listed above) only apply where the value of the transaction is $50 and over.</w:t>
      </w:r>
      <w:r w:rsidRPr="00E32542">
        <w:rPr>
          <w:rStyle w:val="EndnoteReference"/>
        </w:rPr>
        <w:endnoteReference w:id="207"/>
      </w:r>
      <w:r w:rsidRPr="00E32542">
        <w:t xml:space="preserve"> </w:t>
      </w:r>
    </w:p>
    <w:p w14:paraId="2F7641E7" w14:textId="127D61BC" w:rsidR="004D405E" w:rsidRPr="00E32542" w:rsidRDefault="004D405E" w:rsidP="004D405E">
      <w:r w:rsidRPr="00E32542">
        <w:lastRenderedPageBreak/>
        <w:t>The provincial government’s proposed “contract entered into online” does not clarify whether the CPA’s existing monetary thresholds will continue to apply.</w:t>
      </w:r>
      <w:r w:rsidR="009E0094">
        <w:t xml:space="preserve"> </w:t>
      </w:r>
      <w:r w:rsidRPr="00E32542">
        <w:t>The lack of clarity regarding online contracts and monetary thresholds potentially undermines consumer protections for many common online services used by Ontario’s consumers that are provided free, at low-cost, through indefinite subscription fees, or supplemented through “micro-transactions.”</w:t>
      </w:r>
      <w:r w:rsidRPr="00E32542">
        <w:rPr>
          <w:rStyle w:val="EndnoteReference"/>
        </w:rPr>
        <w:endnoteReference w:id="208"/>
      </w:r>
      <w:r w:rsidRPr="00E32542">
        <w:t xml:space="preserve"> </w:t>
      </w:r>
    </w:p>
    <w:p w14:paraId="66CB1A00" w14:textId="754EBD23" w:rsidR="004D405E" w:rsidRDefault="004D405E" w:rsidP="004D405E">
      <w:r w:rsidRPr="00E32542">
        <w:t xml:space="preserve">Equally important, many online services rely on non-monetary exchanges of value such as consumer data monetization, reward points, platform tokens or currency, and the like. </w:t>
      </w:r>
      <w:r w:rsidR="007135FE">
        <w:t>Regulators</w:t>
      </w:r>
      <w:r w:rsidRPr="00E32542">
        <w:t xml:space="preserve"> have begun to recognize the contractual value of these transactions and how they can contribute to an exploitative and unbalanced (and perhaps unconscionable) bargain between the supplier and consumer.</w:t>
      </w:r>
      <w:r w:rsidRPr="00E32542">
        <w:rPr>
          <w:rStyle w:val="EndnoteReference"/>
        </w:rPr>
        <w:endnoteReference w:id="209"/>
      </w:r>
      <w:r w:rsidR="009E0094">
        <w:t xml:space="preserve"> </w:t>
      </w:r>
      <w:r w:rsidRPr="00E32542">
        <w:t>These transactions may be exempt from the CPA’s present and proposed definition of “online contract.”</w:t>
      </w:r>
      <w:r>
        <w:t xml:space="preserve"> </w:t>
      </w:r>
    </w:p>
    <w:p w14:paraId="679A078A" w14:textId="77777777" w:rsidR="004D405E" w:rsidRDefault="004D405E" w:rsidP="004D405E">
      <w:r w:rsidRPr="00D718FD">
        <w:t>When the Ontario CPA was drafted, the $50 threshold was created to avoid imposing too much in the way of formalities on low value contracts.</w:t>
      </w:r>
      <w:r>
        <w:rPr>
          <w:rStyle w:val="EndnoteReference"/>
        </w:rPr>
        <w:endnoteReference w:id="210"/>
      </w:r>
      <w:r w:rsidRPr="00D718FD">
        <w:t xml:space="preserve"> The world of </w:t>
      </w:r>
      <w:r>
        <w:t xml:space="preserve">free, low-cost, occasional cost platforms and business models (such as those used by Facebook, Google, Twitter, and many others) </w:t>
      </w:r>
      <w:r w:rsidRPr="00D718FD">
        <w:t xml:space="preserve">was not on </w:t>
      </w:r>
      <w:r>
        <w:t>the minds of legislators</w:t>
      </w:r>
      <w:r w:rsidRPr="00D718FD">
        <w:t>.</w:t>
      </w:r>
      <w:r w:rsidRPr="000F2B86">
        <w:rPr>
          <w:rStyle w:val="EndnoteReference"/>
        </w:rPr>
        <w:t xml:space="preserve"> </w:t>
      </w:r>
      <w:r>
        <w:rPr>
          <w:rStyle w:val="EndnoteReference"/>
        </w:rPr>
        <w:endnoteReference w:id="211"/>
      </w:r>
    </w:p>
    <w:p w14:paraId="1B202196" w14:textId="77777777" w:rsidR="004D405E" w:rsidRDefault="004D405E" w:rsidP="004D405E">
      <w:r>
        <w:t>Unsurprisingly, courts have struggled to consistently interpret these provisions for the contemporary era. Current case law suggests that some of these situations may satisfy the $50 threshold and thus trigger the protection of the CPA to specific notice and disclosure requirements.</w:t>
      </w:r>
      <w:r>
        <w:rPr>
          <w:rStyle w:val="EndnoteReference"/>
        </w:rPr>
        <w:endnoteReference w:id="212"/>
      </w:r>
      <w:r>
        <w:t xml:space="preserve"> Furthermore, ToS contracts may voluntarily be structured to comply with these requirements even if many of the dealings would not need to comply given that the consumer does not pay more than $50. At the same time, case law is equivocal, reactive, and voluntary compliance is inconsistent.</w:t>
      </w:r>
      <w:r>
        <w:rPr>
          <w:rStyle w:val="EndnoteReference"/>
        </w:rPr>
        <w:endnoteReference w:id="213"/>
      </w:r>
    </w:p>
    <w:p w14:paraId="6D418C6E" w14:textId="6F1B301A" w:rsidR="009B0B46" w:rsidRDefault="006F4A7D" w:rsidP="009B0B46">
      <w:r>
        <w:t xml:space="preserve">A </w:t>
      </w:r>
      <w:r w:rsidR="009B0B46">
        <w:t>modern CPA could eliminate its $50 monetary threshold to better protect consumers of free, low-cost or occasional cost services. CPA reforms could also explicitly cover accumulated transactions, such as those through indefinite subscription fees, occasional “micro-transactions.”</w:t>
      </w:r>
    </w:p>
    <w:p w14:paraId="546EF00E" w14:textId="6FF3AA52" w:rsidR="004D405E" w:rsidRDefault="004D405E" w:rsidP="004D405E">
      <w:r>
        <w:t xml:space="preserve">Ontario could modernize the CPA to account for these situations by adopting the approach taken in British Columbia. The BC </w:t>
      </w:r>
      <w:r w:rsidRPr="1F5E9E68">
        <w:rPr>
          <w:i/>
          <w:iCs/>
        </w:rPr>
        <w:t xml:space="preserve">Consumer Protection Act </w:t>
      </w:r>
      <w:r>
        <w:t>declines to set a monetary threshold notice and disclosure requirements broadly applicable to ToS contracts.</w:t>
      </w:r>
      <w:r>
        <w:rPr>
          <w:rStyle w:val="EndnoteReference"/>
        </w:rPr>
        <w:endnoteReference w:id="214"/>
      </w:r>
      <w:r>
        <w:t xml:space="preserve"> </w:t>
      </w:r>
      <w:r w:rsidR="006F4A7D">
        <w:t xml:space="preserve">This could </w:t>
      </w:r>
      <w:r>
        <w:t xml:space="preserve">achieve </w:t>
      </w:r>
      <w:r w:rsidR="006F4A7D">
        <w:t xml:space="preserve">an important </w:t>
      </w:r>
      <w:r>
        <w:t>goal of the 2023 Ontario CPA consultations</w:t>
      </w:r>
      <w:r w:rsidR="006E3939">
        <w:t xml:space="preserve">:  </w:t>
      </w:r>
      <w:r>
        <w:t xml:space="preserve">to simplify and consolidate of core protections broadly applicable anywhere in the digital marketplace. It </w:t>
      </w:r>
      <w:r w:rsidR="006E3939">
        <w:t>c</w:t>
      </w:r>
      <w:r>
        <w:t>ould also streamline business compliance and certainty while improving consumer confidence.</w:t>
      </w:r>
    </w:p>
    <w:p w14:paraId="00BBEE4A" w14:textId="70A16691" w:rsidR="00E24143" w:rsidRPr="00E24143" w:rsidRDefault="00E24143" w:rsidP="00E24143">
      <w:pPr>
        <w:spacing w:line="256" w:lineRule="auto"/>
        <w:rPr>
          <w:rFonts w:ascii="Calibri" w:eastAsia="Calibri" w:hAnsi="Calibri" w:cs="Times New Roman"/>
          <w:b/>
          <w:iCs/>
          <w:highlight w:val="lightGray"/>
        </w:rPr>
      </w:pPr>
      <w:r w:rsidRPr="00E24143">
        <w:rPr>
          <w:rFonts w:ascii="Calibri" w:eastAsia="Calibri" w:hAnsi="Calibri" w:cs="Times New Roman"/>
          <w:b/>
          <w:iCs/>
          <w:highlight w:val="lightGray"/>
        </w:rPr>
        <w:t xml:space="preserve">SIDEBAR: Consultation Questions: </w:t>
      </w:r>
      <w:r>
        <w:rPr>
          <w:rFonts w:ascii="Calibri" w:eastAsia="Calibri" w:hAnsi="Calibri" w:cs="Times New Roman"/>
          <w:b/>
          <w:iCs/>
          <w:highlight w:val="lightGray"/>
        </w:rPr>
        <w:t xml:space="preserve">Modernizing the </w:t>
      </w:r>
      <w:r w:rsidRPr="00E24143">
        <w:rPr>
          <w:rFonts w:ascii="Calibri" w:eastAsia="Calibri" w:hAnsi="Calibri" w:cs="Times New Roman"/>
          <w:b/>
          <w:iCs/>
          <w:highlight w:val="lightGray"/>
        </w:rPr>
        <w:t>Monetary Threshol</w:t>
      </w:r>
      <w:r>
        <w:rPr>
          <w:rFonts w:ascii="Calibri" w:eastAsia="Calibri" w:hAnsi="Calibri" w:cs="Times New Roman"/>
          <w:b/>
          <w:iCs/>
          <w:highlight w:val="lightGray"/>
        </w:rPr>
        <w:t>d for Protection under the CPA</w:t>
      </w:r>
      <w:r w:rsidRPr="00E24143">
        <w:rPr>
          <w:rFonts w:ascii="Calibri" w:eastAsia="Calibri" w:hAnsi="Calibri" w:cs="Times New Roman"/>
          <w:b/>
          <w:iCs/>
          <w:highlight w:val="lightGray"/>
        </w:rPr>
        <w:t xml:space="preserve"> </w:t>
      </w:r>
    </w:p>
    <w:p w14:paraId="44B14681" w14:textId="77777777" w:rsidR="00E24143" w:rsidRPr="00497C4C" w:rsidRDefault="00E24143" w:rsidP="00E24143">
      <w:pPr>
        <w:spacing w:line="256" w:lineRule="auto"/>
        <w:ind w:left="1440" w:hanging="1440"/>
        <w:rPr>
          <w:rFonts w:ascii="Calibri" w:eastAsia="Calibri" w:hAnsi="Calibri" w:cs="Times New Roman"/>
          <w:i/>
          <w:iCs/>
        </w:rPr>
      </w:pPr>
      <w:r w:rsidRPr="00E24143">
        <w:rPr>
          <w:rFonts w:ascii="Calibri" w:eastAsia="Calibri" w:hAnsi="Calibri" w:cs="Times New Roman"/>
          <w:i/>
          <w:iCs/>
          <w:highlight w:val="lightGray"/>
        </w:rPr>
        <w:t xml:space="preserve">Question 3: </w:t>
      </w:r>
      <w:r w:rsidRPr="00E24143">
        <w:rPr>
          <w:rFonts w:ascii="Calibri" w:eastAsia="Calibri" w:hAnsi="Calibri" w:cs="Times New Roman"/>
          <w:i/>
          <w:iCs/>
          <w:highlight w:val="lightGray"/>
        </w:rPr>
        <w:tab/>
        <w:t>Should the CPA be amended to eliminate the monetary threshold (currently $50) for consumer protections for “online” contracts?  What are the potential benefits and drawbacks of eliminating the monetary threshold?</w:t>
      </w:r>
    </w:p>
    <w:p w14:paraId="6D4A07EF" w14:textId="77777777" w:rsidR="004D405E" w:rsidRDefault="004D405E" w:rsidP="004D405E"/>
    <w:p w14:paraId="4C1F5848" w14:textId="14D98020" w:rsidR="004D405E" w:rsidRDefault="004A1CA0" w:rsidP="004A1CA0">
      <w:pPr>
        <w:pStyle w:val="Heading2"/>
      </w:pPr>
      <w:bookmarkStart w:id="65" w:name="_Toc138151855"/>
      <w:r>
        <w:t>6.3</w:t>
      </w:r>
      <w:r>
        <w:tab/>
      </w:r>
      <w:r w:rsidR="004D405E">
        <w:t>Regulate Unilateral Changes to ToS</w:t>
      </w:r>
      <w:bookmarkEnd w:id="65"/>
    </w:p>
    <w:p w14:paraId="698A90C1" w14:textId="77777777" w:rsidR="004D405E" w:rsidRDefault="004D405E" w:rsidP="004D405E">
      <w:pPr>
        <w:spacing w:after="0"/>
      </w:pPr>
    </w:p>
    <w:p w14:paraId="49D33F7D" w14:textId="518FC91C" w:rsidR="004D405E" w:rsidRDefault="006E3939" w:rsidP="004D405E">
      <w:pPr>
        <w:spacing w:after="0"/>
      </w:pPr>
      <w:r>
        <w:t xml:space="preserve">Ontario’s </w:t>
      </w:r>
      <w:r w:rsidR="004D405E">
        <w:t>2023 Consultation Paper includes two proposals to update the CPA’s unilateral amendment</w:t>
      </w:r>
      <w:r w:rsidR="00702979">
        <w:t xml:space="preserve"> </w:t>
      </w:r>
      <w:r w:rsidR="004D405E">
        <w:t xml:space="preserve">provisions. The proposals would require explicit consent to any amendments for most consumer contracts, </w:t>
      </w:r>
      <w:r>
        <w:t xml:space="preserve">subject to </w:t>
      </w:r>
      <w:r w:rsidR="004D405E">
        <w:t>two exceptions:</w:t>
      </w:r>
    </w:p>
    <w:p w14:paraId="4837812A" w14:textId="77777777" w:rsidR="004D405E" w:rsidRDefault="004D405E" w:rsidP="004D405E">
      <w:pPr>
        <w:spacing w:after="0"/>
      </w:pPr>
    </w:p>
    <w:p w14:paraId="14631189" w14:textId="77777777" w:rsidR="004D405E" w:rsidRDefault="004D405E" w:rsidP="00470F77">
      <w:pPr>
        <w:pStyle w:val="ListParagraph"/>
        <w:numPr>
          <w:ilvl w:val="0"/>
          <w:numId w:val="58"/>
        </w:numPr>
        <w:spacing w:after="0"/>
      </w:pPr>
      <w:r>
        <w:lastRenderedPageBreak/>
        <w:t>Where the changes do not reduce the obligations of the supplier or increase the obligations of the consumer; or</w:t>
      </w:r>
    </w:p>
    <w:p w14:paraId="3A6DDCFB" w14:textId="01188BA2" w:rsidR="004D405E" w:rsidRDefault="004D405E" w:rsidP="00470F77">
      <w:pPr>
        <w:pStyle w:val="ListParagraph"/>
        <w:numPr>
          <w:ilvl w:val="0"/>
          <w:numId w:val="58"/>
        </w:numPr>
        <w:spacing w:after="0"/>
      </w:pPr>
      <w:r>
        <w:t>When the contract is for an indefinite term and the consumer can cancel at any time without incurring termination costs.</w:t>
      </w:r>
      <w:r w:rsidR="001F19CD">
        <w:rPr>
          <w:rStyle w:val="EndnoteReference"/>
        </w:rPr>
        <w:endnoteReference w:id="215"/>
      </w:r>
    </w:p>
    <w:p w14:paraId="04EC878B" w14:textId="77777777" w:rsidR="001F19CD" w:rsidRDefault="001F19CD" w:rsidP="001F19CD">
      <w:pPr>
        <w:pStyle w:val="ListParagraph"/>
        <w:spacing w:after="0"/>
      </w:pPr>
    </w:p>
    <w:p w14:paraId="23C357DC" w14:textId="7D4F3A62" w:rsidR="004D405E" w:rsidRDefault="006E3939" w:rsidP="004D405E">
      <w:pPr>
        <w:spacing w:after="0"/>
      </w:pPr>
      <w:r>
        <w:t>T</w:t>
      </w:r>
      <w:r w:rsidR="004D405E">
        <w:t xml:space="preserve">hese proposals </w:t>
      </w:r>
      <w:r w:rsidR="001F19CD">
        <w:t xml:space="preserve">recognize unilateral contract amendment is a significant problem for consumers in the digital marketplace. </w:t>
      </w:r>
      <w:r>
        <w:t xml:space="preserve">Unfortunately, </w:t>
      </w:r>
      <w:r w:rsidR="004D405E">
        <w:t xml:space="preserve">the proposals may be too narrow and leave </w:t>
      </w:r>
      <w:r>
        <w:t xml:space="preserve">many </w:t>
      </w:r>
      <w:r w:rsidR="004D405E">
        <w:t>digital consumers without the benefit of important CPA protections.</w:t>
      </w:r>
    </w:p>
    <w:p w14:paraId="180E6220" w14:textId="77777777" w:rsidR="004D405E" w:rsidRDefault="004D405E" w:rsidP="004D405E">
      <w:pPr>
        <w:spacing w:after="0"/>
      </w:pPr>
    </w:p>
    <w:p w14:paraId="7AD718DF" w14:textId="77777777" w:rsidR="004D405E" w:rsidRDefault="004D405E" w:rsidP="004D405E">
      <w:pPr>
        <w:spacing w:after="0"/>
      </w:pPr>
      <w:r>
        <w:t>For example, the first proposal would only apply to contracts requiring written consent in the first instance. Many digital terms of service contracts do not meet this standard and would thus not be subject to the CPA’s unilateral amendment protections. Many other digital contracts only require acceptance of notice, rather than written consent to the contract.</w:t>
      </w:r>
    </w:p>
    <w:p w14:paraId="28E22C82" w14:textId="77777777" w:rsidR="004D405E" w:rsidRDefault="004D405E" w:rsidP="004D405E">
      <w:pPr>
        <w:spacing w:after="0"/>
      </w:pPr>
    </w:p>
    <w:p w14:paraId="07D236B2" w14:textId="77777777" w:rsidR="004D405E" w:rsidRDefault="004D405E" w:rsidP="004D405E">
      <w:pPr>
        <w:spacing w:after="0"/>
      </w:pPr>
      <w:r>
        <w:t>Similarly, the second proposal would allow businesses to make unilateral changes if the consumer is free to cancel the contract at any time without termination costs. At first glance, this proposal appears to</w:t>
      </w:r>
    </w:p>
    <w:p w14:paraId="2688F85F" w14:textId="77777777" w:rsidR="004D405E" w:rsidRDefault="004D405E" w:rsidP="004D405E">
      <w:pPr>
        <w:spacing w:after="0"/>
      </w:pPr>
      <w:r>
        <w:t>strike a sound balance: if a consumer does not like a unilaterally imposed term, she or he can opt-out and choose to go elsewhere.</w:t>
      </w:r>
    </w:p>
    <w:p w14:paraId="6FAD26B5" w14:textId="77777777" w:rsidR="004D405E" w:rsidRDefault="004D405E" w:rsidP="004D405E">
      <w:pPr>
        <w:spacing w:after="0"/>
      </w:pPr>
    </w:p>
    <w:p w14:paraId="60B2D18F" w14:textId="77777777" w:rsidR="004D405E" w:rsidRDefault="004D405E" w:rsidP="004D405E">
      <w:pPr>
        <w:spacing w:after="0"/>
      </w:pPr>
      <w:r>
        <w:t>The difficulty is that digital consumers often have little practical choice to go elsewhere. As a result,</w:t>
      </w:r>
    </w:p>
    <w:p w14:paraId="3E878C8A" w14:textId="3071E29D" w:rsidR="004D405E" w:rsidRDefault="004D405E" w:rsidP="004D405E">
      <w:pPr>
        <w:spacing w:after="0"/>
      </w:pPr>
      <w:r>
        <w:t>Ontario’s consumers may effectively be “locked in” to digital contracts due to a lack of marketplace alternatives, propriety formats, externally mandated online contracts/services</w:t>
      </w:r>
      <w:r w:rsidR="00DA1FBE">
        <w:t xml:space="preserve"> (such as workplace or school requirements)</w:t>
      </w:r>
      <w:r>
        <w:t>, and/or captured content</w:t>
      </w:r>
      <w:r w:rsidR="00DA1FBE">
        <w:t xml:space="preserve"> </w:t>
      </w:r>
      <w:r>
        <w:t>that make it difficult, impractical, or impossible to transfer data and metadata between products. In</w:t>
      </w:r>
      <w:r w:rsidR="00DA1FBE">
        <w:t xml:space="preserve"> </w:t>
      </w:r>
      <w:r>
        <w:t xml:space="preserve">these circumstances, Ontario’s consumers may effectively have little </w:t>
      </w:r>
      <w:r w:rsidR="009B0B46">
        <w:t xml:space="preserve">or no </w:t>
      </w:r>
      <w:r>
        <w:t>choice to terminate their contracts and thus avoid unwanted unilateral contractual changes.</w:t>
      </w:r>
    </w:p>
    <w:p w14:paraId="71274DF1" w14:textId="77777777" w:rsidR="004D405E" w:rsidRDefault="004D405E" w:rsidP="004D405E">
      <w:pPr>
        <w:spacing w:after="0"/>
      </w:pPr>
    </w:p>
    <w:p w14:paraId="0BE5FF27" w14:textId="77777777" w:rsidR="004D405E" w:rsidRDefault="004D405E" w:rsidP="004D405E">
      <w:pPr>
        <w:spacing w:after="0"/>
      </w:pPr>
      <w:r>
        <w:t>The LCO acknowledges that businesses need to constantly innovate to improve their products and</w:t>
      </w:r>
    </w:p>
    <w:p w14:paraId="119EC580" w14:textId="156C09B5" w:rsidR="004D405E" w:rsidRDefault="004D405E" w:rsidP="004D405E">
      <w:pPr>
        <w:spacing w:after="0"/>
      </w:pPr>
      <w:r>
        <w:t xml:space="preserve">services. As a result, digital </w:t>
      </w:r>
      <w:r w:rsidR="006E3939">
        <w:t xml:space="preserve">suppliers and businesses </w:t>
      </w:r>
      <w:r>
        <w:t>must have the ability to change their terms of service to</w:t>
      </w:r>
      <w:r w:rsidR="005E3A95">
        <w:t xml:space="preserve"> </w:t>
      </w:r>
      <w:r>
        <w:t>reflect the evolution of their business practices, products, and business relationships. Nevertheless,</w:t>
      </w:r>
      <w:r w:rsidR="005E3A95">
        <w:t xml:space="preserve"> </w:t>
      </w:r>
      <w:r>
        <w:t>consumer rights should not be sacrificed.</w:t>
      </w:r>
    </w:p>
    <w:p w14:paraId="130B8809" w14:textId="77777777" w:rsidR="004D405E" w:rsidRDefault="004D405E" w:rsidP="004D405E">
      <w:pPr>
        <w:spacing w:after="0"/>
      </w:pPr>
    </w:p>
    <w:p w14:paraId="1F0D4011" w14:textId="77777777" w:rsidR="00A6684E" w:rsidRDefault="004D405E" w:rsidP="008546ED">
      <w:r>
        <w:t>The LCO’s research reveals several promising legal and policy tools available to improve notice and disclosure of unilateral changes in the digital marketplace. These reforms address both 1) the nature and details of notice that must be provided to consumers, and 2) the risks and consequences to consumers of unilateral ToS changes.</w:t>
      </w:r>
    </w:p>
    <w:p w14:paraId="5ABC2990" w14:textId="33179354" w:rsidR="004D405E" w:rsidRDefault="00A6684E" w:rsidP="008546ED">
      <w:r>
        <w:t>F</w:t>
      </w:r>
      <w:r w:rsidR="006E3939">
        <w:t>irst, u</w:t>
      </w:r>
      <w:r w:rsidR="004D405E">
        <w:t xml:space="preserve">nilateral changes that involve “key information” </w:t>
      </w:r>
      <w:r w:rsidR="00137982">
        <w:t xml:space="preserve">and consequential “market contexts” </w:t>
      </w:r>
      <w:r w:rsidR="004D405E">
        <w:t>(</w:t>
      </w:r>
      <w:r w:rsidR="009B0B46">
        <w:t>discussed below</w:t>
      </w:r>
      <w:r>
        <w:t xml:space="preserve"> in section 7</w:t>
      </w:r>
      <w:r w:rsidR="009B0B46">
        <w:t xml:space="preserve">) </w:t>
      </w:r>
      <w:r w:rsidR="004D405E">
        <w:t xml:space="preserve">could be prohibited or otherwise curtailed in the CPA. This </w:t>
      </w:r>
      <w:r w:rsidR="006E3939">
        <w:t xml:space="preserve">reform </w:t>
      </w:r>
      <w:r w:rsidR="004D405E">
        <w:t>would be consistent with the commitment in the 2023 Consultation Paper to “</w:t>
      </w:r>
      <w:r w:rsidR="004D405E" w:rsidRPr="006626E1">
        <w:t>clearly prohibit businesses from including contract terms that appear to waive important consumer rights</w:t>
      </w:r>
      <w:r w:rsidR="004D405E">
        <w:t>.”</w:t>
      </w:r>
      <w:r w:rsidR="004D405E">
        <w:rPr>
          <w:rStyle w:val="EndnoteReference"/>
        </w:rPr>
        <w:endnoteReference w:id="216"/>
      </w:r>
    </w:p>
    <w:p w14:paraId="7F934F07" w14:textId="3489F5B0" w:rsidR="004D405E" w:rsidRDefault="006E3939" w:rsidP="00A6684E">
      <w:r>
        <w:t>Second, t</w:t>
      </w:r>
      <w:r w:rsidR="007368A1">
        <w:t xml:space="preserve">he CPA </w:t>
      </w:r>
      <w:r w:rsidR="004D405E">
        <w:t xml:space="preserve">could </w:t>
      </w:r>
      <w:r w:rsidR="007368A1">
        <w:t xml:space="preserve">require that unilateral changes must be accompanied by </w:t>
      </w:r>
      <w:r w:rsidR="004D405E">
        <w:t>plain language explanation</w:t>
      </w:r>
      <w:r w:rsidR="007368A1">
        <w:t>s</w:t>
      </w:r>
      <w:r w:rsidR="004D405E">
        <w:t xml:space="preserve"> and real-world example</w:t>
      </w:r>
      <w:r w:rsidR="007368A1">
        <w:t>s</w:t>
      </w:r>
      <w:r w:rsidR="004D405E">
        <w:t xml:space="preserve"> of </w:t>
      </w:r>
      <w:r w:rsidR="007368A1">
        <w:t xml:space="preserve">the change’s </w:t>
      </w:r>
      <w:r w:rsidR="004D405E">
        <w:t>risks and consequences to consumers</w:t>
      </w:r>
      <w:r w:rsidR="009C3C4C">
        <w:t xml:space="preserve">, effectively disclosing any important “key information” and “market contexts” consumers may otherwise not be </w:t>
      </w:r>
      <w:r w:rsidR="009C3C4C">
        <w:lastRenderedPageBreak/>
        <w:t>aware of</w:t>
      </w:r>
      <w:r w:rsidR="007368A1">
        <w:t xml:space="preserve">.  The CPA could also require that unilateral changes be accompanied by notice of how to </w:t>
      </w:r>
      <w:r w:rsidR="004D405E">
        <w:t xml:space="preserve">opt-out </w:t>
      </w:r>
      <w:r w:rsidR="007368A1">
        <w:t>of the contract.</w:t>
      </w:r>
      <w:r w:rsidR="004D405E">
        <w:t xml:space="preserve"> </w:t>
      </w:r>
    </w:p>
    <w:p w14:paraId="18CB7870" w14:textId="158756FC" w:rsidR="00792C20" w:rsidRDefault="00792C20" w:rsidP="00A6684E">
      <w:pPr>
        <w:spacing w:after="0"/>
      </w:pPr>
      <w:r>
        <w:t xml:space="preserve">Third, unilateral changes could be governed by better ensuring a “duty of good faith” where a business proposes to modify a contract governing an ongoing relationship. Businesses have legitimate reasons to modify contracts – such as </w:t>
      </w:r>
      <w:r w:rsidR="00A97702">
        <w:t xml:space="preserve">routine </w:t>
      </w:r>
      <w:r>
        <w:t>changes in the business structure or the business model – that may not impact on consumers</w:t>
      </w:r>
      <w:r w:rsidR="004B2C5A">
        <w:t xml:space="preserve"> and are unlikely of interest to consumers. </w:t>
      </w:r>
      <w:r w:rsidR="00B0359B">
        <w:t>At the same time, consumers and governments need the opportunity to</w:t>
      </w:r>
      <w:r w:rsidR="00B0359B" w:rsidRPr="00B0359B">
        <w:t xml:space="preserve"> assert themselves when </w:t>
      </w:r>
      <w:r w:rsidR="00B0359B">
        <w:t>contract</w:t>
      </w:r>
      <w:r w:rsidR="00B0359B" w:rsidRPr="00B0359B">
        <w:t xml:space="preserve"> amendments amount to bad faith </w:t>
      </w:r>
      <w:r w:rsidR="00B0359B">
        <w:t xml:space="preserve">or </w:t>
      </w:r>
      <w:r w:rsidR="00B0359B" w:rsidRPr="00B0359B">
        <w:t>trickery</w:t>
      </w:r>
      <w:r w:rsidR="00B0359B">
        <w:t xml:space="preserve">. </w:t>
      </w:r>
      <w:r w:rsidR="004B2C5A">
        <w:t xml:space="preserve">The CPA could be modified to allow unilateral modification of a term by the business only if the modification is proposed in “good faith”, meaning that it is fair and equitable and does not have the effect of undermining an affirmation or promise made by the business that is consequential to the consumer, or as modifying part of the original bargain between the business and the consumer. </w:t>
      </w:r>
      <w:r w:rsidR="00810CF3">
        <w:t xml:space="preserve">Where questioned, this would give rise to a prescribed situation for a consumer to cancel a contract. </w:t>
      </w:r>
      <w:r w:rsidR="004B2C5A">
        <w:t>Such a “duty of good faith” was recently proposed by the American Law Institute as an effective way of ensuring consumer rights in context of unilateral contract changes.</w:t>
      </w:r>
      <w:r w:rsidR="004B2C5A">
        <w:rPr>
          <w:rStyle w:val="EndnoteReference"/>
        </w:rPr>
        <w:endnoteReference w:id="217"/>
      </w:r>
    </w:p>
    <w:p w14:paraId="1566CCC6" w14:textId="77777777" w:rsidR="00792C20" w:rsidRDefault="00792C20" w:rsidP="00106E0B">
      <w:pPr>
        <w:spacing w:after="0"/>
      </w:pPr>
    </w:p>
    <w:p w14:paraId="30280723" w14:textId="6DFE4A35" w:rsidR="004D405E" w:rsidRDefault="004D405E" w:rsidP="00106E0B">
      <w:pPr>
        <w:spacing w:after="0"/>
      </w:pPr>
      <w:r>
        <w:t xml:space="preserve">An </w:t>
      </w:r>
      <w:r w:rsidR="00106E0B">
        <w:t xml:space="preserve">additional and perhaps complimentary </w:t>
      </w:r>
      <w:r>
        <w:t>reform</w:t>
      </w:r>
      <w:r w:rsidR="00106E0B">
        <w:t xml:space="preserve"> </w:t>
      </w:r>
      <w:r>
        <w:t>would be to establish a</w:t>
      </w:r>
      <w:r w:rsidR="009919D0">
        <w:t>n online</w:t>
      </w:r>
      <w:r w:rsidR="002B2ECC">
        <w:t xml:space="preserve"> </w:t>
      </w:r>
      <w:r>
        <w:t>ToS registry</w:t>
      </w:r>
      <w:r w:rsidR="009919D0">
        <w:t xml:space="preserve"> where businesses could post their most recent ToS</w:t>
      </w:r>
      <w:r>
        <w:t>.</w:t>
      </w:r>
      <w:r w:rsidR="009E0094">
        <w:t xml:space="preserve"> </w:t>
      </w:r>
      <w:r w:rsidR="009919D0">
        <w:t xml:space="preserve"> </w:t>
      </w:r>
      <w:r w:rsidR="00E70910">
        <w:t xml:space="preserve">For instance, </w:t>
      </w:r>
      <w:r w:rsidR="008E3AFE">
        <w:t xml:space="preserve">the state of </w:t>
      </w:r>
      <w:r w:rsidR="00E70910">
        <w:t xml:space="preserve">California and Federal regulators in the United States propose a variety of </w:t>
      </w:r>
      <w:r w:rsidR="008E3AFE">
        <w:t xml:space="preserve">consumer </w:t>
      </w:r>
      <w:r w:rsidR="00E70910">
        <w:t>contract registration databases, including for privacy policies and terms that week to waive or limit consumer legal protections.</w:t>
      </w:r>
      <w:r w:rsidR="00E70910">
        <w:rPr>
          <w:rStyle w:val="EndnoteReference"/>
        </w:rPr>
        <w:endnoteReference w:id="218"/>
      </w:r>
      <w:r w:rsidR="00E70910">
        <w:t xml:space="preserve"> Such registries could promote transparency and notice, automate auditing and academic study, or t</w:t>
      </w:r>
      <w:r>
        <w:t xml:space="preserve">rack </w:t>
      </w:r>
      <w:r w:rsidR="00E70910">
        <w:t xml:space="preserve">unilateral </w:t>
      </w:r>
      <w:r>
        <w:t>changes</w:t>
      </w:r>
      <w:r w:rsidR="00E70910">
        <w:t xml:space="preserve"> to improve </w:t>
      </w:r>
      <w:r>
        <w:t>accountability</w:t>
      </w:r>
      <w:r w:rsidR="00106E0B">
        <w:t>.</w:t>
      </w:r>
      <w:r w:rsidR="008E3AFE">
        <w:t xml:space="preserve"> (More about this is included in this paper a</w:t>
      </w:r>
      <w:r w:rsidR="008E3AFE" w:rsidRPr="00EF09E1">
        <w:t xml:space="preserve">t section </w:t>
      </w:r>
      <w:r w:rsidR="00BC70E2" w:rsidRPr="00EF09E1">
        <w:t>11.2</w:t>
      </w:r>
      <w:r w:rsidR="008E3AFE">
        <w:t>.)</w:t>
      </w:r>
    </w:p>
    <w:p w14:paraId="295455A7" w14:textId="2366A077" w:rsidR="00106E0B" w:rsidRDefault="00106E0B" w:rsidP="00106E0B">
      <w:pPr>
        <w:spacing w:after="0"/>
      </w:pPr>
    </w:p>
    <w:p w14:paraId="71110C29" w14:textId="772A2E3A" w:rsidR="00106E0B" w:rsidRPr="00106E0B" w:rsidRDefault="00106E0B" w:rsidP="00106E0B">
      <w:pPr>
        <w:spacing w:line="256" w:lineRule="auto"/>
        <w:ind w:left="1440" w:hanging="1440"/>
        <w:rPr>
          <w:rFonts w:ascii="Calibri" w:eastAsia="Calibri" w:hAnsi="Calibri" w:cs="Times New Roman"/>
          <w:b/>
          <w:iCs/>
          <w:highlight w:val="lightGray"/>
        </w:rPr>
      </w:pPr>
      <w:r w:rsidRPr="00106E0B">
        <w:rPr>
          <w:rFonts w:ascii="Calibri" w:eastAsia="Calibri" w:hAnsi="Calibri" w:cs="Times New Roman"/>
          <w:b/>
          <w:iCs/>
          <w:highlight w:val="lightGray"/>
        </w:rPr>
        <w:t xml:space="preserve">SIDEBAR: Consultation Questions: Addressing Unilateral Changes to ToS </w:t>
      </w:r>
    </w:p>
    <w:p w14:paraId="360C69B8" w14:textId="6B151EC8" w:rsidR="00106E0B" w:rsidRPr="00106E0B" w:rsidRDefault="00106E0B" w:rsidP="1F5E9E68">
      <w:pPr>
        <w:spacing w:line="256" w:lineRule="auto"/>
        <w:ind w:left="1440" w:hanging="1440"/>
        <w:rPr>
          <w:rFonts w:ascii="Calibri" w:eastAsia="Calibri" w:hAnsi="Calibri" w:cs="Times New Roman"/>
          <w:i/>
          <w:iCs/>
          <w:highlight w:val="lightGray"/>
        </w:rPr>
      </w:pPr>
      <w:r w:rsidRPr="1F5E9E68">
        <w:rPr>
          <w:rFonts w:ascii="Calibri" w:eastAsia="Calibri" w:hAnsi="Calibri" w:cs="Times New Roman"/>
          <w:i/>
          <w:iCs/>
          <w:highlight w:val="lightGray"/>
        </w:rPr>
        <w:t xml:space="preserve">Question 4: </w:t>
      </w:r>
      <w:r>
        <w:tab/>
      </w:r>
      <w:r w:rsidRPr="1F5E9E68">
        <w:rPr>
          <w:rFonts w:ascii="Calibri" w:eastAsia="Calibri" w:hAnsi="Calibri" w:cs="Times New Roman"/>
          <w:i/>
          <w:iCs/>
          <w:highlight w:val="lightGray"/>
        </w:rPr>
        <w:t>Should the CPA be amended to provide more consumer protections against unilateral changes in terms of service (ToS) in the digital marketplace?  If so, could this be achieved by:</w:t>
      </w:r>
    </w:p>
    <w:p w14:paraId="1540962E" w14:textId="77777777" w:rsidR="00106E0B" w:rsidRPr="00106E0B" w:rsidRDefault="00106E0B" w:rsidP="00470F77">
      <w:pPr>
        <w:numPr>
          <w:ilvl w:val="0"/>
          <w:numId w:val="14"/>
        </w:numPr>
        <w:spacing w:after="0" w:line="256" w:lineRule="auto"/>
        <w:contextualSpacing/>
        <w:rPr>
          <w:rFonts w:ascii="Calibri" w:eastAsia="Calibri" w:hAnsi="Calibri" w:cs="Times New Roman"/>
          <w:i/>
          <w:iCs/>
          <w:highlight w:val="lightGray"/>
        </w:rPr>
      </w:pPr>
      <w:r w:rsidRPr="00106E0B">
        <w:rPr>
          <w:rFonts w:ascii="Calibri" w:eastAsia="Calibri" w:hAnsi="Calibri" w:cs="Times New Roman"/>
          <w:i/>
          <w:iCs/>
          <w:highlight w:val="lightGray"/>
        </w:rPr>
        <w:t>Prohibiting unilateral changes related to “key information” or “market contexts”?</w:t>
      </w:r>
    </w:p>
    <w:p w14:paraId="69CE307C" w14:textId="77777777" w:rsidR="00106E0B" w:rsidRPr="00106E0B" w:rsidRDefault="00106E0B" w:rsidP="00470F77">
      <w:pPr>
        <w:numPr>
          <w:ilvl w:val="0"/>
          <w:numId w:val="14"/>
        </w:numPr>
        <w:spacing w:after="0" w:line="256" w:lineRule="auto"/>
        <w:contextualSpacing/>
        <w:rPr>
          <w:rFonts w:ascii="Calibri" w:eastAsia="Calibri" w:hAnsi="Calibri" w:cs="Times New Roman"/>
          <w:i/>
          <w:iCs/>
          <w:highlight w:val="lightGray"/>
        </w:rPr>
      </w:pPr>
      <w:r w:rsidRPr="00106E0B">
        <w:rPr>
          <w:rFonts w:ascii="Calibri" w:eastAsia="Calibri" w:hAnsi="Calibri" w:cs="Times New Roman"/>
          <w:i/>
          <w:iCs/>
          <w:highlight w:val="lightGray"/>
        </w:rPr>
        <w:t>Providing a right to cancel a contract without penalty under proscribed circumstances?</w:t>
      </w:r>
    </w:p>
    <w:p w14:paraId="6D88C17C" w14:textId="13CBC463" w:rsidR="00A97702" w:rsidRDefault="00A97702" w:rsidP="00470F77">
      <w:pPr>
        <w:numPr>
          <w:ilvl w:val="0"/>
          <w:numId w:val="14"/>
        </w:numPr>
        <w:spacing w:after="0" w:line="256" w:lineRule="auto"/>
        <w:contextualSpacing/>
        <w:rPr>
          <w:rFonts w:ascii="Calibri" w:eastAsia="Calibri" w:hAnsi="Calibri" w:cs="Times New Roman"/>
          <w:i/>
          <w:iCs/>
          <w:highlight w:val="lightGray"/>
        </w:rPr>
      </w:pPr>
      <w:r>
        <w:rPr>
          <w:rFonts w:ascii="Calibri" w:eastAsia="Calibri" w:hAnsi="Calibri" w:cs="Times New Roman"/>
          <w:i/>
          <w:iCs/>
          <w:highlight w:val="lightGray"/>
        </w:rPr>
        <w:t xml:space="preserve">Better ensuring a “duty of good faith” to distinguish routine from consequential unilateral changes?  </w:t>
      </w:r>
    </w:p>
    <w:p w14:paraId="2626F3B8" w14:textId="5C380E48" w:rsidR="00106E0B" w:rsidRPr="00106E0B" w:rsidRDefault="00106E0B" w:rsidP="00470F77">
      <w:pPr>
        <w:numPr>
          <w:ilvl w:val="0"/>
          <w:numId w:val="14"/>
        </w:numPr>
        <w:spacing w:after="0" w:line="256" w:lineRule="auto"/>
        <w:contextualSpacing/>
        <w:rPr>
          <w:rFonts w:ascii="Calibri" w:eastAsia="Calibri" w:hAnsi="Calibri" w:cs="Times New Roman"/>
          <w:i/>
          <w:iCs/>
          <w:highlight w:val="lightGray"/>
        </w:rPr>
      </w:pPr>
      <w:r w:rsidRPr="00106E0B">
        <w:rPr>
          <w:rFonts w:ascii="Calibri" w:eastAsia="Calibri" w:hAnsi="Calibri" w:cs="Times New Roman"/>
          <w:i/>
          <w:iCs/>
          <w:highlight w:val="lightGray"/>
        </w:rPr>
        <w:t xml:space="preserve">Creating a ToS registry, consumer welfare agency, or other audit mechanism to review unilateral changes and prepare independent summaries for consumers about potential risks and consequences. </w:t>
      </w:r>
    </w:p>
    <w:p w14:paraId="3F60982F" w14:textId="77777777" w:rsidR="00106E0B" w:rsidRPr="00106E0B" w:rsidRDefault="00106E0B" w:rsidP="00470F77">
      <w:pPr>
        <w:numPr>
          <w:ilvl w:val="0"/>
          <w:numId w:val="14"/>
        </w:numPr>
        <w:spacing w:after="0" w:line="256" w:lineRule="auto"/>
        <w:contextualSpacing/>
        <w:rPr>
          <w:rFonts w:ascii="Calibri" w:eastAsia="Calibri" w:hAnsi="Calibri" w:cs="Times New Roman"/>
          <w:i/>
          <w:iCs/>
          <w:highlight w:val="lightGray"/>
        </w:rPr>
      </w:pPr>
      <w:r w:rsidRPr="00106E0B">
        <w:rPr>
          <w:rFonts w:ascii="Calibri" w:eastAsia="Calibri" w:hAnsi="Calibri" w:cs="Times New Roman"/>
          <w:i/>
          <w:iCs/>
          <w:highlight w:val="lightGray"/>
        </w:rPr>
        <w:t>Other potential reforms?</w:t>
      </w:r>
    </w:p>
    <w:p w14:paraId="77BB21B5" w14:textId="77777777" w:rsidR="00106E0B" w:rsidRPr="00106E0B" w:rsidRDefault="00106E0B" w:rsidP="00106E0B">
      <w:pPr>
        <w:spacing w:after="0" w:line="256" w:lineRule="auto"/>
        <w:rPr>
          <w:rFonts w:ascii="Calibri" w:eastAsia="Calibri" w:hAnsi="Calibri" w:cs="Times New Roman"/>
          <w:iCs/>
          <w:highlight w:val="lightGray"/>
        </w:rPr>
      </w:pPr>
    </w:p>
    <w:p w14:paraId="61090667" w14:textId="77777777" w:rsidR="00106E0B" w:rsidRPr="00A02F3A" w:rsidRDefault="00106E0B" w:rsidP="00106E0B">
      <w:pPr>
        <w:spacing w:line="256" w:lineRule="auto"/>
        <w:ind w:left="1440" w:hanging="1440"/>
        <w:rPr>
          <w:rFonts w:ascii="Calibri" w:eastAsia="Calibri" w:hAnsi="Calibri" w:cs="Times New Roman"/>
          <w:i/>
        </w:rPr>
      </w:pPr>
      <w:r w:rsidRPr="00106E0B">
        <w:rPr>
          <w:rFonts w:ascii="Calibri" w:eastAsia="Calibri" w:hAnsi="Calibri" w:cs="Times New Roman"/>
          <w:i/>
          <w:highlight w:val="lightGray"/>
        </w:rPr>
        <w:t>Question 5:</w:t>
      </w:r>
      <w:r w:rsidRPr="00106E0B">
        <w:rPr>
          <w:rFonts w:ascii="Calibri" w:eastAsia="Calibri" w:hAnsi="Calibri" w:cs="Times New Roman"/>
          <w:i/>
          <w:highlight w:val="lightGray"/>
        </w:rPr>
        <w:tab/>
        <w:t>How should potential reforms to better protect consumers against unilateral changes be balanced against the legitimate interests of online suppliers?</w:t>
      </w:r>
      <w:r w:rsidRPr="00A02F3A">
        <w:rPr>
          <w:rFonts w:ascii="Calibri" w:eastAsia="Calibri" w:hAnsi="Calibri" w:cs="Times New Roman"/>
          <w:i/>
        </w:rPr>
        <w:t xml:space="preserve"> </w:t>
      </w:r>
    </w:p>
    <w:p w14:paraId="3326C2EF" w14:textId="721C10D3" w:rsidR="00224B25" w:rsidRDefault="00224B25">
      <w:r>
        <w:br w:type="page"/>
      </w:r>
    </w:p>
    <w:p w14:paraId="20DCB4D8" w14:textId="54F5D96B" w:rsidR="00AA5DBE" w:rsidRDefault="009B0B46" w:rsidP="00470F77">
      <w:pPr>
        <w:pStyle w:val="Heading1"/>
        <w:numPr>
          <w:ilvl w:val="0"/>
          <w:numId w:val="65"/>
        </w:numPr>
      </w:pPr>
      <w:bookmarkStart w:id="67" w:name="_Toc138151856"/>
      <w:r>
        <w:lastRenderedPageBreak/>
        <w:t xml:space="preserve">Improving </w:t>
      </w:r>
      <w:r w:rsidR="00F037C1">
        <w:t>Notice and Disclosure</w:t>
      </w:r>
      <w:bookmarkEnd w:id="67"/>
      <w:r w:rsidR="00D513D4">
        <w:t xml:space="preserve"> </w:t>
      </w:r>
    </w:p>
    <w:p w14:paraId="49FB3F2F" w14:textId="77777777" w:rsidR="004E29B1" w:rsidRDefault="004E29B1" w:rsidP="006167B3">
      <w:pPr>
        <w:pStyle w:val="PlainText"/>
      </w:pPr>
    </w:p>
    <w:p w14:paraId="6811805E" w14:textId="4D4011F6" w:rsidR="00D95251" w:rsidRDefault="00D95251" w:rsidP="00D95251">
      <w:r>
        <w:t>Consumer notice and disclosure is one of the pillars of consumer protection legislation.</w:t>
      </w:r>
      <w:r w:rsidR="009E0094">
        <w:t xml:space="preserve"> </w:t>
      </w:r>
      <w:r>
        <w:t xml:space="preserve">Notice and disclosure is said to address information asymmetries, improve consumer awareness, and facilitate the exercise of </w:t>
      </w:r>
      <w:r w:rsidR="002B728A">
        <w:t xml:space="preserve">consumer </w:t>
      </w:r>
      <w:r>
        <w:t>choice. There are many notice and disclosure provisions in Ontario’s CPA.</w:t>
      </w:r>
      <w:r w:rsidR="009E0094">
        <w:t xml:space="preserve"> </w:t>
      </w:r>
    </w:p>
    <w:p w14:paraId="028C05CC" w14:textId="6EFE8DE4" w:rsidR="00FC735C" w:rsidRDefault="002B728A" w:rsidP="00D95251">
      <w:r>
        <w:t>T</w:t>
      </w:r>
      <w:r w:rsidR="00D95251">
        <w:t>he ubiquity of online contracting</w:t>
      </w:r>
      <w:r w:rsidR="009A6C14">
        <w:t xml:space="preserve"> </w:t>
      </w:r>
      <w:r w:rsidR="00D95251">
        <w:t>/</w:t>
      </w:r>
      <w:r w:rsidR="009A6C14">
        <w:t xml:space="preserve"> </w:t>
      </w:r>
      <w:r w:rsidR="00D95251">
        <w:t xml:space="preserve">ToS and modern business practices challenge traditional assumptions about why, and how, consumers are provided notice and disclosure. In these circumstances, it is not surprising that notice and disclosure has been </w:t>
      </w:r>
      <w:r w:rsidR="00FC735C">
        <w:t xml:space="preserve">perhaps the highest profile and most </w:t>
      </w:r>
      <w:r w:rsidR="0006678A">
        <w:t xml:space="preserve">discussed consumer protection </w:t>
      </w:r>
      <w:r w:rsidR="00D95251">
        <w:t>law reform issue.</w:t>
      </w:r>
      <w:r w:rsidR="009E0094">
        <w:t xml:space="preserve"> </w:t>
      </w:r>
    </w:p>
    <w:p w14:paraId="44C666E0" w14:textId="5B969307" w:rsidR="006F3056" w:rsidRDefault="00BD41AC" w:rsidP="00D95251">
      <w:pPr>
        <w:rPr>
          <w:lang w:val="en-US"/>
        </w:rPr>
      </w:pPr>
      <w:r>
        <w:rPr>
          <w:lang w:val="en-US"/>
        </w:rPr>
        <w:t xml:space="preserve">The CPA’s notice and disclosure provisions (and equivalent provisions in other jurisdictions) have been criticized by consumers, business, academics, and courts for being insufficient to meet the needs of contemporary consumers. The challenge is how to reconcile the “more disclosures, more notifications” approach with the many small and large transactions consumers routinely conduct in the digital marketplace. This is particularly urgent in relation to “key information” and “market contexts” </w:t>
      </w:r>
      <w:r w:rsidR="00431552">
        <w:rPr>
          <w:lang w:val="en-US"/>
        </w:rPr>
        <w:t>distinct to</w:t>
      </w:r>
      <w:r>
        <w:rPr>
          <w:lang w:val="en-US"/>
        </w:rPr>
        <w:t xml:space="preserve"> the digital marketplace that may shape consumer behaviour and interests in ways consumers may not be adequately aware of. </w:t>
      </w:r>
      <w:r w:rsidR="00250AB4">
        <w:rPr>
          <w:lang w:val="en-US"/>
        </w:rPr>
        <w:t>For instance, whether consumers really own their “digital property” or how user data is monetized and the consequences this may have.</w:t>
      </w:r>
    </w:p>
    <w:p w14:paraId="6C111DAB" w14:textId="24480358" w:rsidR="00BD41AC" w:rsidRDefault="00BD41AC" w:rsidP="00BD41AC">
      <w:pPr>
        <w:spacing w:after="0" w:line="240" w:lineRule="auto"/>
      </w:pPr>
      <w:r>
        <w:t>The following sections explore these issues by:</w:t>
      </w:r>
    </w:p>
    <w:p w14:paraId="67AC24D3" w14:textId="77777777" w:rsidR="00BD41AC" w:rsidRDefault="00BD41AC" w:rsidP="00BD41AC">
      <w:pPr>
        <w:spacing w:after="0" w:line="240" w:lineRule="auto"/>
      </w:pPr>
    </w:p>
    <w:p w14:paraId="520DAEA8" w14:textId="6D0FE069" w:rsidR="00BD41AC" w:rsidRDefault="00BD41AC" w:rsidP="00BD41AC">
      <w:pPr>
        <w:pStyle w:val="ListParagraph"/>
        <w:numPr>
          <w:ilvl w:val="0"/>
          <w:numId w:val="66"/>
        </w:numPr>
        <w:spacing w:after="0" w:line="240" w:lineRule="auto"/>
      </w:pPr>
      <w:r>
        <w:t>Outlining current notice and disclosure requirements under the CPA</w:t>
      </w:r>
    </w:p>
    <w:p w14:paraId="328B712E" w14:textId="4D2A8965" w:rsidR="00BD41AC" w:rsidRDefault="00BD41AC" w:rsidP="00BD41AC">
      <w:pPr>
        <w:pStyle w:val="ListParagraph"/>
        <w:numPr>
          <w:ilvl w:val="0"/>
          <w:numId w:val="66"/>
        </w:numPr>
        <w:spacing w:after="0" w:line="240" w:lineRule="auto"/>
      </w:pPr>
      <w:r>
        <w:t>Reviewing notice and disclosure reforms proposed by the Government of Ontario</w:t>
      </w:r>
    </w:p>
    <w:p w14:paraId="73E5BE28" w14:textId="2578B9DD" w:rsidR="00BD41AC" w:rsidRDefault="00BD41AC" w:rsidP="00BD41AC">
      <w:pPr>
        <w:pStyle w:val="ListParagraph"/>
        <w:numPr>
          <w:ilvl w:val="0"/>
          <w:numId w:val="66"/>
        </w:numPr>
        <w:spacing w:after="0" w:line="240" w:lineRule="auto"/>
      </w:pPr>
      <w:r>
        <w:t xml:space="preserve">Discussing criticisms of notice and disclosure regimes, and how they’ve been litigated, and </w:t>
      </w:r>
    </w:p>
    <w:p w14:paraId="789F7FF1" w14:textId="57AAC902" w:rsidR="00BD41AC" w:rsidRDefault="00BD41AC" w:rsidP="008546ED">
      <w:pPr>
        <w:pStyle w:val="ListParagraph"/>
        <w:numPr>
          <w:ilvl w:val="0"/>
          <w:numId w:val="66"/>
        </w:numPr>
        <w:spacing w:after="0" w:line="240" w:lineRule="auto"/>
      </w:pPr>
      <w:r>
        <w:t>Introducing law reform options that would identify and disclose “key information” and “market contexts” about the digital marketplace to consumers.</w:t>
      </w:r>
    </w:p>
    <w:p w14:paraId="1FDFE998" w14:textId="77777777" w:rsidR="00BD41AC" w:rsidRDefault="00BD41AC" w:rsidP="00D95251"/>
    <w:p w14:paraId="7DFD3089" w14:textId="5242CEE5" w:rsidR="00FC735C" w:rsidRPr="007A41A0" w:rsidRDefault="006F3056" w:rsidP="006F3056">
      <w:pPr>
        <w:pStyle w:val="Heading2"/>
      </w:pPr>
      <w:bookmarkStart w:id="68" w:name="_Toc138151857"/>
      <w:r>
        <w:t>7.1</w:t>
      </w:r>
      <w:r>
        <w:tab/>
      </w:r>
      <w:r w:rsidR="00FC735C" w:rsidRPr="007A41A0">
        <w:t xml:space="preserve">The Consumer </w:t>
      </w:r>
      <w:r w:rsidR="00FC735C" w:rsidRPr="00FC735C">
        <w:t>Protection</w:t>
      </w:r>
      <w:r w:rsidR="00FC735C" w:rsidRPr="007A41A0">
        <w:t xml:space="preserve"> Act</w:t>
      </w:r>
      <w:bookmarkEnd w:id="68"/>
    </w:p>
    <w:p w14:paraId="2A33D284" w14:textId="77777777" w:rsidR="006F3056" w:rsidRDefault="006F3056" w:rsidP="00F2575D"/>
    <w:p w14:paraId="5E728459" w14:textId="77777777" w:rsidR="00722155" w:rsidRDefault="00F2575D" w:rsidP="00F2575D">
      <w:r>
        <w:t xml:space="preserve">Ontario’s current CPA reflects </w:t>
      </w:r>
      <w:r w:rsidR="002B728A">
        <w:t xml:space="preserve">what is sometimes called a </w:t>
      </w:r>
      <w:r>
        <w:t xml:space="preserve">“more disclosures, more notifications” model. </w:t>
      </w:r>
    </w:p>
    <w:p w14:paraId="5E356B93" w14:textId="67AAD450" w:rsidR="00FC735C" w:rsidRPr="00722155" w:rsidRDefault="002B728A" w:rsidP="00F2575D">
      <w:r>
        <w:t>For example</w:t>
      </w:r>
      <w:r w:rsidR="00722155">
        <w:t>, c</w:t>
      </w:r>
      <w:r w:rsidRPr="008546ED">
        <w:t xml:space="preserve">onsumers have </w:t>
      </w:r>
      <w:r>
        <w:t xml:space="preserve">a general right to disclosure depending on specific </w:t>
      </w:r>
      <w:r w:rsidRPr="008546ED">
        <w:t xml:space="preserve">contexts, </w:t>
      </w:r>
      <w:r>
        <w:t xml:space="preserve">such as </w:t>
      </w:r>
      <w:r w:rsidRPr="008546ED">
        <w:t>where the contract was signed</w:t>
      </w:r>
      <w:r w:rsidR="00C07E82">
        <w:t xml:space="preserve"> (in a place of business, in door-to-door sales, over the internet, etc.) or because of the nature of the business (such as tow trucking, motor vehicle repairs, </w:t>
      </w:r>
      <w:r w:rsidR="002E1AF7">
        <w:t>credit agreements, etc.).</w:t>
      </w:r>
      <w:r w:rsidR="005D248A">
        <w:t xml:space="preserve"> </w:t>
      </w:r>
      <w:r w:rsidR="005D248A" w:rsidRPr="005D248A">
        <w:t>The CPA also includes detailed mandatory disclosures for “internet agreements</w:t>
      </w:r>
      <w:r w:rsidR="005D248A">
        <w:t>.”</w:t>
      </w:r>
      <w:r w:rsidR="00E734D3">
        <w:rPr>
          <w:rStyle w:val="EndnoteReference"/>
        </w:rPr>
        <w:endnoteReference w:id="219"/>
      </w:r>
      <w:r w:rsidR="00F2575D">
        <w:t xml:space="preserve"> </w:t>
      </w:r>
      <w:r w:rsidR="005D248A" w:rsidRPr="005D248A">
        <w:rPr>
          <w:rFonts w:cs="Times New Roman"/>
          <w:szCs w:val="24"/>
          <w:lang w:val="en-US"/>
        </w:rPr>
        <w:t>These disclosures are often minimal and cover only bare formalities of a consumer transaction, such as the name of the supplier, their phone number, an itemized list of prices, taxes and shipping charges, and the like</w:t>
      </w:r>
      <w:r w:rsidR="002E1AF7">
        <w:rPr>
          <w:rFonts w:cs="Times New Roman"/>
          <w:szCs w:val="24"/>
          <w:lang w:val="en-US"/>
        </w:rPr>
        <w:t>.</w:t>
      </w:r>
      <w:r w:rsidR="002E1AF7">
        <w:rPr>
          <w:rStyle w:val="EndnoteReference"/>
          <w:rFonts w:cs="Times New Roman"/>
          <w:szCs w:val="24"/>
          <w:lang w:val="en-US"/>
        </w:rPr>
        <w:endnoteReference w:id="220"/>
      </w:r>
      <w:r w:rsidR="002E1AF7">
        <w:rPr>
          <w:rFonts w:cs="Times New Roman"/>
          <w:szCs w:val="24"/>
          <w:lang w:val="en-US"/>
        </w:rPr>
        <w:t xml:space="preserve"> </w:t>
      </w:r>
      <w:r w:rsidR="00F2575D">
        <w:t xml:space="preserve">The CPA may also mandate additional notices and disclosures in specific transactions, </w:t>
      </w:r>
      <w:r w:rsidR="00F2575D" w:rsidRPr="1F5E9E68">
        <w:rPr>
          <w:rFonts w:cs="Times New Roman"/>
          <w:lang w:val="en-US"/>
        </w:rPr>
        <w:t xml:space="preserve">such as </w:t>
      </w:r>
      <w:r w:rsidR="00E32DA6" w:rsidRPr="1F5E9E68">
        <w:rPr>
          <w:rFonts w:cs="Times New Roman"/>
          <w:lang w:val="en-US"/>
        </w:rPr>
        <w:t>towing</w:t>
      </w:r>
      <w:r w:rsidR="00F2575D" w:rsidRPr="1F5E9E68">
        <w:rPr>
          <w:rFonts w:cs="Times New Roman"/>
          <w:lang w:val="en-US"/>
        </w:rPr>
        <w:t xml:space="preserve"> contracts or </w:t>
      </w:r>
      <w:r w:rsidR="00E32DA6" w:rsidRPr="1F5E9E68">
        <w:rPr>
          <w:rFonts w:cs="Times New Roman"/>
          <w:lang w:val="en-US"/>
        </w:rPr>
        <w:t>credit agreements</w:t>
      </w:r>
      <w:r w:rsidR="00F2575D" w:rsidRPr="1F5E9E68">
        <w:rPr>
          <w:rFonts w:cs="Times New Roman"/>
          <w:lang w:val="en-US"/>
        </w:rPr>
        <w:t>.</w:t>
      </w:r>
      <w:r w:rsidR="00E734D3" w:rsidRPr="1F5E9E68">
        <w:rPr>
          <w:rStyle w:val="EndnoteReference"/>
          <w:rFonts w:cs="Times New Roman"/>
          <w:lang w:val="en-US"/>
        </w:rPr>
        <w:endnoteReference w:id="221"/>
      </w:r>
    </w:p>
    <w:p w14:paraId="5A2EC0F5" w14:textId="392724AB" w:rsidR="00F2575D" w:rsidRDefault="002B728A" w:rsidP="00F2575D">
      <w:pPr>
        <w:rPr>
          <w:rFonts w:cs="Times New Roman"/>
          <w:szCs w:val="24"/>
          <w:lang w:val="en-US"/>
        </w:rPr>
      </w:pPr>
      <w:r>
        <w:t>Finally, t</w:t>
      </w:r>
      <w:r w:rsidR="00F2575D">
        <w:t xml:space="preserve">he CPA </w:t>
      </w:r>
      <w:r w:rsidR="00F2575D">
        <w:rPr>
          <w:rFonts w:cs="Times New Roman"/>
          <w:szCs w:val="24"/>
          <w:lang w:val="en-US"/>
        </w:rPr>
        <w:t>generally provides that:</w:t>
      </w:r>
    </w:p>
    <w:p w14:paraId="4EAD5ACF" w14:textId="77777777" w:rsidR="00F2575D" w:rsidRDefault="00F2575D" w:rsidP="00F2575D">
      <w:pPr>
        <w:pStyle w:val="Quote"/>
        <w:rPr>
          <w:i/>
          <w:iCs/>
          <w:lang w:val="en-US"/>
        </w:rPr>
      </w:pPr>
      <w:r w:rsidRPr="0039002A">
        <w:rPr>
          <w:i/>
          <w:iCs/>
          <w:lang w:val="en-US"/>
        </w:rPr>
        <w:t>5 (1) If a supplier is required to disclose information under this Act, the disclosure must be clear, comprehensible and prominent.</w:t>
      </w:r>
    </w:p>
    <w:p w14:paraId="402158FC" w14:textId="77777777" w:rsidR="000F6F7D" w:rsidRDefault="000F6F7D" w:rsidP="000F6F7D">
      <w:pPr>
        <w:rPr>
          <w:lang w:val="en-US"/>
        </w:rPr>
      </w:pPr>
    </w:p>
    <w:p w14:paraId="6B818EF0" w14:textId="1B2D9E5F" w:rsidR="00F2575D" w:rsidRDefault="00F2575D" w:rsidP="007A41A0">
      <w:pPr>
        <w:rPr>
          <w:lang w:val="en-US"/>
        </w:rPr>
      </w:pPr>
      <w:r>
        <w:rPr>
          <w:lang w:val="en-US"/>
        </w:rPr>
        <w:lastRenderedPageBreak/>
        <w:t>and</w:t>
      </w:r>
    </w:p>
    <w:p w14:paraId="645581ED" w14:textId="77777777" w:rsidR="00F2575D" w:rsidRPr="00F42BFE" w:rsidRDefault="00F2575D" w:rsidP="007A41A0">
      <w:pPr>
        <w:pStyle w:val="Quote"/>
        <w:jc w:val="left"/>
        <w:rPr>
          <w:i/>
          <w:iCs/>
          <w:lang w:val="en-US"/>
        </w:rPr>
      </w:pPr>
      <w:r w:rsidRPr="00F42BFE">
        <w:rPr>
          <w:i/>
          <w:iCs/>
          <w:lang w:val="en-US"/>
        </w:rPr>
        <w:t xml:space="preserve">15(2)(a) It is an unfair practice to make an unconscionable representation [including] </w:t>
      </w:r>
      <w:r w:rsidRPr="00F42BFE">
        <w:rPr>
          <w:i/>
          <w:iCs/>
        </w:rPr>
        <w:t>that the consumer is not reasonably able to protect his or her interests because of disability, ignorance, illiteracy, inability to understand the language of an agreement or similar factors.</w:t>
      </w:r>
    </w:p>
    <w:p w14:paraId="3F663AF0" w14:textId="77777777" w:rsidR="00F2575D" w:rsidRDefault="00F2575D" w:rsidP="00F2575D">
      <w:pPr>
        <w:rPr>
          <w:lang w:val="en-US"/>
        </w:rPr>
      </w:pPr>
    </w:p>
    <w:p w14:paraId="54D5BA4C" w14:textId="2DB67FA6" w:rsidR="00D745D5" w:rsidRDefault="00D745D5" w:rsidP="00F2575D">
      <w:pPr>
        <w:rPr>
          <w:lang w:val="en-US"/>
        </w:rPr>
      </w:pPr>
      <w:r>
        <w:rPr>
          <w:lang w:val="en-US"/>
        </w:rPr>
        <w:t>The CPA’s notice and disclosure provisions (and equivalent provisions in other jurisdictions</w:t>
      </w:r>
      <w:r w:rsidR="001F4E01">
        <w:rPr>
          <w:lang w:val="en-US"/>
        </w:rPr>
        <w:t>)</w:t>
      </w:r>
      <w:r>
        <w:rPr>
          <w:lang w:val="en-US"/>
        </w:rPr>
        <w:t xml:space="preserve"> have been criticized by consumers, business, academics, and courts for being insufficient to meet the needs of contempo</w:t>
      </w:r>
      <w:r w:rsidR="001F4E01">
        <w:rPr>
          <w:lang w:val="en-US"/>
        </w:rPr>
        <w:t xml:space="preserve">rary </w:t>
      </w:r>
      <w:r>
        <w:rPr>
          <w:lang w:val="en-US"/>
        </w:rPr>
        <w:t xml:space="preserve">consumers. </w:t>
      </w:r>
      <w:r>
        <w:rPr>
          <w:rFonts w:cs="Times New Roman"/>
          <w:szCs w:val="24"/>
          <w:lang w:val="en-US"/>
        </w:rPr>
        <w:t>The provincial government has acknowledged these criticisms and proposed important updates the CPA’s notice and disclosure provisions</w:t>
      </w:r>
      <w:r w:rsidR="001F4E01">
        <w:rPr>
          <w:rFonts w:cs="Times New Roman"/>
          <w:szCs w:val="24"/>
          <w:lang w:val="en-US"/>
        </w:rPr>
        <w:t xml:space="preserve">.  This section discusses these issues and identifies potential law reform </w:t>
      </w:r>
      <w:r w:rsidR="00BD41AC">
        <w:rPr>
          <w:rFonts w:cs="Times New Roman"/>
          <w:szCs w:val="24"/>
          <w:lang w:val="en-US"/>
        </w:rPr>
        <w:t>initiatives</w:t>
      </w:r>
      <w:r w:rsidR="001F4E01">
        <w:rPr>
          <w:rFonts w:cs="Times New Roman"/>
          <w:szCs w:val="24"/>
          <w:lang w:val="en-US"/>
        </w:rPr>
        <w:t xml:space="preserve"> to update notice and disclosure for the digital marketplace.</w:t>
      </w:r>
    </w:p>
    <w:p w14:paraId="5A80FCA2" w14:textId="38F1A948" w:rsidR="00F2575D" w:rsidRDefault="00D745D5" w:rsidP="008546ED">
      <w:pPr>
        <w:rPr>
          <w:rFonts w:cs="Times New Roman"/>
          <w:szCs w:val="24"/>
          <w:lang w:val="en-US"/>
        </w:rPr>
      </w:pPr>
      <w:r>
        <w:rPr>
          <w:rFonts w:cs="Times New Roman"/>
          <w:szCs w:val="24"/>
          <w:lang w:val="en-US"/>
        </w:rPr>
        <w:t xml:space="preserve"> </w:t>
      </w:r>
    </w:p>
    <w:p w14:paraId="6A841999" w14:textId="17AC28DA" w:rsidR="00FC735C" w:rsidRPr="007A41A0" w:rsidRDefault="006F3056" w:rsidP="006F3056">
      <w:pPr>
        <w:pStyle w:val="Heading2"/>
      </w:pPr>
      <w:bookmarkStart w:id="69" w:name="_Toc138151858"/>
      <w:r>
        <w:t>7.2</w:t>
      </w:r>
      <w:r>
        <w:tab/>
      </w:r>
      <w:r w:rsidR="00FC735C">
        <w:t>Government of Ontario CPA Reform Proposal</w:t>
      </w:r>
      <w:r w:rsidR="000F6F7D">
        <w:t>s</w:t>
      </w:r>
      <w:bookmarkEnd w:id="69"/>
      <w:r w:rsidR="00FC735C">
        <w:t xml:space="preserve"> </w:t>
      </w:r>
    </w:p>
    <w:p w14:paraId="418DA086" w14:textId="77777777" w:rsidR="006F3056" w:rsidRDefault="006F3056" w:rsidP="00EE3282"/>
    <w:p w14:paraId="640B2C9F" w14:textId="52A4385A" w:rsidR="00EE3282" w:rsidRPr="007A41A0" w:rsidRDefault="00EE3282" w:rsidP="00EE3282">
      <w:r w:rsidRPr="007A41A0">
        <w:t xml:space="preserve">The 2023 Government of Ontario </w:t>
      </w:r>
      <w:r w:rsidR="001F4E01">
        <w:t>C</w:t>
      </w:r>
      <w:r w:rsidRPr="007A41A0">
        <w:t xml:space="preserve">onsultation </w:t>
      </w:r>
      <w:r w:rsidR="001F4E01">
        <w:t>P</w:t>
      </w:r>
      <w:r w:rsidRPr="007A41A0">
        <w:t xml:space="preserve">aper </w:t>
      </w:r>
      <w:r w:rsidR="001F4E01">
        <w:t xml:space="preserve">includes three important proposals to update CPA </w:t>
      </w:r>
      <w:r w:rsidR="00F2575D">
        <w:t xml:space="preserve">notice and disclosure </w:t>
      </w:r>
      <w:r w:rsidR="001F4E01">
        <w:t>provisions</w:t>
      </w:r>
      <w:r w:rsidR="00F2575D">
        <w:t>, including</w:t>
      </w:r>
      <w:r w:rsidRPr="007A41A0">
        <w:t>:</w:t>
      </w:r>
    </w:p>
    <w:p w14:paraId="1BBBB1D8" w14:textId="33AF3464" w:rsidR="00EE3282" w:rsidRPr="007A41A0" w:rsidRDefault="00EE3282" w:rsidP="00470F77">
      <w:pPr>
        <w:pStyle w:val="ListParagraph"/>
        <w:numPr>
          <w:ilvl w:val="0"/>
          <w:numId w:val="62"/>
        </w:numPr>
      </w:pPr>
      <w:r w:rsidRPr="007A41A0">
        <w:t>Simplify</w:t>
      </w:r>
      <w:r w:rsidR="00F2575D">
        <w:t>ing</w:t>
      </w:r>
      <w:r w:rsidRPr="007A41A0">
        <w:t xml:space="preserve"> and consolidat</w:t>
      </w:r>
      <w:r w:rsidR="00F2575D">
        <w:t xml:space="preserve">ing </w:t>
      </w:r>
      <w:r w:rsidR="001F4E01">
        <w:t xml:space="preserve">the many different existing CPA </w:t>
      </w:r>
      <w:r w:rsidRPr="007A41A0">
        <w:t xml:space="preserve">disclosure rules </w:t>
      </w:r>
      <w:r w:rsidR="001F4E01">
        <w:t xml:space="preserve">into a </w:t>
      </w:r>
      <w:r w:rsidRPr="007A41A0">
        <w:t>single set of core rules that would apply to most consumer contracts</w:t>
      </w:r>
      <w:r w:rsidR="001F4E01">
        <w:t>,</w:t>
      </w:r>
      <w:r w:rsidRPr="007A41A0">
        <w:t xml:space="preserve"> “including a contract entered into online.”</w:t>
      </w:r>
      <w:r w:rsidRPr="007A41A0">
        <w:rPr>
          <w:rStyle w:val="EndnoteReference"/>
        </w:rPr>
        <w:endnoteReference w:id="222"/>
      </w:r>
    </w:p>
    <w:p w14:paraId="0AA27C65" w14:textId="6EDC0BDA" w:rsidR="00EE3282" w:rsidRPr="007A41A0" w:rsidRDefault="001F4E01" w:rsidP="00470F77">
      <w:pPr>
        <w:pStyle w:val="ListParagraph"/>
        <w:numPr>
          <w:ilvl w:val="0"/>
          <w:numId w:val="35"/>
        </w:numPr>
      </w:pPr>
      <w:r>
        <w:t xml:space="preserve">Requiring </w:t>
      </w:r>
      <w:r w:rsidR="00EE3282" w:rsidRPr="007A41A0">
        <w:t xml:space="preserve">that the consumer contract is in writing; that the contents of the contract are disclosed; and </w:t>
      </w:r>
      <w:r>
        <w:t xml:space="preserve">providing </w:t>
      </w:r>
      <w:r w:rsidR="00EE3282" w:rsidRPr="007A41A0">
        <w:t>an express opportunity for consumer</w:t>
      </w:r>
      <w:r>
        <w:t>s</w:t>
      </w:r>
      <w:r w:rsidR="00EE3282" w:rsidRPr="007A41A0">
        <w:t xml:space="preserve"> to accept or decline the contract before entering it.</w:t>
      </w:r>
      <w:r w:rsidR="00EE3282" w:rsidRPr="007A41A0">
        <w:rPr>
          <w:rStyle w:val="EndnoteReference"/>
        </w:rPr>
        <w:endnoteReference w:id="223"/>
      </w:r>
      <w:r w:rsidR="00EE3282" w:rsidRPr="007A41A0">
        <w:t xml:space="preserve"> </w:t>
      </w:r>
    </w:p>
    <w:p w14:paraId="7E04C8CF" w14:textId="77777777" w:rsidR="001F4E01" w:rsidRDefault="00EE3282" w:rsidP="00470F77">
      <w:pPr>
        <w:pStyle w:val="ListParagraph"/>
        <w:numPr>
          <w:ilvl w:val="0"/>
          <w:numId w:val="35"/>
        </w:numPr>
      </w:pPr>
      <w:r w:rsidRPr="007A41A0">
        <w:t>Requir</w:t>
      </w:r>
      <w:r w:rsidR="00F2575D">
        <w:t xml:space="preserve">ing </w:t>
      </w:r>
      <w:r w:rsidRPr="007A41A0">
        <w:t>disclosure of “key information in the contract</w:t>
      </w:r>
      <w:r w:rsidR="004F4F70">
        <w:t>.</w:t>
      </w:r>
      <w:r w:rsidRPr="007A41A0">
        <w:t>”</w:t>
      </w:r>
      <w:r w:rsidR="004F4F70">
        <w:t xml:space="preserve"> </w:t>
      </w:r>
      <w:r w:rsidR="001F4E01">
        <w:t xml:space="preserve"> </w:t>
      </w:r>
    </w:p>
    <w:p w14:paraId="08E997DD" w14:textId="77777777" w:rsidR="001F4E01" w:rsidRDefault="001F4E01" w:rsidP="006A3562">
      <w:pPr>
        <w:pStyle w:val="ListParagraph"/>
      </w:pPr>
    </w:p>
    <w:p w14:paraId="168AE8C4" w14:textId="23E3AC34" w:rsidR="00EE3282" w:rsidRPr="007A41A0" w:rsidRDefault="001F4E01" w:rsidP="008546ED">
      <w:r>
        <w:t xml:space="preserve">The third proposal is perhaps the most far-reaching.  The </w:t>
      </w:r>
      <w:r w:rsidR="004F4F70">
        <w:t xml:space="preserve">definition of “key information” is </w:t>
      </w:r>
      <w:r>
        <w:t xml:space="preserve">not </w:t>
      </w:r>
      <w:r w:rsidR="004F4F70">
        <w:t>provided</w:t>
      </w:r>
      <w:r>
        <w:t xml:space="preserve"> in </w:t>
      </w:r>
      <w:r w:rsidR="00E00025">
        <w:t xml:space="preserve">the Consultation Paper, however, </w:t>
      </w:r>
      <w:r w:rsidR="009521BB">
        <w:t>the</w:t>
      </w:r>
      <w:r w:rsidR="003A392D">
        <w:t xml:space="preserve"> </w:t>
      </w:r>
      <w:r w:rsidR="00E00025">
        <w:t xml:space="preserve">provincial </w:t>
      </w:r>
      <w:r w:rsidR="003957D7">
        <w:t xml:space="preserve">government </w:t>
      </w:r>
      <w:r w:rsidR="00E00025">
        <w:t xml:space="preserve">has </w:t>
      </w:r>
      <w:r w:rsidR="003957D7">
        <w:t>commit</w:t>
      </w:r>
      <w:r w:rsidR="00E00025">
        <w:t>ted</w:t>
      </w:r>
      <w:r w:rsidR="003957D7">
        <w:t xml:space="preserve"> to “</w:t>
      </w:r>
      <w:r w:rsidR="003957D7" w:rsidRPr="003957D7">
        <w:t>consult during regulatory development on the appropriate information to be required for disclosure purposes and whether some contract categories would require additional rules</w:t>
      </w:r>
      <w:r w:rsidR="003957D7">
        <w:t>.”</w:t>
      </w:r>
      <w:r w:rsidR="003957D7">
        <w:rPr>
          <w:rStyle w:val="EndnoteReference"/>
        </w:rPr>
        <w:endnoteReference w:id="224"/>
      </w:r>
      <w:r w:rsidR="00E00025">
        <w:t xml:space="preserve">  </w:t>
      </w:r>
    </w:p>
    <w:p w14:paraId="6A1051E9" w14:textId="2EC1067F" w:rsidR="00EE3282" w:rsidRPr="007A41A0" w:rsidRDefault="00EE3282" w:rsidP="00EE3282">
      <w:r w:rsidRPr="007A41A0">
        <w:t xml:space="preserve">These proposals are intended to work together to standardize and improve consumer notice and disclosure requirements for </w:t>
      </w:r>
      <w:r w:rsidR="00E00025">
        <w:t xml:space="preserve">consumer </w:t>
      </w:r>
      <w:r w:rsidRPr="007A41A0">
        <w:t>transactions. The goal, as stated in the 2020 consultation, is that there should be clearer and more consistent rules governing consumer contracts “anywhere</w:t>
      </w:r>
      <w:r w:rsidR="00E00025">
        <w:t>.</w:t>
      </w:r>
      <w:r w:rsidRPr="007A41A0">
        <w:t>”</w:t>
      </w:r>
      <w:r w:rsidRPr="007A41A0">
        <w:rPr>
          <w:rStyle w:val="EndnoteReference"/>
        </w:rPr>
        <w:endnoteReference w:id="225"/>
      </w:r>
      <w:r w:rsidRPr="007A41A0">
        <w:t xml:space="preserve"> </w:t>
      </w:r>
    </w:p>
    <w:p w14:paraId="013F83D2" w14:textId="43B3A80E" w:rsidR="001365F7" w:rsidRDefault="00EE3282" w:rsidP="001365F7">
      <w:pPr>
        <w:pStyle w:val="PlainText"/>
      </w:pPr>
      <w:r w:rsidRPr="007A41A0">
        <w:t xml:space="preserve">The LCO commends these reforms but </w:t>
      </w:r>
      <w:r w:rsidR="00E00025">
        <w:t xml:space="preserve">is concerned that they may not </w:t>
      </w:r>
      <w:r w:rsidR="009B5F5A">
        <w:t xml:space="preserve">be effective.  This is because simply adding </w:t>
      </w:r>
      <w:r w:rsidR="009B5F5A" w:rsidRPr="00511EB1">
        <w:rPr>
          <w:i/>
          <w:iCs/>
        </w:rPr>
        <w:t>more</w:t>
      </w:r>
      <w:r w:rsidR="009B5F5A">
        <w:t xml:space="preserve"> consumer notices or disclosures may not </w:t>
      </w:r>
      <w:r w:rsidRPr="007A41A0">
        <w:t>address the most common and consequential consumer notice and disclosure issues in the digital marketplace.</w:t>
      </w:r>
      <w:r w:rsidR="009B5F5A">
        <w:t xml:space="preserve">  </w:t>
      </w:r>
    </w:p>
    <w:p w14:paraId="44217246" w14:textId="77777777" w:rsidR="001365F7" w:rsidRDefault="001365F7" w:rsidP="001365F7">
      <w:pPr>
        <w:pStyle w:val="PlainText"/>
      </w:pPr>
    </w:p>
    <w:p w14:paraId="4930D4F4" w14:textId="4A366680" w:rsidR="00FC735C" w:rsidRDefault="00E00025" w:rsidP="00FC735C">
      <w:pPr>
        <w:pStyle w:val="PlainText"/>
      </w:pPr>
      <w:r>
        <w:t>Our concerns appear to be shared by many Ontario consumers and businesses</w:t>
      </w:r>
      <w:r w:rsidR="002056FA">
        <w:t xml:space="preserve">. </w:t>
      </w:r>
      <w:r w:rsidR="00FC735C" w:rsidRPr="00D95251">
        <w:t>On March 8</w:t>
      </w:r>
      <w:r w:rsidR="00FC735C" w:rsidRPr="00FD2F08">
        <w:rPr>
          <w:vertAlign w:val="superscript"/>
        </w:rPr>
        <w:t>th</w:t>
      </w:r>
      <w:r w:rsidR="00FC735C" w:rsidRPr="00D95251">
        <w:t>, 2023, the provincial government hosted consultation sessions on its proposed 2023 CPA reforms.</w:t>
      </w:r>
      <w:r w:rsidR="009E0094">
        <w:t xml:space="preserve"> </w:t>
      </w:r>
      <w:r w:rsidR="00FC735C" w:rsidRPr="00D95251">
        <w:t xml:space="preserve">Consumer representatives noted that </w:t>
      </w:r>
      <w:r w:rsidR="009B5F5A">
        <w:t xml:space="preserve">the </w:t>
      </w:r>
      <w:r w:rsidR="00FC735C" w:rsidRPr="00D95251">
        <w:t xml:space="preserve">traditional </w:t>
      </w:r>
      <w:r w:rsidR="009B5F5A">
        <w:t xml:space="preserve">emphasis on </w:t>
      </w:r>
      <w:r w:rsidR="00FC735C" w:rsidRPr="00D95251">
        <w:t xml:space="preserve">notice and disclosure rules and practices </w:t>
      </w:r>
      <w:r w:rsidR="009B5F5A">
        <w:t xml:space="preserve">is </w:t>
      </w:r>
      <w:r w:rsidR="00FC735C" w:rsidRPr="00D95251">
        <w:t>no longer</w:t>
      </w:r>
      <w:r w:rsidR="00FC735C">
        <w:t xml:space="preserve"> effective in the digital marketplace because:</w:t>
      </w:r>
    </w:p>
    <w:p w14:paraId="716662A3" w14:textId="77777777" w:rsidR="00FC735C" w:rsidRDefault="00FC735C" w:rsidP="00FC735C">
      <w:pPr>
        <w:pStyle w:val="PlainText"/>
      </w:pPr>
    </w:p>
    <w:p w14:paraId="7FE30AC9" w14:textId="77777777" w:rsidR="00FC735C" w:rsidRDefault="00FC735C" w:rsidP="00470F77">
      <w:pPr>
        <w:pStyle w:val="PlainText"/>
        <w:numPr>
          <w:ilvl w:val="0"/>
          <w:numId w:val="10"/>
        </w:numPr>
      </w:pPr>
      <w:r>
        <w:t>The number and complexity of digital “terms of service” or “click consent” contracts.</w:t>
      </w:r>
    </w:p>
    <w:p w14:paraId="4421BFB9" w14:textId="1C1A0F13" w:rsidR="00FC735C" w:rsidRDefault="00FC735C" w:rsidP="00470F77">
      <w:pPr>
        <w:pStyle w:val="PlainText"/>
        <w:numPr>
          <w:ilvl w:val="0"/>
          <w:numId w:val="10"/>
        </w:numPr>
      </w:pPr>
      <w:r>
        <w:lastRenderedPageBreak/>
        <w:t>Most consumers do</w:t>
      </w:r>
      <w:r w:rsidR="00E00025">
        <w:t xml:space="preserve"> not </w:t>
      </w:r>
      <w:r>
        <w:t>understand the nature or consequences of many of the digital contracting practices.</w:t>
      </w:r>
    </w:p>
    <w:p w14:paraId="5DC4FC0A" w14:textId="74A96E27" w:rsidR="00FC735C" w:rsidRDefault="00FC735C" w:rsidP="00470F77">
      <w:pPr>
        <w:pStyle w:val="PlainText"/>
        <w:numPr>
          <w:ilvl w:val="0"/>
          <w:numId w:val="10"/>
        </w:numPr>
      </w:pPr>
      <w:r>
        <w:t xml:space="preserve">Consumers often have practically little choice but to accept the terms of online contracts, even if suppliers disclose </w:t>
      </w:r>
      <w:r w:rsidR="006A3562">
        <w:t xml:space="preserve">concerning </w:t>
      </w:r>
      <w:r>
        <w:t>practices or key information.</w:t>
      </w:r>
      <w:r>
        <w:rPr>
          <w:rStyle w:val="EndnoteReference"/>
        </w:rPr>
        <w:endnoteReference w:id="226"/>
      </w:r>
    </w:p>
    <w:p w14:paraId="6905F1AF" w14:textId="77777777" w:rsidR="00FC735C" w:rsidRDefault="00FC735C" w:rsidP="00FC735C">
      <w:pPr>
        <w:pStyle w:val="PlainText"/>
      </w:pPr>
    </w:p>
    <w:p w14:paraId="2415AF8D" w14:textId="77777777" w:rsidR="00FC735C" w:rsidRDefault="00FC735C" w:rsidP="00FC735C">
      <w:pPr>
        <w:pStyle w:val="PlainText"/>
      </w:pPr>
      <w:r>
        <w:t>Similarly, business representatives emphasized that:</w:t>
      </w:r>
    </w:p>
    <w:p w14:paraId="6EFC7A0E" w14:textId="77777777" w:rsidR="00FC735C" w:rsidRDefault="00FC735C" w:rsidP="00FC735C">
      <w:pPr>
        <w:pStyle w:val="PlainText"/>
      </w:pPr>
    </w:p>
    <w:p w14:paraId="66E35003" w14:textId="4E9E42FE" w:rsidR="00FC735C" w:rsidRDefault="00FC735C" w:rsidP="00470F77">
      <w:pPr>
        <w:pStyle w:val="PlainText"/>
        <w:numPr>
          <w:ilvl w:val="0"/>
          <w:numId w:val="10"/>
        </w:numPr>
      </w:pPr>
      <w:r>
        <w:t xml:space="preserve">Consumers </w:t>
      </w:r>
      <w:r w:rsidRPr="008546ED">
        <w:rPr>
          <w:i/>
          <w:iCs/>
        </w:rPr>
        <w:t>and</w:t>
      </w:r>
      <w:r>
        <w:t xml:space="preserve"> businesses experience “consent fatigue” and “consent spam.”</w:t>
      </w:r>
    </w:p>
    <w:p w14:paraId="398176B4" w14:textId="77777777" w:rsidR="00FC735C" w:rsidRDefault="00FC735C" w:rsidP="00470F77">
      <w:pPr>
        <w:pStyle w:val="PlainText"/>
        <w:numPr>
          <w:ilvl w:val="0"/>
          <w:numId w:val="10"/>
        </w:numPr>
      </w:pPr>
      <w:r>
        <w:t>Some businesses may not understand the consequences of many digital terms of service.</w:t>
      </w:r>
    </w:p>
    <w:p w14:paraId="36B3BBA5" w14:textId="287CF400" w:rsidR="00FC735C" w:rsidRDefault="00FC735C" w:rsidP="00470F77">
      <w:pPr>
        <w:pStyle w:val="PlainText"/>
        <w:numPr>
          <w:ilvl w:val="0"/>
          <w:numId w:val="10"/>
        </w:numPr>
      </w:pPr>
      <w:r>
        <w:t xml:space="preserve">Simply adding more, </w:t>
      </w:r>
      <w:r w:rsidR="00E00025">
        <w:t xml:space="preserve">or </w:t>
      </w:r>
      <w:r>
        <w:t>more detailed, notice and disclosure requirements may add regulatory burdens on businesses without providing practical assistance to consumers.</w:t>
      </w:r>
    </w:p>
    <w:p w14:paraId="28328422" w14:textId="5CA962CA" w:rsidR="00FC735C" w:rsidRDefault="00E00025" w:rsidP="00470F77">
      <w:pPr>
        <w:pStyle w:val="PlainText"/>
        <w:numPr>
          <w:ilvl w:val="0"/>
          <w:numId w:val="10"/>
        </w:numPr>
      </w:pPr>
      <w:r>
        <w:t>B</w:t>
      </w:r>
      <w:r w:rsidR="00FC735C">
        <w:t xml:space="preserve">usinesses </w:t>
      </w:r>
      <w:r>
        <w:t xml:space="preserve">who comply with additional new or additional notice provisions </w:t>
      </w:r>
      <w:r w:rsidR="00FC735C">
        <w:t>may be at a competitive disadvantage if there is little enforcement of consumer protection provisions.</w:t>
      </w:r>
      <w:r w:rsidR="00FC735C">
        <w:rPr>
          <w:rStyle w:val="EndnoteReference"/>
        </w:rPr>
        <w:endnoteReference w:id="227"/>
      </w:r>
    </w:p>
    <w:p w14:paraId="3503C200" w14:textId="77777777" w:rsidR="00FC735C" w:rsidRDefault="00FC735C" w:rsidP="00FC735C">
      <w:pPr>
        <w:pStyle w:val="PlainText"/>
      </w:pPr>
    </w:p>
    <w:p w14:paraId="176C950F" w14:textId="77777777" w:rsidR="00FC735C" w:rsidRDefault="00FC735C" w:rsidP="001365F7">
      <w:pPr>
        <w:pStyle w:val="PlainText"/>
      </w:pPr>
    </w:p>
    <w:p w14:paraId="38EB50AD" w14:textId="215BBFE3" w:rsidR="00FC735C" w:rsidRDefault="006F3056" w:rsidP="006F3056">
      <w:pPr>
        <w:pStyle w:val="Heading2"/>
      </w:pPr>
      <w:bookmarkStart w:id="70" w:name="_Toc138151859"/>
      <w:r>
        <w:t>7.3</w:t>
      </w:r>
      <w:r>
        <w:tab/>
      </w:r>
      <w:r w:rsidR="00FC735C">
        <w:t>Criticisms of Notice and Disclosure Regimes</w:t>
      </w:r>
      <w:bookmarkEnd w:id="70"/>
      <w:r w:rsidR="00FC735C">
        <w:t xml:space="preserve"> </w:t>
      </w:r>
    </w:p>
    <w:p w14:paraId="13B03EA2" w14:textId="77777777" w:rsidR="00FC735C" w:rsidRPr="007A41A0" w:rsidRDefault="00FC735C" w:rsidP="001365F7">
      <w:pPr>
        <w:pStyle w:val="PlainText"/>
        <w:rPr>
          <w:b/>
          <w:bCs/>
        </w:rPr>
      </w:pPr>
    </w:p>
    <w:p w14:paraId="3825DF48" w14:textId="48C93BF0" w:rsidR="00E00025" w:rsidRDefault="00E00025" w:rsidP="007A41A0">
      <w:pPr>
        <w:pStyle w:val="PlainText"/>
      </w:pPr>
      <w:r>
        <w:t xml:space="preserve">The concerns expressed by many Ontario consumers and businesses are consistent with academic analysis of modern digital contracts.  </w:t>
      </w:r>
      <w:r w:rsidR="001365F7">
        <w:t>Contract scholars write at length about the limitations of effective and meaningful notice and disclosure.</w:t>
      </w:r>
      <w:r w:rsidR="001365F7" w:rsidRPr="00DF3534">
        <w:t xml:space="preserve"> </w:t>
      </w:r>
      <w:r w:rsidR="001365F7">
        <w:t xml:space="preserve">Central to this </w:t>
      </w:r>
      <w:r>
        <w:t xml:space="preserve">analysis are the concepts of </w:t>
      </w:r>
      <w:r w:rsidR="001365F7">
        <w:t>ToS “accumulation” and “overload</w:t>
      </w:r>
      <w:r w:rsidR="00DF4F45">
        <w:t>.</w:t>
      </w:r>
      <w:r w:rsidR="001365F7">
        <w:t>”</w:t>
      </w:r>
      <w:r w:rsidR="001365F7">
        <w:rPr>
          <w:rStyle w:val="EndnoteReference"/>
        </w:rPr>
        <w:endnoteReference w:id="228"/>
      </w:r>
      <w:r w:rsidR="001365F7">
        <w:t xml:space="preserve"> Accumulation is the sheer number of ToS presented to consumers in many different areas. Overload is the complexity of ToS and their wide range of structures and formats. </w:t>
      </w:r>
    </w:p>
    <w:p w14:paraId="52EA9C72" w14:textId="77777777" w:rsidR="00D133FE" w:rsidRDefault="00D133FE" w:rsidP="007A41A0">
      <w:pPr>
        <w:pStyle w:val="PlainText"/>
      </w:pPr>
    </w:p>
    <w:p w14:paraId="4167EA95" w14:textId="12D5AD84" w:rsidR="00EE3282" w:rsidRPr="007A41A0" w:rsidRDefault="001365F7" w:rsidP="007A41A0">
      <w:pPr>
        <w:pStyle w:val="PlainText"/>
      </w:pPr>
      <w:r>
        <w:t>Research has shown that accumulation and overload lessen consumers’ “</w:t>
      </w:r>
      <w:r w:rsidRPr="00564562">
        <w:t>wish to make choices and impairs the quality of choices that they make</w:t>
      </w:r>
      <w:r>
        <w:t>.”</w:t>
      </w:r>
      <w:r>
        <w:rPr>
          <w:rStyle w:val="EndnoteReference"/>
        </w:rPr>
        <w:endnoteReference w:id="229"/>
      </w:r>
      <w:r w:rsidR="009E0094">
        <w:t xml:space="preserve"> </w:t>
      </w:r>
      <w:r w:rsidR="00EE3282" w:rsidRPr="007A41A0">
        <w:t xml:space="preserve">As a result, updated CPA requirements that simply </w:t>
      </w:r>
      <w:r w:rsidR="00EE3282" w:rsidRPr="1F5E9E68">
        <w:rPr>
          <w:i/>
          <w:iCs/>
        </w:rPr>
        <w:t>add</w:t>
      </w:r>
      <w:r w:rsidR="00EE3282" w:rsidRPr="007A41A0">
        <w:t xml:space="preserve"> </w:t>
      </w:r>
      <w:r w:rsidR="009B5F5A">
        <w:t xml:space="preserve">additional </w:t>
      </w:r>
      <w:r w:rsidR="00EE3282" w:rsidRPr="007A41A0">
        <w:t xml:space="preserve">notice and disclosure provisions may be ineffective or even worsen consumer protection. </w:t>
      </w:r>
    </w:p>
    <w:p w14:paraId="40D5074B" w14:textId="77777777" w:rsidR="006167B3" w:rsidRDefault="006167B3" w:rsidP="006167B3">
      <w:pPr>
        <w:pStyle w:val="PlainText"/>
      </w:pPr>
    </w:p>
    <w:p w14:paraId="47858C35" w14:textId="687B512B" w:rsidR="006167B3" w:rsidRDefault="00E177D8" w:rsidP="006167B3">
      <w:pPr>
        <w:pStyle w:val="PlainText"/>
      </w:pPr>
      <w:r>
        <w:t>Notice and disclosure provisions in ToS contracts have been criticized for many years.</w:t>
      </w:r>
      <w:r w:rsidR="009E0094">
        <w:t xml:space="preserve"> </w:t>
      </w:r>
      <w:r>
        <w:t xml:space="preserve">In 2013, </w:t>
      </w:r>
      <w:r w:rsidR="006167B3">
        <w:t xml:space="preserve">Margaret Jane Radin, a leading Canadian contracts scholar, </w:t>
      </w:r>
      <w:r w:rsidR="009B5F5A">
        <w:t xml:space="preserve">concluded </w:t>
      </w:r>
      <w:r w:rsidR="006167B3">
        <w:t>that consumers:</w:t>
      </w:r>
    </w:p>
    <w:p w14:paraId="69609D6D" w14:textId="77777777" w:rsidR="006167B3" w:rsidRDefault="006167B3" w:rsidP="006167B3">
      <w:pPr>
        <w:pStyle w:val="PlainText"/>
      </w:pPr>
    </w:p>
    <w:p w14:paraId="3A844613" w14:textId="235B7088" w:rsidR="006167B3" w:rsidRDefault="0089200F" w:rsidP="00470F77">
      <w:pPr>
        <w:pStyle w:val="PlainText"/>
        <w:numPr>
          <w:ilvl w:val="0"/>
          <w:numId w:val="21"/>
        </w:numPr>
      </w:pPr>
      <w:r>
        <w:t>Feel they w</w:t>
      </w:r>
      <w:r w:rsidR="006167B3" w:rsidRPr="00F237BA">
        <w:t>ould</w:t>
      </w:r>
      <w:r w:rsidR="009B5F5A">
        <w:t xml:space="preserve"> </w:t>
      </w:r>
      <w:r w:rsidR="00DF4F45">
        <w:t>not</w:t>
      </w:r>
      <w:r w:rsidR="00DF4F45" w:rsidRPr="00F237BA">
        <w:t xml:space="preserve"> understand</w:t>
      </w:r>
      <w:r w:rsidR="006167B3" w:rsidRPr="00F237BA">
        <w:t xml:space="preserve"> the terms if </w:t>
      </w:r>
      <w:r w:rsidR="006167B3">
        <w:t>they</w:t>
      </w:r>
      <w:r w:rsidR="006167B3" w:rsidRPr="00F237BA">
        <w:t xml:space="preserve"> did read them, so it i</w:t>
      </w:r>
      <w:r w:rsidR="009B5F5A">
        <w:t xml:space="preserve">s not </w:t>
      </w:r>
      <w:r w:rsidR="006167B3" w:rsidRPr="00F237BA">
        <w:t>worth the time</w:t>
      </w:r>
      <w:r w:rsidR="009B5F5A">
        <w:t>.</w:t>
      </w:r>
    </w:p>
    <w:p w14:paraId="7F811AD2" w14:textId="4EA19996" w:rsidR="006167B3" w:rsidRDefault="0089200F" w:rsidP="00470F77">
      <w:pPr>
        <w:pStyle w:val="PlainText"/>
        <w:numPr>
          <w:ilvl w:val="0"/>
          <w:numId w:val="21"/>
        </w:numPr>
      </w:pPr>
      <w:r>
        <w:t>Determine they n</w:t>
      </w:r>
      <w:r w:rsidR="006167B3" w:rsidRPr="00F237BA">
        <w:t>eed the product or service and have no access to a supplier that does not impose onerous clauses, so reading the terms wouldn’t make any difference</w:t>
      </w:r>
      <w:r w:rsidR="009B5F5A">
        <w:t>.</w:t>
      </w:r>
    </w:p>
    <w:p w14:paraId="16EED4EA" w14:textId="3CD2A81F" w:rsidR="006167B3" w:rsidRDefault="0089200F" w:rsidP="00470F77">
      <w:pPr>
        <w:pStyle w:val="PlainText"/>
        <w:numPr>
          <w:ilvl w:val="0"/>
          <w:numId w:val="21"/>
        </w:numPr>
      </w:pPr>
      <w:r>
        <w:t xml:space="preserve">Are often </w:t>
      </w:r>
      <w:r w:rsidR="006167B3" w:rsidRPr="00F237BA">
        <w:t xml:space="preserve">not even aware that </w:t>
      </w:r>
      <w:r w:rsidR="006167B3">
        <w:t>they</w:t>
      </w:r>
      <w:r w:rsidR="006167B3" w:rsidRPr="00F237BA">
        <w:t xml:space="preserve"> are becoming subject to </w:t>
      </w:r>
      <w:r w:rsidR="006167B3">
        <w:t>questionable terms</w:t>
      </w:r>
      <w:r w:rsidR="006167B3" w:rsidRPr="00F237BA">
        <w:t xml:space="preserve">, so don’t know that there is anything </w:t>
      </w:r>
      <w:r w:rsidR="006167B3">
        <w:t xml:space="preserve">important </w:t>
      </w:r>
      <w:r w:rsidR="006167B3" w:rsidRPr="00F237BA">
        <w:t xml:space="preserve">to </w:t>
      </w:r>
      <w:r w:rsidR="009B5F5A" w:rsidRPr="00F237BA">
        <w:t>read.</w:t>
      </w:r>
    </w:p>
    <w:p w14:paraId="636ADAC4" w14:textId="7888805B" w:rsidR="006167B3" w:rsidRDefault="0089200F" w:rsidP="00470F77">
      <w:pPr>
        <w:pStyle w:val="PlainText"/>
        <w:numPr>
          <w:ilvl w:val="0"/>
          <w:numId w:val="21"/>
        </w:numPr>
      </w:pPr>
      <w:r>
        <w:t>May simply t</w:t>
      </w:r>
      <w:r w:rsidR="006167B3" w:rsidRPr="00F237BA">
        <w:t xml:space="preserve">rust the company not to have included anything </w:t>
      </w:r>
      <w:r w:rsidR="009B5F5A" w:rsidRPr="00F237BA">
        <w:t>harmful.</w:t>
      </w:r>
    </w:p>
    <w:p w14:paraId="15576F2B" w14:textId="27B10DC2" w:rsidR="006167B3" w:rsidRDefault="0089200F" w:rsidP="00470F77">
      <w:pPr>
        <w:pStyle w:val="PlainText"/>
        <w:numPr>
          <w:ilvl w:val="0"/>
          <w:numId w:val="21"/>
        </w:numPr>
      </w:pPr>
      <w:r>
        <w:t>Believe</w:t>
      </w:r>
      <w:r w:rsidR="006167B3" w:rsidRPr="00F237BA">
        <w:t xml:space="preserve"> that anything harmful would be unenforceable</w:t>
      </w:r>
      <w:r w:rsidR="006167B3">
        <w:t xml:space="preserve"> or challenged by </w:t>
      </w:r>
      <w:r w:rsidR="009B5F5A">
        <w:t>others.</w:t>
      </w:r>
    </w:p>
    <w:p w14:paraId="56506F8E" w14:textId="4E699821" w:rsidR="006167B3" w:rsidRDefault="0089200F" w:rsidP="00470F77">
      <w:pPr>
        <w:pStyle w:val="PlainText"/>
        <w:numPr>
          <w:ilvl w:val="0"/>
          <w:numId w:val="21"/>
        </w:numPr>
      </w:pPr>
      <w:r>
        <w:t>Think</w:t>
      </w:r>
      <w:r w:rsidR="006167B3" w:rsidRPr="00F237BA">
        <w:t xml:space="preserve"> the company has power over </w:t>
      </w:r>
      <w:r w:rsidR="006167B3">
        <w:t xml:space="preserve">them anyway and so </w:t>
      </w:r>
      <w:r w:rsidR="006167B3" w:rsidRPr="00F237BA">
        <w:t xml:space="preserve">are simply stuck with what </w:t>
      </w:r>
      <w:r>
        <w:t xml:space="preserve">the </w:t>
      </w:r>
      <w:r w:rsidR="00636007">
        <w:t>ToS</w:t>
      </w:r>
      <w:r w:rsidR="006167B3" w:rsidRPr="00F237BA">
        <w:t xml:space="preserve"> </w:t>
      </w:r>
      <w:r w:rsidR="009B5F5A" w:rsidRPr="00F237BA">
        <w:t>imposes.</w:t>
      </w:r>
    </w:p>
    <w:p w14:paraId="66D4777F" w14:textId="01DA59B8" w:rsidR="006167B3" w:rsidRDefault="0089200F" w:rsidP="00470F77">
      <w:pPr>
        <w:pStyle w:val="PlainText"/>
        <w:numPr>
          <w:ilvl w:val="0"/>
          <w:numId w:val="21"/>
        </w:numPr>
      </w:pPr>
      <w:r>
        <w:t>Do</w:t>
      </w:r>
      <w:r w:rsidR="009B5F5A">
        <w:t xml:space="preserve"> not </w:t>
      </w:r>
      <w:r w:rsidR="006167B3" w:rsidRPr="00F237BA">
        <w:t xml:space="preserve">believe </w:t>
      </w:r>
      <w:r w:rsidR="006167B3">
        <w:t>they</w:t>
      </w:r>
      <w:r w:rsidR="006167B3" w:rsidRPr="00F237BA">
        <w:t xml:space="preserve"> will ever need to exercise </w:t>
      </w:r>
      <w:r w:rsidR="00636007">
        <w:t>their</w:t>
      </w:r>
      <w:r w:rsidR="006167B3" w:rsidRPr="00F237BA">
        <w:t xml:space="preserve"> background legal rights.</w:t>
      </w:r>
      <w:r w:rsidR="006167B3">
        <w:rPr>
          <w:rStyle w:val="EndnoteReference"/>
        </w:rPr>
        <w:endnoteReference w:id="230"/>
      </w:r>
    </w:p>
    <w:p w14:paraId="058BFC1D" w14:textId="77777777" w:rsidR="0073762B" w:rsidRDefault="0073762B" w:rsidP="005E60C3">
      <w:pPr>
        <w:pStyle w:val="PlainText"/>
        <w:rPr>
          <w:b/>
          <w:bCs/>
          <w:highlight w:val="lightGray"/>
        </w:rPr>
      </w:pPr>
    </w:p>
    <w:p w14:paraId="1518AFF6" w14:textId="30B09A7F" w:rsidR="005E60C3" w:rsidRDefault="005E60C3" w:rsidP="005E60C3">
      <w:pPr>
        <w:pStyle w:val="PlainText"/>
      </w:pPr>
      <w:r w:rsidRPr="005E60C3">
        <w:rPr>
          <w:b/>
          <w:bCs/>
          <w:highlight w:val="lightGray"/>
        </w:rPr>
        <w:t>QUOTE BOX:</w:t>
      </w:r>
      <w:r w:rsidR="009E0094">
        <w:rPr>
          <w:highlight w:val="lightGray"/>
        </w:rPr>
        <w:t xml:space="preserve"> </w:t>
      </w:r>
      <w:r w:rsidRPr="005E60C3">
        <w:rPr>
          <w:highlight w:val="lightGray"/>
        </w:rPr>
        <w:t xml:space="preserve">A 2021 OECD survey of online shoppers in 13 countries reveals that around 70% of consumers </w:t>
      </w:r>
      <w:r w:rsidR="009919D0">
        <w:rPr>
          <w:highlight w:val="lightGray"/>
        </w:rPr>
        <w:t xml:space="preserve">who </w:t>
      </w:r>
      <w:r w:rsidRPr="005E60C3">
        <w:rPr>
          <w:highlight w:val="lightGray"/>
        </w:rPr>
        <w:t>have faced a problem in e-commerce simply trust the terms and conditions of an online purchase to be acceptable, rather than to actually read them before every online purchase.</w:t>
      </w:r>
      <w:r>
        <w:rPr>
          <w:rStyle w:val="EndnoteReference"/>
          <w:highlight w:val="lightGray"/>
        </w:rPr>
        <w:endnoteReference w:id="231"/>
      </w:r>
    </w:p>
    <w:p w14:paraId="24F639EB" w14:textId="77777777" w:rsidR="005E60C3" w:rsidRDefault="005E60C3" w:rsidP="005E60C3">
      <w:pPr>
        <w:pStyle w:val="PlainText"/>
      </w:pPr>
    </w:p>
    <w:p w14:paraId="143264FA" w14:textId="1E74A58B" w:rsidR="006167B3" w:rsidRDefault="00E177D8" w:rsidP="006167B3">
      <w:pPr>
        <w:pStyle w:val="PlainText"/>
      </w:pPr>
      <w:r>
        <w:t xml:space="preserve">More recently, </w:t>
      </w:r>
      <w:r w:rsidR="006167B3">
        <w:t xml:space="preserve">the American Law Institute </w:t>
      </w:r>
      <w:r w:rsidR="008D50E7">
        <w:t xml:space="preserve">(ALI) </w:t>
      </w:r>
      <w:r w:rsidR="006167B3">
        <w:t>concluded:</w:t>
      </w:r>
    </w:p>
    <w:p w14:paraId="6C588231" w14:textId="77777777" w:rsidR="006167B3" w:rsidRDefault="006167B3" w:rsidP="006167B3">
      <w:pPr>
        <w:pStyle w:val="PlainText"/>
      </w:pPr>
    </w:p>
    <w:p w14:paraId="1A87748F" w14:textId="17DA7E23" w:rsidR="006167B3" w:rsidRPr="0039002A" w:rsidRDefault="006167B3" w:rsidP="006167B3">
      <w:pPr>
        <w:pStyle w:val="PlainText"/>
        <w:ind w:left="993" w:right="1138"/>
        <w:rPr>
          <w:i/>
          <w:iCs/>
        </w:rPr>
      </w:pPr>
      <w:r w:rsidRPr="1F5E9E68">
        <w:rPr>
          <w:i/>
          <w:iCs/>
        </w:rPr>
        <w:lastRenderedPageBreak/>
        <w:t>In a world of lengthy standard forms, which consumers are unlikely to read, more restrictive assent rules that demand more disclosures, more notifications and alerts, and more structured templates for manifesting assent, while required by courts, are unlikely</w:t>
      </w:r>
      <w:r w:rsidR="00445F93" w:rsidRPr="1F5E9E68">
        <w:rPr>
          <w:i/>
          <w:iCs/>
        </w:rPr>
        <w:t xml:space="preserve"> </w:t>
      </w:r>
      <w:r w:rsidRPr="1F5E9E68">
        <w:rPr>
          <w:i/>
          <w:iCs/>
        </w:rPr>
        <w:t>—</w:t>
      </w:r>
      <w:r w:rsidR="00445F93" w:rsidRPr="1F5E9E68">
        <w:rPr>
          <w:i/>
          <w:iCs/>
        </w:rPr>
        <w:t xml:space="preserve"> </w:t>
      </w:r>
      <w:r w:rsidRPr="1F5E9E68">
        <w:rPr>
          <w:i/>
          <w:iCs/>
        </w:rPr>
        <w:t>even if businesses comply with them</w:t>
      </w:r>
      <w:r w:rsidR="00445F93" w:rsidRPr="1F5E9E68">
        <w:rPr>
          <w:i/>
          <w:iCs/>
        </w:rPr>
        <w:t xml:space="preserve"> </w:t>
      </w:r>
      <w:r w:rsidRPr="1F5E9E68">
        <w:rPr>
          <w:i/>
          <w:iCs/>
        </w:rPr>
        <w:t>—</w:t>
      </w:r>
      <w:r w:rsidR="00445F93" w:rsidRPr="1F5E9E68">
        <w:rPr>
          <w:i/>
          <w:iCs/>
        </w:rPr>
        <w:t xml:space="preserve"> </w:t>
      </w:r>
      <w:r w:rsidRPr="1F5E9E68">
        <w:rPr>
          <w:i/>
          <w:iCs/>
        </w:rPr>
        <w:t>to produce substantial benefit for consumers…</w:t>
      </w:r>
      <w:r w:rsidRPr="1F5E9E68">
        <w:rPr>
          <w:rStyle w:val="EndnoteReference"/>
          <w:i/>
          <w:iCs/>
        </w:rPr>
        <w:endnoteReference w:id="232"/>
      </w:r>
    </w:p>
    <w:p w14:paraId="0285308C" w14:textId="4AA42C0C" w:rsidR="002B48D4" w:rsidRDefault="002B48D4" w:rsidP="0050251B">
      <w:pPr>
        <w:spacing w:after="0" w:line="240" w:lineRule="auto"/>
      </w:pPr>
    </w:p>
    <w:p w14:paraId="543200A5" w14:textId="32519477" w:rsidR="000331CE" w:rsidRDefault="000331CE" w:rsidP="000331CE">
      <w:r>
        <w:t xml:space="preserve">Legal scholars note that expansive ToS disclosures </w:t>
      </w:r>
      <w:r w:rsidR="007E0F4A">
        <w:t xml:space="preserve">are a logical consequence in the absence of clear legislative or regulatory </w:t>
      </w:r>
      <w:r>
        <w:t xml:space="preserve">guidance on disclosure requirements. </w:t>
      </w:r>
      <w:r w:rsidR="007E0F4A">
        <w:t xml:space="preserve">In other words, </w:t>
      </w:r>
      <w:r>
        <w:t xml:space="preserve">businesses </w:t>
      </w:r>
      <w:r w:rsidR="007E0F4A">
        <w:t xml:space="preserve">often </w:t>
      </w:r>
      <w:r w:rsidR="007E0F4A" w:rsidRPr="1F5E9E68">
        <w:rPr>
          <w:i/>
          <w:iCs/>
        </w:rPr>
        <w:t xml:space="preserve">add </w:t>
      </w:r>
      <w:r w:rsidR="007E0F4A">
        <w:t>ToS disclosures as a precautionary strategy to fulfill indeterminate legal requirements</w:t>
      </w:r>
      <w:r w:rsidR="009919D0">
        <w:t xml:space="preserve"> and insulate themselves from potential liability</w:t>
      </w:r>
      <w:r>
        <w:t>.</w:t>
      </w:r>
      <w:r>
        <w:rPr>
          <w:rStyle w:val="EndnoteReference"/>
        </w:rPr>
        <w:endnoteReference w:id="233"/>
      </w:r>
      <w:r>
        <w:t xml:space="preserve"> </w:t>
      </w:r>
    </w:p>
    <w:p w14:paraId="1D4F968E" w14:textId="02138B92" w:rsidR="000331CE" w:rsidRDefault="009B5F5A" w:rsidP="000331CE">
      <w:r>
        <w:t>Similarly, t</w:t>
      </w:r>
      <w:r w:rsidR="000331CE">
        <w:t xml:space="preserve">he OECD recently found that: </w:t>
      </w:r>
    </w:p>
    <w:p w14:paraId="670B8BC8" w14:textId="50E2C3B5" w:rsidR="00AD1A44" w:rsidRPr="007A41A0" w:rsidRDefault="007E0F4A" w:rsidP="007A41A0">
      <w:pPr>
        <w:pStyle w:val="Quote"/>
        <w:jc w:val="left"/>
        <w:rPr>
          <w:i/>
          <w:iCs/>
          <w:lang w:val="en-US"/>
        </w:rPr>
      </w:pPr>
      <w:r w:rsidRPr="1F5E9E68">
        <w:rPr>
          <w:i/>
          <w:iCs/>
        </w:rPr>
        <w:t>…</w:t>
      </w:r>
      <w:r w:rsidR="000331CE" w:rsidRPr="1F5E9E68">
        <w:rPr>
          <w:i/>
          <w:iCs/>
        </w:rPr>
        <w:t>if the number of mandatory (general or sector-specific) disclosure requirements becomes very large, the cost of enhancing the effectiveness of each individual disclosure may become prohibitive, forcing businesses to concentrate on compliance rather than on efficient communication. If the content of the disclosed information is associated with significant costs for the disclosing entity, incentives to disclose effectively may be limited.</w:t>
      </w:r>
      <w:r w:rsidR="000331CE" w:rsidRPr="1F5E9E68">
        <w:rPr>
          <w:rStyle w:val="EndnoteReference"/>
          <w:i/>
          <w:iCs/>
        </w:rPr>
        <w:endnoteReference w:id="234"/>
      </w:r>
    </w:p>
    <w:p w14:paraId="0715E70A" w14:textId="77777777" w:rsidR="00B7401C" w:rsidRDefault="00B7401C" w:rsidP="000331CE">
      <w:pPr>
        <w:pStyle w:val="Quote"/>
        <w:ind w:left="0"/>
        <w:jc w:val="left"/>
        <w:rPr>
          <w:lang w:val="en-US"/>
        </w:rPr>
      </w:pPr>
    </w:p>
    <w:p w14:paraId="5931BE01" w14:textId="4DB201AE" w:rsidR="00FC735C" w:rsidRPr="00FD2F08" w:rsidRDefault="00FC735C" w:rsidP="00FC735C">
      <w:r>
        <w:t>Moreover, s</w:t>
      </w:r>
      <w:r w:rsidRPr="00FD2F08">
        <w:t xml:space="preserve">imply adding disclosure requirements may </w:t>
      </w:r>
      <w:r w:rsidR="00702945">
        <w:t xml:space="preserve">complicate or overshadow </w:t>
      </w:r>
      <w:r w:rsidRPr="00FD2F08">
        <w:t xml:space="preserve">the need to promote </w:t>
      </w:r>
      <w:r w:rsidRPr="1F5E9E68">
        <w:rPr>
          <w:i/>
          <w:iCs/>
        </w:rPr>
        <w:t>meaningful</w:t>
      </w:r>
      <w:r w:rsidRPr="00FD2F08">
        <w:t xml:space="preserve"> consumer disclosure.</w:t>
      </w:r>
      <w:r w:rsidR="009E0094">
        <w:t xml:space="preserve"> </w:t>
      </w:r>
      <w:r w:rsidRPr="00FD2F08">
        <w:t xml:space="preserve">The </w:t>
      </w:r>
      <w:r w:rsidR="008D50E7">
        <w:t>ALI</w:t>
      </w:r>
      <w:r>
        <w:t>, for example,</w:t>
      </w:r>
      <w:r w:rsidRPr="00FD2F08">
        <w:t xml:space="preserve"> has highlighted how consumer disclosure practices in the digital marketplace often lack “market context” to make disclosure</w:t>
      </w:r>
      <w:r w:rsidR="00702945">
        <w:t>s</w:t>
      </w:r>
      <w:r w:rsidRPr="00FD2F08">
        <w:t xml:space="preserve"> meaningful.</w:t>
      </w:r>
      <w:r w:rsidRPr="00FD2F08">
        <w:rPr>
          <w:rStyle w:val="EndnoteReference"/>
        </w:rPr>
        <w:endnoteReference w:id="235"/>
      </w:r>
      <w:r w:rsidRPr="00FD2F08">
        <w:t xml:space="preserve"> </w:t>
      </w:r>
    </w:p>
    <w:p w14:paraId="645313B0" w14:textId="282CFF26" w:rsidR="00FC735C" w:rsidRDefault="00702945" w:rsidP="00FC735C">
      <w:r>
        <w:t xml:space="preserve">In the world of digital contracting, “market context” is an important concept. It </w:t>
      </w:r>
      <w:r w:rsidR="00FC735C" w:rsidRPr="00FD2F08">
        <w:t>refers to business models and practices which are often unknown to consumers</w:t>
      </w:r>
      <w:r>
        <w:t xml:space="preserve"> </w:t>
      </w:r>
      <w:r w:rsidR="00FC735C" w:rsidRPr="00FD2F08">
        <w:t xml:space="preserve">but </w:t>
      </w:r>
      <w:r>
        <w:t xml:space="preserve">which </w:t>
      </w:r>
      <w:r w:rsidR="00FC735C" w:rsidRPr="00FD2F08">
        <w:t xml:space="preserve">may have </w:t>
      </w:r>
      <w:r>
        <w:t xml:space="preserve">important </w:t>
      </w:r>
      <w:r w:rsidR="00FC735C" w:rsidRPr="00FD2F08">
        <w:t xml:space="preserve">consequences and risks. A </w:t>
      </w:r>
      <w:r>
        <w:t xml:space="preserve">common </w:t>
      </w:r>
      <w:r w:rsidR="00FC735C" w:rsidRPr="00FD2F08">
        <w:t>example in the digital marketplace is a</w:t>
      </w:r>
      <w:r w:rsidR="00703FAF">
        <w:t>n</w:t>
      </w:r>
      <w:r w:rsidR="00FC735C" w:rsidRPr="00FD2F08">
        <w:t xml:space="preserve"> </w:t>
      </w:r>
      <w:r>
        <w:t xml:space="preserve">online contractual term </w:t>
      </w:r>
      <w:r w:rsidR="00FC735C" w:rsidRPr="00FD2F08">
        <w:t xml:space="preserve">that a supplier “may share information about you with our partners to improve your experience.” Absent disclosure of market context, a consumer may not know that these provisions </w:t>
      </w:r>
      <w:r>
        <w:t xml:space="preserve">are often </w:t>
      </w:r>
      <w:r w:rsidR="00FC735C" w:rsidRPr="00FD2F08">
        <w:t>used to monetize the consumer, shape consumer content or prices, and share consumer profiles with other businesses.</w:t>
      </w:r>
    </w:p>
    <w:p w14:paraId="1966E1A1" w14:textId="345AD5CA" w:rsidR="00784D3C" w:rsidRPr="00CA25E4" w:rsidRDefault="00784D3C" w:rsidP="00784D3C">
      <w:pPr>
        <w:rPr>
          <w:b/>
          <w:bCs/>
          <w:highlight w:val="lightGray"/>
        </w:rPr>
      </w:pPr>
      <w:r w:rsidRPr="00CA25E4">
        <w:rPr>
          <w:b/>
          <w:bCs/>
          <w:highlight w:val="lightGray"/>
        </w:rPr>
        <w:t xml:space="preserve">Sidebar: </w:t>
      </w:r>
      <w:r w:rsidR="009919D0" w:rsidRPr="00CA25E4">
        <w:rPr>
          <w:b/>
          <w:bCs/>
          <w:highlight w:val="lightGray"/>
        </w:rPr>
        <w:t xml:space="preserve">Examples </w:t>
      </w:r>
      <w:r w:rsidR="007B45E4" w:rsidRPr="00CA25E4">
        <w:rPr>
          <w:b/>
          <w:bCs/>
          <w:highlight w:val="lightGray"/>
        </w:rPr>
        <w:t>of</w:t>
      </w:r>
      <w:r w:rsidR="009919D0" w:rsidRPr="00CA25E4">
        <w:rPr>
          <w:b/>
          <w:bCs/>
          <w:highlight w:val="lightGray"/>
        </w:rPr>
        <w:t xml:space="preserve"> Key Information </w:t>
      </w:r>
      <w:r w:rsidR="00177C5F" w:rsidRPr="00CA25E4">
        <w:rPr>
          <w:b/>
          <w:bCs/>
          <w:highlight w:val="lightGray"/>
        </w:rPr>
        <w:t>and</w:t>
      </w:r>
      <w:r w:rsidR="009919D0" w:rsidRPr="00CA25E4">
        <w:rPr>
          <w:b/>
          <w:bCs/>
          <w:highlight w:val="lightGray"/>
        </w:rPr>
        <w:t xml:space="preserve"> Market Contexts</w:t>
      </w:r>
    </w:p>
    <w:p w14:paraId="6E4DDCA0" w14:textId="21201EC9" w:rsidR="008E3AF1" w:rsidRPr="00750FA2" w:rsidRDefault="00EF0552" w:rsidP="008E3AF1">
      <w:pPr>
        <w:spacing w:after="0" w:line="240" w:lineRule="auto"/>
        <w:rPr>
          <w:highlight w:val="lightGray"/>
        </w:rPr>
      </w:pPr>
      <w:r>
        <w:rPr>
          <w:highlight w:val="lightGray"/>
        </w:rPr>
        <w:t xml:space="preserve">In </w:t>
      </w:r>
      <w:r w:rsidR="008E3AF1">
        <w:rPr>
          <w:highlight w:val="lightGray"/>
        </w:rPr>
        <w:t xml:space="preserve">2021 the EU adopted an </w:t>
      </w:r>
      <w:r w:rsidR="008E3AF1" w:rsidRPr="00750FA2">
        <w:rPr>
          <w:highlight w:val="lightGray"/>
        </w:rPr>
        <w:t>Unfair Commercial Practices Directive (UCPD).</w:t>
      </w:r>
      <w:r w:rsidR="008E3AF1" w:rsidRPr="00750FA2">
        <w:rPr>
          <w:rStyle w:val="EndnoteReference"/>
          <w:highlight w:val="lightGray"/>
        </w:rPr>
        <w:endnoteReference w:id="236"/>
      </w:r>
      <w:r w:rsidR="008E3AF1" w:rsidRPr="00750FA2">
        <w:rPr>
          <w:highlight w:val="lightGray"/>
        </w:rPr>
        <w:t xml:space="preserve"> The UCPD provides detailed </w:t>
      </w:r>
      <w:r w:rsidR="008E3AF1">
        <w:rPr>
          <w:highlight w:val="lightGray"/>
        </w:rPr>
        <w:t>lists of contracting</w:t>
      </w:r>
      <w:r w:rsidR="00344865">
        <w:rPr>
          <w:highlight w:val="lightGray"/>
        </w:rPr>
        <w:t>, technological,</w:t>
      </w:r>
      <w:r w:rsidR="008E3AF1">
        <w:rPr>
          <w:highlight w:val="lightGray"/>
        </w:rPr>
        <w:t xml:space="preserve"> and business practices </w:t>
      </w:r>
      <w:r w:rsidR="00344865">
        <w:rPr>
          <w:highlight w:val="lightGray"/>
        </w:rPr>
        <w:t xml:space="preserve">with guidance on </w:t>
      </w:r>
      <w:r w:rsidR="008E3AF1" w:rsidRPr="00750FA2">
        <w:rPr>
          <w:highlight w:val="lightGray"/>
        </w:rPr>
        <w:t xml:space="preserve">how </w:t>
      </w:r>
      <w:r w:rsidR="00344865">
        <w:rPr>
          <w:highlight w:val="lightGray"/>
        </w:rPr>
        <w:t xml:space="preserve">these </w:t>
      </w:r>
      <w:r w:rsidR="008E3AF1" w:rsidRPr="00750FA2">
        <w:rPr>
          <w:highlight w:val="lightGray"/>
        </w:rPr>
        <w:t>may violate consumer protection principles. Examples include:</w:t>
      </w:r>
    </w:p>
    <w:p w14:paraId="3C15D279" w14:textId="77777777" w:rsidR="008E3AF1" w:rsidRPr="00750FA2" w:rsidRDefault="008E3AF1" w:rsidP="008E3AF1">
      <w:pPr>
        <w:spacing w:after="0" w:line="240" w:lineRule="auto"/>
        <w:rPr>
          <w:highlight w:val="lightGray"/>
        </w:rPr>
      </w:pPr>
    </w:p>
    <w:p w14:paraId="2B2E95D0" w14:textId="2CC885DF" w:rsidR="004347F2" w:rsidRDefault="009919D0" w:rsidP="00470F77">
      <w:pPr>
        <w:pStyle w:val="ListParagraph"/>
        <w:numPr>
          <w:ilvl w:val="0"/>
          <w:numId w:val="12"/>
        </w:numPr>
        <w:spacing w:after="0" w:line="240" w:lineRule="auto"/>
        <w:rPr>
          <w:highlight w:val="lightGray"/>
        </w:rPr>
      </w:pPr>
      <w:r>
        <w:rPr>
          <w:highlight w:val="lightGray"/>
        </w:rPr>
        <w:t>Misleading information and misleading omissions</w:t>
      </w:r>
    </w:p>
    <w:p w14:paraId="61A2C5CB" w14:textId="43127347" w:rsidR="004347F2" w:rsidRDefault="009919D0" w:rsidP="00470F77">
      <w:pPr>
        <w:pStyle w:val="ListParagraph"/>
        <w:numPr>
          <w:ilvl w:val="0"/>
          <w:numId w:val="12"/>
        </w:numPr>
        <w:spacing w:after="0" w:line="240" w:lineRule="auto"/>
        <w:rPr>
          <w:highlight w:val="lightGray"/>
        </w:rPr>
      </w:pPr>
      <w:r>
        <w:rPr>
          <w:highlight w:val="lightGray"/>
        </w:rPr>
        <w:t>H</w:t>
      </w:r>
      <w:r w:rsidR="004347F2" w:rsidRPr="004347F2">
        <w:rPr>
          <w:highlight w:val="lightGray"/>
        </w:rPr>
        <w:t>idden marketing</w:t>
      </w:r>
      <w:r w:rsidR="004347F2">
        <w:rPr>
          <w:highlight w:val="lightGray"/>
        </w:rPr>
        <w:t xml:space="preserve"> / </w:t>
      </w:r>
      <w:r w:rsidR="004347F2" w:rsidRPr="004347F2">
        <w:rPr>
          <w:highlight w:val="lightGray"/>
        </w:rPr>
        <w:t>failure to identify commercial intent</w:t>
      </w:r>
    </w:p>
    <w:p w14:paraId="1F8AF55D" w14:textId="06A7151F" w:rsidR="004347F2" w:rsidRDefault="009919D0" w:rsidP="00470F77">
      <w:pPr>
        <w:pStyle w:val="ListParagraph"/>
        <w:numPr>
          <w:ilvl w:val="0"/>
          <w:numId w:val="12"/>
        </w:numPr>
        <w:spacing w:after="0" w:line="240" w:lineRule="auto"/>
        <w:rPr>
          <w:highlight w:val="lightGray"/>
        </w:rPr>
      </w:pPr>
      <w:r>
        <w:rPr>
          <w:highlight w:val="lightGray"/>
        </w:rPr>
        <w:t>M</w:t>
      </w:r>
      <w:r w:rsidR="004347F2" w:rsidRPr="004347F2">
        <w:rPr>
          <w:highlight w:val="lightGray"/>
        </w:rPr>
        <w:t>aterial information provided in an unclear manner</w:t>
      </w:r>
    </w:p>
    <w:p w14:paraId="36F29BB5" w14:textId="3F98D777" w:rsidR="004347F2" w:rsidRPr="004347F2" w:rsidRDefault="009919D0" w:rsidP="00470F77">
      <w:pPr>
        <w:pStyle w:val="ListParagraph"/>
        <w:numPr>
          <w:ilvl w:val="0"/>
          <w:numId w:val="12"/>
        </w:numPr>
        <w:spacing w:after="0" w:line="240" w:lineRule="auto"/>
        <w:rPr>
          <w:highlight w:val="lightGray"/>
        </w:rPr>
      </w:pPr>
      <w:r>
        <w:rPr>
          <w:highlight w:val="lightGray"/>
        </w:rPr>
        <w:t>U</w:t>
      </w:r>
      <w:r w:rsidR="004347F2" w:rsidRPr="004347F2">
        <w:rPr>
          <w:highlight w:val="lightGray"/>
        </w:rPr>
        <w:t>se of the claim ‘free’</w:t>
      </w:r>
    </w:p>
    <w:p w14:paraId="7FF700C7" w14:textId="3204C50C" w:rsidR="004347F2" w:rsidRDefault="009919D0" w:rsidP="00470F77">
      <w:pPr>
        <w:pStyle w:val="ListParagraph"/>
        <w:numPr>
          <w:ilvl w:val="0"/>
          <w:numId w:val="12"/>
        </w:numPr>
        <w:spacing w:after="0" w:line="240" w:lineRule="auto"/>
        <w:rPr>
          <w:highlight w:val="lightGray"/>
        </w:rPr>
      </w:pPr>
      <w:r>
        <w:rPr>
          <w:highlight w:val="lightGray"/>
        </w:rPr>
        <w:t>Free trials and subscription traps</w:t>
      </w:r>
    </w:p>
    <w:p w14:paraId="2C38389C" w14:textId="625A0FC6" w:rsidR="008E3AF1" w:rsidRDefault="009919D0" w:rsidP="00470F77">
      <w:pPr>
        <w:pStyle w:val="ListParagraph"/>
        <w:numPr>
          <w:ilvl w:val="0"/>
          <w:numId w:val="12"/>
        </w:numPr>
        <w:spacing w:after="0" w:line="240" w:lineRule="auto"/>
        <w:rPr>
          <w:highlight w:val="lightGray"/>
        </w:rPr>
      </w:pPr>
      <w:r w:rsidRPr="00750FA2">
        <w:rPr>
          <w:highlight w:val="lightGray"/>
        </w:rPr>
        <w:t>Influencer</w:t>
      </w:r>
      <w:r w:rsidR="008E3AF1" w:rsidRPr="00750FA2">
        <w:rPr>
          <w:highlight w:val="lightGray"/>
        </w:rPr>
        <w:t xml:space="preserve"> marketing</w:t>
      </w:r>
      <w:r w:rsidR="004347F2">
        <w:rPr>
          <w:highlight w:val="lightGray"/>
        </w:rPr>
        <w:t xml:space="preserve"> transparency</w:t>
      </w:r>
    </w:p>
    <w:p w14:paraId="13EE1E69" w14:textId="34C979B3" w:rsidR="004347F2" w:rsidRPr="00750FA2" w:rsidRDefault="009919D0" w:rsidP="00470F77">
      <w:pPr>
        <w:pStyle w:val="ListParagraph"/>
        <w:numPr>
          <w:ilvl w:val="0"/>
          <w:numId w:val="12"/>
        </w:numPr>
        <w:spacing w:after="0" w:line="240" w:lineRule="auto"/>
        <w:rPr>
          <w:highlight w:val="lightGray"/>
        </w:rPr>
      </w:pPr>
      <w:r>
        <w:rPr>
          <w:highlight w:val="lightGray"/>
        </w:rPr>
        <w:t>User reviews</w:t>
      </w:r>
    </w:p>
    <w:p w14:paraId="03E08B8C" w14:textId="50DBB364" w:rsidR="008E3AF1" w:rsidRPr="00750FA2" w:rsidRDefault="009919D0" w:rsidP="00470F77">
      <w:pPr>
        <w:pStyle w:val="ListParagraph"/>
        <w:numPr>
          <w:ilvl w:val="0"/>
          <w:numId w:val="12"/>
        </w:numPr>
        <w:spacing w:after="0" w:line="240" w:lineRule="auto"/>
        <w:rPr>
          <w:highlight w:val="lightGray"/>
        </w:rPr>
      </w:pPr>
      <w:r w:rsidRPr="00750FA2">
        <w:rPr>
          <w:highlight w:val="lightGray"/>
        </w:rPr>
        <w:t xml:space="preserve">Data-driven </w:t>
      </w:r>
      <w:r w:rsidR="008E3AF1">
        <w:rPr>
          <w:highlight w:val="lightGray"/>
        </w:rPr>
        <w:t xml:space="preserve">and algorithmic </w:t>
      </w:r>
      <w:r w:rsidR="008E3AF1" w:rsidRPr="00750FA2">
        <w:rPr>
          <w:highlight w:val="lightGray"/>
        </w:rPr>
        <w:t>personalisation of content</w:t>
      </w:r>
    </w:p>
    <w:p w14:paraId="5856294A" w14:textId="563822A6" w:rsidR="008E3AF1" w:rsidRPr="00750FA2" w:rsidRDefault="009919D0" w:rsidP="00470F77">
      <w:pPr>
        <w:pStyle w:val="ListParagraph"/>
        <w:numPr>
          <w:ilvl w:val="0"/>
          <w:numId w:val="12"/>
        </w:numPr>
        <w:spacing w:after="0" w:line="240" w:lineRule="auto"/>
        <w:rPr>
          <w:highlight w:val="lightGray"/>
        </w:rPr>
      </w:pPr>
      <w:r w:rsidRPr="00750FA2">
        <w:rPr>
          <w:highlight w:val="lightGray"/>
        </w:rPr>
        <w:t>Dark pattern design of user interfaces</w:t>
      </w:r>
    </w:p>
    <w:p w14:paraId="7C7AD4E5" w14:textId="14DA06BC" w:rsidR="008E3AF1" w:rsidRPr="00750FA2" w:rsidRDefault="009919D0" w:rsidP="00470F77">
      <w:pPr>
        <w:pStyle w:val="ListParagraph"/>
        <w:numPr>
          <w:ilvl w:val="0"/>
          <w:numId w:val="12"/>
        </w:numPr>
        <w:spacing w:after="0" w:line="240" w:lineRule="auto"/>
        <w:rPr>
          <w:highlight w:val="lightGray"/>
        </w:rPr>
      </w:pPr>
      <w:r w:rsidRPr="00750FA2">
        <w:rPr>
          <w:highlight w:val="lightGray"/>
        </w:rPr>
        <w:t>Consumer lock-in to proprietary platform</w:t>
      </w:r>
      <w:r w:rsidR="008E3AF1">
        <w:rPr>
          <w:highlight w:val="lightGray"/>
        </w:rPr>
        <w:t>s and format</w:t>
      </w:r>
      <w:r w:rsidR="008E3AF1" w:rsidRPr="00750FA2">
        <w:rPr>
          <w:highlight w:val="lightGray"/>
        </w:rPr>
        <w:t>s</w:t>
      </w:r>
    </w:p>
    <w:p w14:paraId="1AEA904B" w14:textId="5A2771B0" w:rsidR="00784D3C" w:rsidRPr="008E3AF1" w:rsidRDefault="009919D0" w:rsidP="00470F77">
      <w:pPr>
        <w:pStyle w:val="ListParagraph"/>
        <w:numPr>
          <w:ilvl w:val="0"/>
          <w:numId w:val="12"/>
        </w:numPr>
        <w:spacing w:after="0" w:line="240" w:lineRule="auto"/>
        <w:rPr>
          <w:highlight w:val="lightGray"/>
        </w:rPr>
      </w:pPr>
      <w:r w:rsidRPr="00750FA2">
        <w:rPr>
          <w:highlight w:val="lightGray"/>
        </w:rPr>
        <w:t xml:space="preserve">Gaming practices including sale of virtual items, in-game </w:t>
      </w:r>
      <w:r w:rsidR="008E3AF1" w:rsidRPr="00750FA2">
        <w:rPr>
          <w:highlight w:val="lightGray"/>
        </w:rPr>
        <w:t>marketing, and digital currencies.</w:t>
      </w:r>
      <w:r w:rsidR="008E3AF1" w:rsidRPr="00750FA2">
        <w:rPr>
          <w:rStyle w:val="EndnoteReference"/>
          <w:highlight w:val="lightGray"/>
        </w:rPr>
        <w:endnoteReference w:id="237"/>
      </w:r>
    </w:p>
    <w:p w14:paraId="1F1776A3" w14:textId="627A13E6" w:rsidR="00887C6B" w:rsidRDefault="00887C6B" w:rsidP="00FC735C"/>
    <w:p w14:paraId="210C63B6" w14:textId="2D1E640F" w:rsidR="00404A4D" w:rsidRPr="00827524" w:rsidRDefault="00404A4D" w:rsidP="00404A4D">
      <w:r w:rsidRPr="00827524">
        <w:rPr>
          <w:b/>
          <w:bCs/>
          <w:highlight w:val="lightGray"/>
        </w:rPr>
        <w:t xml:space="preserve">SIDEBAR: </w:t>
      </w:r>
      <w:r w:rsidR="00015FFE">
        <w:rPr>
          <w:b/>
          <w:bCs/>
          <w:highlight w:val="lightGray"/>
        </w:rPr>
        <w:t xml:space="preserve">How </w:t>
      </w:r>
      <w:r w:rsidR="00EF0552">
        <w:rPr>
          <w:b/>
          <w:bCs/>
          <w:highlight w:val="lightGray"/>
        </w:rPr>
        <w:t xml:space="preserve">Can the </w:t>
      </w:r>
      <w:r w:rsidR="009919D0">
        <w:rPr>
          <w:b/>
          <w:bCs/>
          <w:highlight w:val="lightGray"/>
        </w:rPr>
        <w:t>O</w:t>
      </w:r>
      <w:r w:rsidR="00015FFE">
        <w:rPr>
          <w:b/>
          <w:bCs/>
          <w:highlight w:val="lightGray"/>
        </w:rPr>
        <w:t xml:space="preserve">mission of </w:t>
      </w:r>
      <w:r w:rsidR="009919D0">
        <w:rPr>
          <w:b/>
          <w:bCs/>
          <w:highlight w:val="lightGray"/>
        </w:rPr>
        <w:t>K</w:t>
      </w:r>
      <w:r w:rsidR="00015FFE">
        <w:rPr>
          <w:b/>
          <w:bCs/>
          <w:highlight w:val="lightGray"/>
        </w:rPr>
        <w:t xml:space="preserve">ey </w:t>
      </w:r>
      <w:r w:rsidR="009919D0">
        <w:rPr>
          <w:b/>
          <w:bCs/>
          <w:highlight w:val="lightGray"/>
        </w:rPr>
        <w:t>I</w:t>
      </w:r>
      <w:r w:rsidR="00015FFE">
        <w:rPr>
          <w:b/>
          <w:bCs/>
          <w:highlight w:val="lightGray"/>
        </w:rPr>
        <w:t xml:space="preserve">nformation </w:t>
      </w:r>
      <w:r w:rsidR="009919D0">
        <w:rPr>
          <w:b/>
          <w:bCs/>
          <w:highlight w:val="lightGray"/>
        </w:rPr>
        <w:t>Affect C</w:t>
      </w:r>
      <w:r w:rsidR="00015FFE">
        <w:rPr>
          <w:b/>
          <w:bCs/>
          <w:highlight w:val="lightGray"/>
        </w:rPr>
        <w:t xml:space="preserve">onsumers? </w:t>
      </w:r>
      <w:r w:rsidR="00EF0552" w:rsidRPr="008546ED">
        <w:rPr>
          <w:highlight w:val="lightGray"/>
        </w:rPr>
        <w:t>Unclear</w:t>
      </w:r>
      <w:r w:rsidR="00EF0552">
        <w:rPr>
          <w:highlight w:val="lightGray"/>
        </w:rPr>
        <w:t xml:space="preserve">, vague, or complex </w:t>
      </w:r>
      <w:r w:rsidR="009919D0">
        <w:rPr>
          <w:highlight w:val="lightGray"/>
        </w:rPr>
        <w:t>ToS</w:t>
      </w:r>
      <w:r w:rsidRPr="00827524">
        <w:rPr>
          <w:highlight w:val="lightGray"/>
        </w:rPr>
        <w:t xml:space="preserve"> may be used to mislead consumers about the rationale for certain practices. In the United States</w:t>
      </w:r>
      <w:r w:rsidR="009919D0">
        <w:rPr>
          <w:highlight w:val="lightGray"/>
        </w:rPr>
        <w:t>,</w:t>
      </w:r>
      <w:r w:rsidRPr="00827524">
        <w:rPr>
          <w:highlight w:val="lightGray"/>
        </w:rPr>
        <w:t xml:space="preserve"> </w:t>
      </w:r>
      <w:r w:rsidR="00EF0552">
        <w:rPr>
          <w:highlight w:val="lightGray"/>
        </w:rPr>
        <w:t xml:space="preserve">for example, </w:t>
      </w:r>
      <w:r w:rsidRPr="00827524">
        <w:rPr>
          <w:highlight w:val="lightGray"/>
        </w:rPr>
        <w:t xml:space="preserve">the </w:t>
      </w:r>
      <w:r w:rsidR="00EF0552">
        <w:rPr>
          <w:highlight w:val="lightGray"/>
        </w:rPr>
        <w:t xml:space="preserve">FTC </w:t>
      </w:r>
      <w:r w:rsidRPr="00827524">
        <w:rPr>
          <w:highlight w:val="lightGray"/>
        </w:rPr>
        <w:t>recently imposed a $150M penalty on Twitter for “breaking its privacy promises – again.”</w:t>
      </w:r>
      <w:r w:rsidRPr="00827524">
        <w:rPr>
          <w:rStyle w:val="EndnoteReference"/>
          <w:highlight w:val="lightGray"/>
        </w:rPr>
        <w:endnoteReference w:id="238"/>
      </w:r>
      <w:r w:rsidRPr="00827524">
        <w:rPr>
          <w:highlight w:val="lightGray"/>
        </w:rPr>
        <w:t xml:space="preserve"> </w:t>
      </w:r>
      <w:r w:rsidR="00EF0552">
        <w:rPr>
          <w:highlight w:val="lightGray"/>
        </w:rPr>
        <w:t xml:space="preserve">The FTC found that Twitter </w:t>
      </w:r>
      <w:r w:rsidRPr="00827524">
        <w:rPr>
          <w:highlight w:val="lightGray"/>
        </w:rPr>
        <w:t>prompt</w:t>
      </w:r>
      <w:r w:rsidR="00EF0552">
        <w:rPr>
          <w:highlight w:val="lightGray"/>
        </w:rPr>
        <w:t>ed</w:t>
      </w:r>
      <w:r w:rsidR="00703FAF">
        <w:rPr>
          <w:highlight w:val="lightGray"/>
        </w:rPr>
        <w:t xml:space="preserve"> </w:t>
      </w:r>
      <w:r w:rsidR="00EF0552">
        <w:rPr>
          <w:highlight w:val="lightGray"/>
        </w:rPr>
        <w:t xml:space="preserve">more than 140 million users </w:t>
      </w:r>
      <w:r w:rsidRPr="00827524">
        <w:rPr>
          <w:highlight w:val="lightGray"/>
        </w:rPr>
        <w:t xml:space="preserve">to </w:t>
      </w:r>
      <w:r w:rsidR="00EF0552">
        <w:rPr>
          <w:highlight w:val="lightGray"/>
        </w:rPr>
        <w:t xml:space="preserve">their </w:t>
      </w:r>
      <w:r w:rsidRPr="00827524">
        <w:rPr>
          <w:highlight w:val="lightGray"/>
        </w:rPr>
        <w:t xml:space="preserve">link phone numbers </w:t>
      </w:r>
      <w:r w:rsidR="00EF0552">
        <w:rPr>
          <w:highlight w:val="lightGray"/>
        </w:rPr>
        <w:t xml:space="preserve">and Twitter </w:t>
      </w:r>
      <w:r w:rsidRPr="00827524">
        <w:rPr>
          <w:highlight w:val="lightGray"/>
        </w:rPr>
        <w:t>accounts</w:t>
      </w:r>
      <w:r>
        <w:rPr>
          <w:highlight w:val="lightGray"/>
        </w:rPr>
        <w:t xml:space="preserve"> under</w:t>
      </w:r>
      <w:r w:rsidRPr="00827524">
        <w:rPr>
          <w:highlight w:val="lightGray"/>
        </w:rPr>
        <w:t xml:space="preserve"> the guise of </w:t>
      </w:r>
      <w:r w:rsidR="00EF0552">
        <w:rPr>
          <w:highlight w:val="lightGray"/>
        </w:rPr>
        <w:t>improving user’s account security.</w:t>
      </w:r>
      <w:r w:rsidR="00EF0552" w:rsidRPr="00EF0552">
        <w:rPr>
          <w:rStyle w:val="EndnoteReference"/>
          <w:highlight w:val="lightGray"/>
        </w:rPr>
        <w:t xml:space="preserve"> </w:t>
      </w:r>
      <w:r w:rsidR="00EF0552" w:rsidRPr="00827524">
        <w:rPr>
          <w:rStyle w:val="EndnoteReference"/>
          <w:highlight w:val="lightGray"/>
        </w:rPr>
        <w:endnoteReference w:id="239"/>
      </w:r>
      <w:r w:rsidR="00EF0552" w:rsidRPr="00827524">
        <w:rPr>
          <w:highlight w:val="lightGray"/>
        </w:rPr>
        <w:t xml:space="preserve"> </w:t>
      </w:r>
      <w:r w:rsidR="00EF0552">
        <w:rPr>
          <w:highlight w:val="lightGray"/>
        </w:rPr>
        <w:t xml:space="preserve"> Twitter subsequently </w:t>
      </w:r>
      <w:r w:rsidRPr="00827524">
        <w:rPr>
          <w:highlight w:val="lightGray"/>
        </w:rPr>
        <w:t xml:space="preserve">used </w:t>
      </w:r>
      <w:r w:rsidR="00EF0552">
        <w:rPr>
          <w:highlight w:val="lightGray"/>
        </w:rPr>
        <w:t xml:space="preserve">the phone numbers </w:t>
      </w:r>
      <w:r w:rsidRPr="00827524">
        <w:rPr>
          <w:highlight w:val="lightGray"/>
        </w:rPr>
        <w:t xml:space="preserve">to </w:t>
      </w:r>
      <w:r>
        <w:rPr>
          <w:highlight w:val="lightGray"/>
        </w:rPr>
        <w:t xml:space="preserve">uniquely </w:t>
      </w:r>
      <w:r w:rsidRPr="00827524">
        <w:rPr>
          <w:highlight w:val="lightGray"/>
        </w:rPr>
        <w:t xml:space="preserve">identify consumers, </w:t>
      </w:r>
      <w:r>
        <w:rPr>
          <w:highlight w:val="lightGray"/>
        </w:rPr>
        <w:t>establish</w:t>
      </w:r>
      <w:r w:rsidRPr="00827524">
        <w:rPr>
          <w:highlight w:val="lightGray"/>
        </w:rPr>
        <w:t xml:space="preserve"> </w:t>
      </w:r>
      <w:r>
        <w:rPr>
          <w:highlight w:val="lightGray"/>
        </w:rPr>
        <w:t xml:space="preserve">data </w:t>
      </w:r>
      <w:r w:rsidRPr="00827524">
        <w:rPr>
          <w:highlight w:val="lightGray"/>
        </w:rPr>
        <w:t xml:space="preserve">profiles, </w:t>
      </w:r>
      <w:r>
        <w:rPr>
          <w:highlight w:val="lightGray"/>
        </w:rPr>
        <w:t xml:space="preserve">and consolidate </w:t>
      </w:r>
      <w:r w:rsidR="00EF0552">
        <w:rPr>
          <w:highlight w:val="lightGray"/>
        </w:rPr>
        <w:t xml:space="preserve">those </w:t>
      </w:r>
      <w:r>
        <w:rPr>
          <w:highlight w:val="lightGray"/>
        </w:rPr>
        <w:t xml:space="preserve">profiles across different platforms and services. This </w:t>
      </w:r>
      <w:r w:rsidR="00EF0552">
        <w:rPr>
          <w:highlight w:val="lightGray"/>
        </w:rPr>
        <w:t xml:space="preserve">practice made Twitter’s users more </w:t>
      </w:r>
      <w:r w:rsidRPr="00827524">
        <w:rPr>
          <w:highlight w:val="lightGray"/>
        </w:rPr>
        <w:t xml:space="preserve">valuable to data brokers and </w:t>
      </w:r>
      <w:r>
        <w:rPr>
          <w:highlight w:val="lightGray"/>
        </w:rPr>
        <w:t xml:space="preserve">more valuable advertising </w:t>
      </w:r>
      <w:r w:rsidRPr="00827524">
        <w:rPr>
          <w:highlight w:val="lightGray"/>
        </w:rPr>
        <w:t xml:space="preserve">targets, </w:t>
      </w:r>
      <w:r>
        <w:rPr>
          <w:highlight w:val="lightGray"/>
        </w:rPr>
        <w:t xml:space="preserve">resulting in </w:t>
      </w:r>
      <w:r w:rsidRPr="00827524">
        <w:rPr>
          <w:highlight w:val="lightGray"/>
        </w:rPr>
        <w:t>“ads that enriched Twitter by the multi-millions.”</w:t>
      </w:r>
      <w:r w:rsidRPr="00827524">
        <w:rPr>
          <w:rStyle w:val="EndnoteReference"/>
          <w:highlight w:val="lightGray"/>
        </w:rPr>
        <w:endnoteReference w:id="240"/>
      </w:r>
      <w:r w:rsidRPr="00827524">
        <w:rPr>
          <w:highlight w:val="lightGray"/>
        </w:rPr>
        <w:t xml:space="preserve"> </w:t>
      </w:r>
    </w:p>
    <w:p w14:paraId="005A48F5" w14:textId="22AD8FC9" w:rsidR="00404A4D" w:rsidRDefault="00404A4D" w:rsidP="00FC735C"/>
    <w:p w14:paraId="2A15A736" w14:textId="30C65DDE" w:rsidR="00FC735C" w:rsidRPr="00FC735C" w:rsidRDefault="006F3056" w:rsidP="006F3056">
      <w:pPr>
        <w:pStyle w:val="Heading2"/>
        <w:rPr>
          <w:lang w:val="en-US"/>
        </w:rPr>
      </w:pPr>
      <w:bookmarkStart w:id="71" w:name="_Toc138151860"/>
      <w:r>
        <w:rPr>
          <w:lang w:val="en-US"/>
        </w:rPr>
        <w:t>7.4</w:t>
      </w:r>
      <w:r>
        <w:rPr>
          <w:lang w:val="en-US"/>
        </w:rPr>
        <w:tab/>
      </w:r>
      <w:bookmarkStart w:id="72" w:name="_Hlk137110909"/>
      <w:r>
        <w:rPr>
          <w:lang w:val="en-US"/>
        </w:rPr>
        <w:t>Government</w:t>
      </w:r>
      <w:r w:rsidR="00C65C7B">
        <w:rPr>
          <w:lang w:val="en-US"/>
        </w:rPr>
        <w:t xml:space="preserve">, </w:t>
      </w:r>
      <w:r>
        <w:rPr>
          <w:lang w:val="en-US"/>
        </w:rPr>
        <w:t>Judicial and Academic Scrutiny</w:t>
      </w:r>
      <w:bookmarkEnd w:id="71"/>
      <w:r w:rsidR="00FC735C">
        <w:rPr>
          <w:lang w:val="en-US"/>
        </w:rPr>
        <w:t xml:space="preserve"> </w:t>
      </w:r>
      <w:bookmarkEnd w:id="72"/>
    </w:p>
    <w:p w14:paraId="70C39045" w14:textId="77777777" w:rsidR="006F3056" w:rsidRDefault="006F3056" w:rsidP="00323713"/>
    <w:p w14:paraId="666E8CC3" w14:textId="1AF62E9A" w:rsidR="00323713" w:rsidRDefault="0054784F" w:rsidP="00323713">
      <w:r>
        <w:t xml:space="preserve">Finally, </w:t>
      </w:r>
      <w:r w:rsidR="00D71A23">
        <w:t xml:space="preserve">ToS </w:t>
      </w:r>
      <w:r w:rsidR="00323713">
        <w:t xml:space="preserve">notice </w:t>
      </w:r>
      <w:r w:rsidR="005E6FD7">
        <w:t xml:space="preserve">and disclosure </w:t>
      </w:r>
      <w:r w:rsidR="00D71A23">
        <w:t xml:space="preserve">provisions are increasingly </w:t>
      </w:r>
      <w:r w:rsidR="002F50D8">
        <w:t xml:space="preserve">the subject of government investigations and judicial </w:t>
      </w:r>
      <w:r w:rsidR="00330103">
        <w:t xml:space="preserve">and academic </w:t>
      </w:r>
      <w:r w:rsidR="002F50D8">
        <w:t xml:space="preserve">scrutiny. </w:t>
      </w:r>
    </w:p>
    <w:p w14:paraId="1107BF99" w14:textId="33A4CE5E" w:rsidR="006F3056" w:rsidRDefault="006F3056" w:rsidP="00323713">
      <w:r>
        <w:t>Governments, for instance, have increased the pace of investigations into notice and disclosure practices specifically in the complex digital marketplace. Examples include the following</w:t>
      </w:r>
      <w:r w:rsidR="3C975FB9">
        <w:t>:</w:t>
      </w:r>
    </w:p>
    <w:p w14:paraId="1B5E9012" w14:textId="716694F2" w:rsidR="0038455A" w:rsidRPr="00F42DE2" w:rsidRDefault="0038455A" w:rsidP="00470F77">
      <w:pPr>
        <w:pStyle w:val="ListParagraph"/>
        <w:numPr>
          <w:ilvl w:val="0"/>
          <w:numId w:val="24"/>
        </w:numPr>
      </w:pPr>
      <w:r>
        <w:t>Italy and France have imposed record fines (in the hundreds of millions of euros) on operators including Facebook, Apple and Google for ToS notice practices found to be deceptive.</w:t>
      </w:r>
      <w:r>
        <w:rPr>
          <w:rStyle w:val="EndnoteReference"/>
        </w:rPr>
        <w:endnoteReference w:id="241"/>
      </w:r>
      <w:r>
        <w:t xml:space="preserve"> Operators were found to be intentionally designing sign-up procedures </w:t>
      </w:r>
      <w:r w:rsidRPr="0038455A">
        <w:t>“misleading users who register on its platform by not informing them — “immediately and adequately” — at the point of sign up that it will collect and monetize their personal data...</w:t>
      </w:r>
      <w:r>
        <w:t>”</w:t>
      </w:r>
      <w:r w:rsidRPr="0038455A">
        <w:rPr>
          <w:rStyle w:val="EndnoteReference"/>
        </w:rPr>
        <w:endnoteReference w:id="242"/>
      </w:r>
      <w:r w:rsidRPr="1F5E9E68">
        <w:rPr>
          <w:i/>
          <w:iCs/>
        </w:rPr>
        <w:t xml:space="preserve"> </w:t>
      </w:r>
    </w:p>
    <w:p w14:paraId="3A1B0A7A" w14:textId="503DAA4A" w:rsidR="00323713" w:rsidRDefault="00323713" w:rsidP="00470F77">
      <w:pPr>
        <w:pStyle w:val="ListParagraph"/>
        <w:numPr>
          <w:ilvl w:val="0"/>
          <w:numId w:val="24"/>
        </w:numPr>
      </w:pPr>
      <w:r>
        <w:t xml:space="preserve">In the United States, e-commerce sites like Amazon have been criticized by the United States Congress and others for not providing meaningful notice </w:t>
      </w:r>
      <w:r w:rsidR="0038455A">
        <w:t xml:space="preserve">to consumers </w:t>
      </w:r>
      <w:r>
        <w:t xml:space="preserve">of how opt-in programs </w:t>
      </w:r>
      <w:r w:rsidR="0038455A">
        <w:t xml:space="preserve">like Amazon Prime </w:t>
      </w:r>
      <w:r>
        <w:t>may inflate and pass additional costs onto consumers.</w:t>
      </w:r>
      <w:r w:rsidR="00721B91">
        <w:rPr>
          <w:rStyle w:val="EndnoteReference"/>
        </w:rPr>
        <w:endnoteReference w:id="243"/>
      </w:r>
    </w:p>
    <w:p w14:paraId="3A6DCAE7" w14:textId="7BD7A456" w:rsidR="00323713" w:rsidRDefault="00323713" w:rsidP="00470F77">
      <w:pPr>
        <w:pStyle w:val="ListParagraph"/>
        <w:numPr>
          <w:ilvl w:val="0"/>
          <w:numId w:val="24"/>
        </w:numPr>
      </w:pPr>
      <w:r>
        <w:t xml:space="preserve">Google has been fined </w:t>
      </w:r>
      <w:r w:rsidR="00147BAD">
        <w:t>in the EU</w:t>
      </w:r>
      <w:r>
        <w:t xml:space="preserve"> and sued for damages </w:t>
      </w:r>
      <w:r w:rsidR="00721B91">
        <w:t xml:space="preserve">for practices </w:t>
      </w:r>
      <w:r w:rsidR="0038455A">
        <w:t xml:space="preserve">which are not disclosed to consumers, </w:t>
      </w:r>
      <w:r>
        <w:t>including prioritizing links to Google’s shopping platform</w:t>
      </w:r>
      <w:r w:rsidR="00721B91">
        <w:t xml:space="preserve"> </w:t>
      </w:r>
      <w:r w:rsidR="008842AD">
        <w:t>(</w:t>
      </w:r>
      <w:r w:rsidR="00147BAD">
        <w:t xml:space="preserve">with a demonstrable increase </w:t>
      </w:r>
      <w:r>
        <w:t>in price</w:t>
      </w:r>
      <w:r w:rsidR="00147BAD">
        <w:t>s</w:t>
      </w:r>
      <w:r w:rsidR="0038455A">
        <w:t xml:space="preserve"> of good</w:t>
      </w:r>
      <w:r w:rsidR="35F33059">
        <w:t>s</w:t>
      </w:r>
      <w:r w:rsidR="0038455A">
        <w:t xml:space="preserve"> by </w:t>
      </w:r>
      <w:r>
        <w:t>12-37%</w:t>
      </w:r>
      <w:r w:rsidR="25752FB1">
        <w:t>)</w:t>
      </w:r>
      <w:r>
        <w:t>.</w:t>
      </w:r>
      <w:r w:rsidRPr="00897ED9">
        <w:rPr>
          <w:rStyle w:val="EndnoteReference"/>
        </w:rPr>
        <w:endnoteReference w:id="244"/>
      </w:r>
    </w:p>
    <w:p w14:paraId="6ADE347B" w14:textId="3A225981" w:rsidR="00BE56C0" w:rsidRDefault="00D71A23" w:rsidP="00BE56C0">
      <w:pPr>
        <w:spacing w:after="0" w:line="240" w:lineRule="auto"/>
      </w:pPr>
      <w:r>
        <w:t xml:space="preserve">ToS notice and disclosure provisions have also been </w:t>
      </w:r>
      <w:r w:rsidR="00323713">
        <w:t>criticized recently by Canadian courts and regulators.</w:t>
      </w:r>
      <w:r w:rsidR="009E0094">
        <w:t xml:space="preserve"> </w:t>
      </w:r>
      <w:r w:rsidR="00323713" w:rsidRPr="1F5E9E68">
        <w:rPr>
          <w:rStyle w:val="Emphasis"/>
          <w:i w:val="0"/>
          <w:iCs w:val="0"/>
        </w:rPr>
        <w:t xml:space="preserve">The recent BC case of </w:t>
      </w:r>
      <w:r w:rsidR="00323713">
        <w:rPr>
          <w:rStyle w:val="Emphasis"/>
        </w:rPr>
        <w:t>Douez v. Facebook, Inc.</w:t>
      </w:r>
      <w:r w:rsidR="00323713">
        <w:t xml:space="preserve"> (2022 BCSC 914)</w:t>
      </w:r>
      <w:r w:rsidR="00323713" w:rsidRPr="004B6FFC">
        <w:rPr>
          <w:rStyle w:val="EndnoteReference"/>
        </w:rPr>
        <w:t xml:space="preserve"> </w:t>
      </w:r>
      <w:r w:rsidR="00323713">
        <w:rPr>
          <w:rStyle w:val="EndnoteReference"/>
        </w:rPr>
        <w:endnoteReference w:id="245"/>
      </w:r>
      <w:r w:rsidR="00323713">
        <w:t xml:space="preserve"> addressed the relationship between ToS, consent, and notice provided during the user registration process. </w:t>
      </w:r>
    </w:p>
    <w:p w14:paraId="0BE467A9" w14:textId="77777777" w:rsidR="00BE56C0" w:rsidRDefault="00BE56C0" w:rsidP="00BE56C0">
      <w:pPr>
        <w:spacing w:after="0" w:line="240" w:lineRule="auto"/>
      </w:pPr>
    </w:p>
    <w:p w14:paraId="4409AA61" w14:textId="3D5F1508" w:rsidR="00323713" w:rsidRDefault="00323713">
      <w:pPr>
        <w:spacing w:after="0" w:line="240" w:lineRule="auto"/>
      </w:pPr>
      <w:r>
        <w:t>The applicant, Douez, claimed that Facebook did not obtain adequate consent to use her personal image in Facebook’s “shared stories” promotions.</w:t>
      </w:r>
      <w:r w:rsidR="00BE56C0">
        <w:t xml:space="preserve"> </w:t>
      </w:r>
      <w:r w:rsidR="00D46BEE">
        <w:t xml:space="preserve">These would insert images of friends into Facebook promotions to better catch the attention of the user and imply the friend’s endorsement of the promoted product. </w:t>
      </w:r>
      <w:r>
        <w:t xml:space="preserve">The court agreed </w:t>
      </w:r>
      <w:r w:rsidR="00D46BEE">
        <w:t xml:space="preserve">that Facebook did not obtain adequate consent to this practice </w:t>
      </w:r>
      <w:r>
        <w:t>and affirmed several consumer protection principles in the digital marketplace</w:t>
      </w:r>
      <w:r w:rsidR="00173003">
        <w:t>, including that</w:t>
      </w:r>
      <w:r>
        <w:t>:</w:t>
      </w:r>
    </w:p>
    <w:p w14:paraId="73A3AE3E" w14:textId="77777777" w:rsidR="000F6F7D" w:rsidRDefault="000F6F7D" w:rsidP="007A41A0">
      <w:pPr>
        <w:spacing w:after="0" w:line="240" w:lineRule="auto"/>
      </w:pPr>
    </w:p>
    <w:p w14:paraId="3DDB4628" w14:textId="5362FB3D" w:rsidR="00173003" w:rsidRDefault="00D71A23" w:rsidP="00470F77">
      <w:pPr>
        <w:pStyle w:val="ListParagraph"/>
        <w:numPr>
          <w:ilvl w:val="0"/>
          <w:numId w:val="4"/>
        </w:numPr>
      </w:pPr>
      <w:r>
        <w:t>C</w:t>
      </w:r>
      <w:r w:rsidR="00323713">
        <w:t xml:space="preserve">onsumers cannot consent to such practices unless given notice of them in advance. </w:t>
      </w:r>
    </w:p>
    <w:p w14:paraId="677B064F" w14:textId="03B6A25C" w:rsidR="00D46BEE" w:rsidRPr="00173003" w:rsidRDefault="00D46BEE" w:rsidP="00470F77">
      <w:pPr>
        <w:pStyle w:val="ListParagraph"/>
        <w:numPr>
          <w:ilvl w:val="0"/>
          <w:numId w:val="4"/>
        </w:numPr>
      </w:pPr>
      <w:r>
        <w:t>S</w:t>
      </w:r>
      <w:r w:rsidRPr="00173003">
        <w:t>everal long-established contractual principles apply to ToS in the digital marketplace, including that terms must be interpreted in the context of the power imbalance between the supplier and consumer</w:t>
      </w:r>
      <w:r>
        <w:t>.</w:t>
      </w:r>
      <w:r w:rsidRPr="00173003">
        <w:rPr>
          <w:rStyle w:val="EndnoteReference"/>
        </w:rPr>
        <w:endnoteReference w:id="246"/>
      </w:r>
      <w:r w:rsidRPr="00173003">
        <w:t xml:space="preserve"> </w:t>
      </w:r>
    </w:p>
    <w:p w14:paraId="75ADEEF2" w14:textId="71A4D75A" w:rsidR="00D46BEE" w:rsidRPr="00173003" w:rsidRDefault="00D46BEE" w:rsidP="00470F77">
      <w:pPr>
        <w:pStyle w:val="ListParagraph"/>
        <w:numPr>
          <w:ilvl w:val="0"/>
          <w:numId w:val="4"/>
        </w:numPr>
      </w:pPr>
      <w:r w:rsidRPr="00173003">
        <w:lastRenderedPageBreak/>
        <w:t xml:space="preserve">Courts can broadly consider factors such as the purpose of the contract, the </w:t>
      </w:r>
      <w:r>
        <w:t xml:space="preserve">nature of the </w:t>
      </w:r>
      <w:r w:rsidRPr="00173003">
        <w:t>relationship it creates</w:t>
      </w:r>
      <w:r>
        <w:t xml:space="preserve"> between supplier and user</w:t>
      </w:r>
      <w:r w:rsidRPr="00173003">
        <w:t xml:space="preserve">, and the environment or market conditions </w:t>
      </w:r>
      <w:r>
        <w:t xml:space="preserve">and market contexts </w:t>
      </w:r>
      <w:r w:rsidRPr="00173003">
        <w:t>it operates in without looking at circumstances specific to each individual agreeing to it.</w:t>
      </w:r>
      <w:r w:rsidRPr="00173003">
        <w:rPr>
          <w:rStyle w:val="EndnoteReference"/>
        </w:rPr>
        <w:endnoteReference w:id="247"/>
      </w:r>
      <w:r w:rsidRPr="00173003">
        <w:t xml:space="preserve"> </w:t>
      </w:r>
    </w:p>
    <w:p w14:paraId="5A2A2BF7" w14:textId="77777777" w:rsidR="00D46BEE" w:rsidRDefault="00D46BEE" w:rsidP="00470F77">
      <w:pPr>
        <w:pStyle w:val="ListParagraph"/>
        <w:numPr>
          <w:ilvl w:val="0"/>
          <w:numId w:val="4"/>
        </w:numPr>
      </w:pPr>
      <w:r>
        <w:t>Any commitment to give users tools and settings to control their data is misrepresentative unless the control is effective and meaningful (where implemented).</w:t>
      </w:r>
      <w:r>
        <w:rPr>
          <w:rStyle w:val="EndnoteReference"/>
        </w:rPr>
        <w:endnoteReference w:id="248"/>
      </w:r>
    </w:p>
    <w:p w14:paraId="1EE59AD8" w14:textId="77777777" w:rsidR="00D46BEE" w:rsidRDefault="00D46BEE" w:rsidP="00470F77">
      <w:pPr>
        <w:pStyle w:val="ListParagraph"/>
        <w:numPr>
          <w:ilvl w:val="0"/>
          <w:numId w:val="4"/>
        </w:numPr>
      </w:pPr>
      <w:r>
        <w:t>A reasonable consumer is entitled to read and understand several provisions together. Failure by the operator to meet that interpretation fails to establish express consent.</w:t>
      </w:r>
      <w:r>
        <w:rPr>
          <w:rStyle w:val="EndnoteReference"/>
        </w:rPr>
        <w:endnoteReference w:id="249"/>
      </w:r>
    </w:p>
    <w:p w14:paraId="41DA309E" w14:textId="1AC86E61" w:rsidR="00323713" w:rsidRDefault="00D71A23" w:rsidP="00470F77">
      <w:pPr>
        <w:pStyle w:val="ListParagraph"/>
        <w:numPr>
          <w:ilvl w:val="0"/>
          <w:numId w:val="4"/>
        </w:numPr>
      </w:pPr>
      <w:r>
        <w:t>P</w:t>
      </w:r>
      <w:r w:rsidR="00323713" w:rsidRPr="007B11C1">
        <w:t xml:space="preserve">rospective </w:t>
      </w:r>
      <w:r w:rsidR="00323713">
        <w:t>users</w:t>
      </w:r>
      <w:r w:rsidR="00323713" w:rsidRPr="007B11C1">
        <w:t xml:space="preserve"> </w:t>
      </w:r>
      <w:r w:rsidR="00323713">
        <w:t xml:space="preserve">must receive fair notification where registration for a service constitutes </w:t>
      </w:r>
      <w:r w:rsidR="00323713" w:rsidRPr="007B11C1">
        <w:t xml:space="preserve">agreement to </w:t>
      </w:r>
      <w:r w:rsidR="00323713">
        <w:t xml:space="preserve">a ToS, and the user is given the opportunity to read </w:t>
      </w:r>
      <w:r w:rsidR="00323713" w:rsidRPr="007B11C1">
        <w:t xml:space="preserve">those provisions by clicking on </w:t>
      </w:r>
      <w:r w:rsidR="00323713">
        <w:t xml:space="preserve">a </w:t>
      </w:r>
      <w:r w:rsidR="00323713" w:rsidRPr="007B11C1">
        <w:t>hyperlink</w:t>
      </w:r>
      <w:r w:rsidR="00323713">
        <w:t>.</w:t>
      </w:r>
      <w:r w:rsidR="00323713">
        <w:rPr>
          <w:rStyle w:val="EndnoteReference"/>
        </w:rPr>
        <w:endnoteReference w:id="250"/>
      </w:r>
    </w:p>
    <w:p w14:paraId="6A87EE05" w14:textId="52F2A59E" w:rsidR="00323713" w:rsidRDefault="00D46BEE" w:rsidP="00470F77">
      <w:pPr>
        <w:pStyle w:val="ListParagraph"/>
        <w:numPr>
          <w:ilvl w:val="0"/>
          <w:numId w:val="4"/>
        </w:numPr>
      </w:pPr>
      <w:r>
        <w:t>The s</w:t>
      </w:r>
      <w:r w:rsidR="00173003">
        <w:t xml:space="preserve">upplier </w:t>
      </w:r>
      <w:r w:rsidR="00323713">
        <w:t>bears the onus and must be able to show that consent was obtained when a user claims that their privacy has been violated.</w:t>
      </w:r>
      <w:r w:rsidR="00323713" w:rsidRPr="00F7107D">
        <w:rPr>
          <w:rStyle w:val="EndnoteReference"/>
        </w:rPr>
        <w:t xml:space="preserve"> </w:t>
      </w:r>
      <w:r w:rsidR="00323713">
        <w:rPr>
          <w:rStyle w:val="EndnoteReference"/>
        </w:rPr>
        <w:endnoteReference w:id="251"/>
      </w:r>
    </w:p>
    <w:p w14:paraId="633D3B05" w14:textId="0A17BD78" w:rsidR="00EA517E" w:rsidRPr="00EA517E" w:rsidRDefault="00323713" w:rsidP="00323713">
      <w:r>
        <w:t>Some legal analysts suggest</w:t>
      </w:r>
      <w:r w:rsidR="005941E4">
        <w:t xml:space="preserve"> </w:t>
      </w:r>
      <w:r w:rsidR="005941E4" w:rsidRPr="1F5E9E68">
        <w:rPr>
          <w:i/>
          <w:iCs/>
        </w:rPr>
        <w:t xml:space="preserve">Douez </w:t>
      </w:r>
      <w:r>
        <w:t xml:space="preserve">confirms </w:t>
      </w:r>
      <w:r w:rsidR="005941E4">
        <w:t xml:space="preserve">that suppliers must effectively </w:t>
      </w:r>
      <w:r>
        <w:t xml:space="preserve">disclose </w:t>
      </w:r>
      <w:r w:rsidRPr="1F5E9E68">
        <w:rPr>
          <w:i/>
          <w:iCs/>
        </w:rPr>
        <w:t>meaningful</w:t>
      </w:r>
      <w:r>
        <w:t xml:space="preserve"> risks</w:t>
      </w:r>
      <w:r w:rsidR="00FA4A14">
        <w:t xml:space="preserve"> and consequences</w:t>
      </w:r>
      <w:r>
        <w:t xml:space="preserve"> to the consumer</w:t>
      </w:r>
      <w:r w:rsidR="005941E4">
        <w:t xml:space="preserve"> in order to rely on consumer notice </w:t>
      </w:r>
      <w:r>
        <w:t>as a form of consent.</w:t>
      </w:r>
      <w:r>
        <w:rPr>
          <w:rStyle w:val="EndnoteReference"/>
        </w:rPr>
        <w:endnoteReference w:id="252"/>
      </w:r>
    </w:p>
    <w:p w14:paraId="3748F9D5" w14:textId="163F51E3" w:rsidR="00323713" w:rsidRDefault="005941E4" w:rsidP="00323713">
      <w:r>
        <w:t xml:space="preserve">Similarly, the </w:t>
      </w:r>
      <w:r w:rsidR="00323713">
        <w:t>recent investigation into the Tim Hortons app by Canadian privacy regulators</w:t>
      </w:r>
      <w:r w:rsidR="00BE56C0">
        <w:t xml:space="preserve"> </w:t>
      </w:r>
      <w:r w:rsidR="000348BF">
        <w:t xml:space="preserve">confirmed that “vague and permissive language” in </w:t>
      </w:r>
      <w:r>
        <w:t xml:space="preserve">Tim Horton’s </w:t>
      </w:r>
      <w:r w:rsidR="000348BF">
        <w:t>ToS undermine</w:t>
      </w:r>
      <w:r>
        <w:t>d</w:t>
      </w:r>
      <w:r w:rsidR="000348BF">
        <w:t xml:space="preserve"> effective notice and disclosure.</w:t>
      </w:r>
      <w:r w:rsidR="000348BF" w:rsidRPr="1F5E9E68">
        <w:rPr>
          <w:rStyle w:val="EndnoteReference"/>
          <w:i/>
          <w:iCs/>
        </w:rPr>
        <w:t xml:space="preserve"> </w:t>
      </w:r>
      <w:r w:rsidR="000348BF" w:rsidRPr="000348BF">
        <w:rPr>
          <w:rStyle w:val="EndnoteReference"/>
        </w:rPr>
        <w:endnoteReference w:id="253"/>
      </w:r>
      <w:r w:rsidR="000348BF">
        <w:t xml:space="preserve"> The Commissioners found</w:t>
      </w:r>
      <w:r w:rsidR="00323713">
        <w:t>:</w:t>
      </w:r>
    </w:p>
    <w:p w14:paraId="05A53B7F" w14:textId="32ACFF3B" w:rsidR="00323713" w:rsidRDefault="000348BF" w:rsidP="00470F77">
      <w:pPr>
        <w:pStyle w:val="ListParagraph"/>
        <w:numPr>
          <w:ilvl w:val="0"/>
          <w:numId w:val="5"/>
        </w:numPr>
      </w:pPr>
      <w:r>
        <w:t xml:space="preserve">Notice and disclosure is insufficient where information is being collected and used </w:t>
      </w:r>
      <w:r w:rsidR="00323713">
        <w:t>outside the reasonable expectations of the individual and creates a meaningful risk of residual harm.</w:t>
      </w:r>
    </w:p>
    <w:p w14:paraId="2EE825D2" w14:textId="31872C6C" w:rsidR="00323713" w:rsidRDefault="000348BF" w:rsidP="00470F77">
      <w:pPr>
        <w:pStyle w:val="ListParagraph"/>
        <w:numPr>
          <w:ilvl w:val="0"/>
          <w:numId w:val="5"/>
        </w:numPr>
      </w:pPr>
      <w:r>
        <w:t xml:space="preserve">Effective notice should concretely and clearly specify four key elements: </w:t>
      </w:r>
      <w:r w:rsidR="00323713">
        <w:t xml:space="preserve">the information being gathered; the parties the information is shared with; the purposes of the sharing or use in </w:t>
      </w:r>
      <w:r w:rsidR="00323713" w:rsidRPr="004E591C">
        <w:t>sufficient detail for individuals to meaningfully understand what they are consenting to</w:t>
      </w:r>
      <w:r w:rsidR="00323713">
        <w:t>, and</w:t>
      </w:r>
    </w:p>
    <w:p w14:paraId="1AECC1CC" w14:textId="15DBC264" w:rsidR="00BB5724" w:rsidRDefault="000348BF" w:rsidP="00470F77">
      <w:pPr>
        <w:pStyle w:val="ListParagraph"/>
        <w:numPr>
          <w:ilvl w:val="0"/>
          <w:numId w:val="5"/>
        </w:numPr>
      </w:pPr>
      <w:r>
        <w:t>There must be c</w:t>
      </w:r>
      <w:r w:rsidR="00323713">
        <w:t>lear notification of risks of harm and other consequences.</w:t>
      </w:r>
      <w:r w:rsidRPr="000348BF">
        <w:rPr>
          <w:rStyle w:val="EndnoteReference"/>
        </w:rPr>
        <w:endnoteReference w:id="254"/>
      </w:r>
    </w:p>
    <w:p w14:paraId="54FBD3E5" w14:textId="50885CA5" w:rsidR="00C20568" w:rsidRPr="004F784B" w:rsidRDefault="0099311D" w:rsidP="00C20568">
      <w:r w:rsidRPr="008546ED">
        <w:t xml:space="preserve">Judicial scrutiny of these issues has also struggled to consolidate </w:t>
      </w:r>
      <w:r w:rsidR="00C20568" w:rsidRPr="00932E2C">
        <w:t xml:space="preserve">concerns with notice and disclosure in online consumer contracts. In the United States, the American Law Institute (ALI) </w:t>
      </w:r>
      <w:r w:rsidRPr="008546ED">
        <w:t xml:space="preserve">recently introduced a new law reform study </w:t>
      </w:r>
      <w:bookmarkStart w:id="73" w:name="_Hlk136434099"/>
      <w:r w:rsidRPr="008546ED">
        <w:t>–</w:t>
      </w:r>
      <w:bookmarkEnd w:id="73"/>
      <w:r w:rsidRPr="008546ED">
        <w:t xml:space="preserve"> the</w:t>
      </w:r>
      <w:r w:rsidR="00C20568" w:rsidRPr="00932E2C">
        <w:t xml:space="preserve"> </w:t>
      </w:r>
      <w:r w:rsidR="00C20568" w:rsidRPr="00932E2C">
        <w:rPr>
          <w:i/>
          <w:iCs/>
        </w:rPr>
        <w:t xml:space="preserve">Restatement on Consumer Contract Law </w:t>
      </w:r>
      <w:r w:rsidRPr="008546ED">
        <w:t xml:space="preserve">– </w:t>
      </w:r>
      <w:r w:rsidR="00C20568" w:rsidRPr="00932E2C">
        <w:t>to help guide American judges in consistently navigating these issues in consumer contracts.</w:t>
      </w:r>
      <w:r w:rsidR="00C20568" w:rsidRPr="004F784B">
        <w:t xml:space="preserve"> </w:t>
      </w:r>
    </w:p>
    <w:p w14:paraId="5BFCD8FF" w14:textId="77777777" w:rsidR="00C20568" w:rsidRPr="004F784B" w:rsidRDefault="00C20568" w:rsidP="00C20568">
      <w:r w:rsidRPr="004F784B">
        <w:t>The ALI restatement proposes that “reasonable notice” can be achieved by protecting “consumers against terms that either overreach or undermine express promises made by the business.”</w:t>
      </w:r>
      <w:r w:rsidRPr="004F784B">
        <w:rPr>
          <w:rStyle w:val="EndnoteReference"/>
        </w:rPr>
        <w:endnoteReference w:id="255"/>
      </w:r>
      <w:r w:rsidRPr="004F784B">
        <w:t xml:space="preserve"> This would allow “blanket consent” despite the absence of informed consent to it, “as long as it does not undermine the “dickered terms” and is otherwise not unfair to the consumer.”</w:t>
      </w:r>
      <w:r w:rsidRPr="004F784B">
        <w:rPr>
          <w:rStyle w:val="EndnoteReference"/>
        </w:rPr>
        <w:endnoteReference w:id="256"/>
      </w:r>
      <w:r w:rsidRPr="004F784B">
        <w:t xml:space="preserve"> If it is, the notice (and underlying term) will be unenforceable for unfairness. The Restatement includes two new Principles §5 and Principle §8 specifying contemporary expectations for consumer notice. </w:t>
      </w:r>
    </w:p>
    <w:p w14:paraId="0E1DA28E" w14:textId="77777777" w:rsidR="00C20568" w:rsidRPr="004F784B" w:rsidRDefault="00C20568" w:rsidP="00C20568">
      <w:r w:rsidRPr="004F784B">
        <w:t>Principle §5 states that a term can be unconscionable for either “substantive reasons” or “procedural reasons.” Substantive reasons are defined as a fundamentally unfair or one-sided term. Procedural reasons include terms that result in unfair surprise or results from the absence of meaningful choice or ability of a “reasonable consumer” to understand and appreciate implications of a term given their legal and financial sophistication, the complexity of the term, etc.</w:t>
      </w:r>
      <w:r w:rsidRPr="004F784B">
        <w:rPr>
          <w:rStyle w:val="EndnoteReference"/>
        </w:rPr>
        <w:endnoteReference w:id="257"/>
      </w:r>
    </w:p>
    <w:p w14:paraId="1571CF99" w14:textId="1A571763" w:rsidR="002D32A0" w:rsidRDefault="00C20568" w:rsidP="00C20568">
      <w:r w:rsidRPr="004F784B">
        <w:t xml:space="preserve">Principle §8 states that where a term (or notice) suggests a fair bargain for the consumer but is inconsistently and unfairly interpreted in practice by the business, the term would not be considered </w:t>
      </w:r>
      <w:r w:rsidRPr="004F784B">
        <w:lastRenderedPageBreak/>
        <w:t>final.</w:t>
      </w:r>
      <w:r w:rsidRPr="004F784B">
        <w:rPr>
          <w:rStyle w:val="EndnoteReference"/>
        </w:rPr>
        <w:endnoteReference w:id="258"/>
      </w:r>
      <w:r w:rsidRPr="004F784B">
        <w:t xml:space="preserve"> The premise of Principle §8 reflects the reality in consumer contracts that “standard contract terms do not result from a combined effort by both parties to draft a negotiated agreement” and there is “less justification to view them as a joint affirmative memorialization of a mutually designed agreement, and thus less reason to allow them to override affirmations of fact or promises made to the consumer.”</w:t>
      </w:r>
      <w:r w:rsidRPr="004F784B">
        <w:rPr>
          <w:rStyle w:val="EndnoteReference"/>
        </w:rPr>
        <w:endnoteReference w:id="259"/>
      </w:r>
      <w:r w:rsidRPr="004F784B">
        <w:t xml:space="preserve"> In this manner, Principle §8 would allow consumers to effectively </w:t>
      </w:r>
      <w:r w:rsidRPr="004F784B">
        <w:rPr>
          <w:i/>
          <w:iCs/>
        </w:rPr>
        <w:t>withdraw</w:t>
      </w:r>
      <w:r w:rsidRPr="004F784B">
        <w:t xml:space="preserve"> their consent in some circumstances in order to establish a more reasonable and fair interpretation of a contested contractual term.</w:t>
      </w:r>
      <w:r w:rsidR="00F94DA4">
        <w:t xml:space="preserve"> </w:t>
      </w:r>
      <w:r w:rsidR="002D32A0">
        <w:t>Finally, these proposals could also be read in conjunction with the ALI proposal reviewing a “duty of good faith” where a business proposes modification to a term, and is required to meet both procedural and substantive requirements proportional to the impact on the contract and the consumer (see discussion in section 6.3).</w:t>
      </w:r>
    </w:p>
    <w:p w14:paraId="43310C10" w14:textId="311ACFFA" w:rsidR="00AF6CE5" w:rsidRDefault="786CAA91" w:rsidP="00AF6CE5">
      <w:r w:rsidRPr="004F784B">
        <w:t>As evidenced above, i</w:t>
      </w:r>
      <w:r w:rsidR="00AF6CE5" w:rsidRPr="004F784B">
        <w:t xml:space="preserve">t is important to note the close relationship between consumer protection strategies addressing notice / disclosure and deception / unconscionability. Many law reform strategies addressing notice and disclosure are intended, in part, to reduce deception and unconscionability. As a result, many of the issues and strategies discussed </w:t>
      </w:r>
      <w:r w:rsidR="36948DFF" w:rsidRPr="004F784B">
        <w:t>earlier</w:t>
      </w:r>
      <w:r w:rsidR="00AF6CE5" w:rsidRPr="004F784B">
        <w:t xml:space="preserve"> (including “dark patterns”, </w:t>
      </w:r>
      <w:r w:rsidR="1A6ABB6C" w:rsidRPr="004F784B">
        <w:t>“market context”, and “key information”</w:t>
      </w:r>
      <w:r w:rsidR="00AF6CE5" w:rsidRPr="004F784B">
        <w:t xml:space="preserve">) </w:t>
      </w:r>
      <w:r w:rsidR="00907EAA" w:rsidRPr="004F784B">
        <w:t xml:space="preserve">have bearing on law reform options to improve </w:t>
      </w:r>
      <w:r w:rsidR="3FA320E6" w:rsidRPr="004F784B">
        <w:t>deceptive and unfair practices</w:t>
      </w:r>
      <w:r w:rsidR="00907EAA" w:rsidRPr="004F784B">
        <w:t>.</w:t>
      </w:r>
      <w:r w:rsidR="004E2E1E" w:rsidRPr="004F784B">
        <w:t xml:space="preserve"> Indeed, terms and practices identified as “key terms” and “market contexts” for improving notice and disclosure also merit consideration as terms which may be deceptive or unconscionable</w:t>
      </w:r>
      <w:r w:rsidR="00E406E0" w:rsidRPr="004F784B">
        <w:t xml:space="preserve"> (see discussion in section 10).</w:t>
      </w:r>
    </w:p>
    <w:p w14:paraId="13AD630D" w14:textId="77777777" w:rsidR="00C20568" w:rsidRDefault="00C20568" w:rsidP="00C20568"/>
    <w:p w14:paraId="358A395B" w14:textId="420B6582" w:rsidR="005941E4" w:rsidRDefault="006F3056" w:rsidP="006F3056">
      <w:pPr>
        <w:pStyle w:val="Heading2"/>
        <w:rPr>
          <w:lang w:val="en-US"/>
        </w:rPr>
      </w:pPr>
      <w:bookmarkStart w:id="74" w:name="_Toc138151861"/>
      <w:r>
        <w:rPr>
          <w:lang w:val="en-US"/>
        </w:rPr>
        <w:t>7.5</w:t>
      </w:r>
      <w:r>
        <w:rPr>
          <w:lang w:val="en-US"/>
        </w:rPr>
        <w:tab/>
      </w:r>
      <w:r w:rsidR="00FC735C">
        <w:rPr>
          <w:lang w:val="en-US"/>
        </w:rPr>
        <w:t>Law Reform Options</w:t>
      </w:r>
      <w:bookmarkEnd w:id="74"/>
    </w:p>
    <w:p w14:paraId="50D59487" w14:textId="77777777" w:rsidR="00FC735C" w:rsidRPr="007A41A0" w:rsidRDefault="00FC735C" w:rsidP="00323713">
      <w:pPr>
        <w:spacing w:after="0"/>
        <w:rPr>
          <w:rFonts w:cs="Times New Roman"/>
          <w:b/>
          <w:bCs/>
          <w:szCs w:val="24"/>
          <w:lang w:val="en-US"/>
        </w:rPr>
      </w:pPr>
    </w:p>
    <w:p w14:paraId="5309D182" w14:textId="77777777" w:rsidR="00AB1DFB" w:rsidRDefault="00323713" w:rsidP="00323713">
      <w:pPr>
        <w:spacing w:after="0"/>
        <w:rPr>
          <w:rFonts w:cs="Times New Roman"/>
          <w:szCs w:val="24"/>
          <w:lang w:val="en-US"/>
        </w:rPr>
      </w:pPr>
      <w:r>
        <w:rPr>
          <w:rFonts w:cs="Times New Roman"/>
          <w:szCs w:val="24"/>
          <w:lang w:val="en-US"/>
        </w:rPr>
        <w:t xml:space="preserve">There have been many </w:t>
      </w:r>
      <w:r w:rsidR="00342DD2">
        <w:rPr>
          <w:rFonts w:cs="Times New Roman"/>
          <w:szCs w:val="24"/>
          <w:lang w:val="en-US"/>
        </w:rPr>
        <w:t>attempts</w:t>
      </w:r>
      <w:r>
        <w:rPr>
          <w:rFonts w:cs="Times New Roman"/>
          <w:szCs w:val="24"/>
          <w:lang w:val="en-US"/>
        </w:rPr>
        <w:t xml:space="preserve"> to update </w:t>
      </w:r>
      <w:r w:rsidR="000F6F7D">
        <w:rPr>
          <w:rFonts w:cs="Times New Roman"/>
          <w:szCs w:val="24"/>
          <w:lang w:val="en-US"/>
        </w:rPr>
        <w:t xml:space="preserve">notice and disclosure provisions </w:t>
      </w:r>
      <w:r>
        <w:rPr>
          <w:rFonts w:cs="Times New Roman"/>
          <w:szCs w:val="24"/>
          <w:lang w:val="en-US"/>
        </w:rPr>
        <w:t>to improve consumer protection.</w:t>
      </w:r>
    </w:p>
    <w:p w14:paraId="26E0D025" w14:textId="77777777" w:rsidR="00AB1DFB" w:rsidRDefault="00AB1DFB" w:rsidP="00323713">
      <w:pPr>
        <w:spacing w:after="0"/>
        <w:rPr>
          <w:rFonts w:cs="Times New Roman"/>
          <w:szCs w:val="24"/>
          <w:lang w:val="en-US"/>
        </w:rPr>
      </w:pPr>
    </w:p>
    <w:p w14:paraId="6E3FB2E4" w14:textId="2AF717E5" w:rsidR="00323713" w:rsidRDefault="00323713" w:rsidP="00323713">
      <w:pPr>
        <w:spacing w:after="0"/>
      </w:pPr>
      <w:r w:rsidRPr="1F5E9E68">
        <w:rPr>
          <w:rFonts w:cs="Times New Roman"/>
          <w:lang w:val="en-US"/>
        </w:rPr>
        <w:t xml:space="preserve">For example, Ontario’s recent </w:t>
      </w:r>
      <w:r w:rsidRPr="1F5E9E68">
        <w:rPr>
          <w:rFonts w:cs="Times New Roman"/>
          <w:i/>
          <w:iCs/>
          <w:lang w:val="en-US"/>
        </w:rPr>
        <w:t>Digital Platform Workers Rights Act</w:t>
      </w:r>
      <w:r w:rsidRPr="1F5E9E68">
        <w:rPr>
          <w:rFonts w:cs="Times New Roman"/>
          <w:lang w:val="en-US"/>
        </w:rPr>
        <w:t xml:space="preserve"> creates a definition of a “digital platform worker” that </w:t>
      </w:r>
      <w:r>
        <w:t xml:space="preserve">legislates several </w:t>
      </w:r>
      <w:r w:rsidR="006A4206">
        <w:t xml:space="preserve">key disclosures of greatest interest, risk and consequences to users, </w:t>
      </w:r>
      <w:r>
        <w:t>including how pay is calculated, how tips are handled, and the right to a minimum wage.</w:t>
      </w:r>
      <w:r>
        <w:rPr>
          <w:rStyle w:val="EndnoteReference"/>
        </w:rPr>
        <w:endnoteReference w:id="260"/>
      </w:r>
      <w:r>
        <w:t xml:space="preserve"> The law also establishes important disclosure requirements addressing how work is assigned and platform’s use of performance rating systems.</w:t>
      </w:r>
      <w:r>
        <w:rPr>
          <w:rStyle w:val="EndnoteReference"/>
        </w:rPr>
        <w:endnoteReference w:id="261"/>
      </w:r>
      <w:r>
        <w:t xml:space="preserve"> </w:t>
      </w:r>
      <w:r w:rsidR="003F3879">
        <w:t xml:space="preserve">These are examples of “key information” and “market contexts” in action, drawing the attention of the </w:t>
      </w:r>
      <w:r w:rsidR="00835F0F">
        <w:t xml:space="preserve">digital worker / </w:t>
      </w:r>
      <w:r w:rsidR="003F3879">
        <w:t>consumer to issues of greatest practical relevance, risk and consequence to them</w:t>
      </w:r>
      <w:r w:rsidR="00835F0F">
        <w:t xml:space="preserve"> where the terms may otherwise not be disclosed or buried in an unread ToS.</w:t>
      </w:r>
    </w:p>
    <w:p w14:paraId="1CBED4F5" w14:textId="77777777" w:rsidR="00323713" w:rsidRDefault="00323713" w:rsidP="00323713">
      <w:pPr>
        <w:spacing w:after="0"/>
      </w:pPr>
    </w:p>
    <w:p w14:paraId="6854D842" w14:textId="773FC973" w:rsidR="004F2385" w:rsidRDefault="00D2654E" w:rsidP="00323713">
      <w:r>
        <w:t>A s</w:t>
      </w:r>
      <w:r w:rsidR="00C12843">
        <w:t xml:space="preserve">imilar </w:t>
      </w:r>
      <w:r>
        <w:t xml:space="preserve">approach to reforming digital marketplace relationships </w:t>
      </w:r>
      <w:r w:rsidR="00C12843">
        <w:t>have been adopted elsewhere</w:t>
      </w:r>
      <w:r w:rsidR="00A83A79">
        <w:t xml:space="preserve">. </w:t>
      </w:r>
      <w:r w:rsidR="004F2385">
        <w:t>For instance, EU legislation mandates notice and disclosure of key “market context” information to consumers</w:t>
      </w:r>
      <w:r w:rsidR="00A84520">
        <w:t xml:space="preserve"> using digital services platforms</w:t>
      </w:r>
      <w:r w:rsidR="004F2385">
        <w:t xml:space="preserve">, including risks and consequences related to: </w:t>
      </w:r>
    </w:p>
    <w:p w14:paraId="6C1A9FBE" w14:textId="5E0CB686" w:rsidR="004F2385" w:rsidRDefault="004F2385" w:rsidP="00470F77">
      <w:pPr>
        <w:pStyle w:val="ListParagraph"/>
        <w:numPr>
          <w:ilvl w:val="0"/>
          <w:numId w:val="22"/>
        </w:numPr>
      </w:pPr>
      <w:r>
        <w:t xml:space="preserve">What content moderation systems are in place, and what their rules are </w:t>
      </w:r>
    </w:p>
    <w:p w14:paraId="483AB9E4" w14:textId="51D7D0E2" w:rsidR="004F2385" w:rsidRDefault="004F2385" w:rsidP="00470F77">
      <w:pPr>
        <w:pStyle w:val="ListParagraph"/>
        <w:numPr>
          <w:ilvl w:val="0"/>
          <w:numId w:val="22"/>
        </w:numPr>
      </w:pPr>
      <w:r>
        <w:t xml:space="preserve">How the consumer is profiled to target advertisements and </w:t>
      </w:r>
      <w:r w:rsidR="00DA09F2">
        <w:t xml:space="preserve">automatically rank and </w:t>
      </w:r>
      <w:r>
        <w:t>select content the consumer sees</w:t>
      </w:r>
    </w:p>
    <w:p w14:paraId="0BBEDE7E" w14:textId="02C42528" w:rsidR="004F2385" w:rsidRDefault="004F2385" w:rsidP="00470F77">
      <w:pPr>
        <w:pStyle w:val="ListParagraph"/>
        <w:numPr>
          <w:ilvl w:val="0"/>
          <w:numId w:val="22"/>
        </w:numPr>
      </w:pPr>
      <w:r>
        <w:t>The right of the consumer to opt-out of these activities (</w:t>
      </w:r>
      <w:r w:rsidR="000145FF">
        <w:t>while</w:t>
      </w:r>
      <w:r>
        <w:t xml:space="preserve"> continu</w:t>
      </w:r>
      <w:r w:rsidR="000145FF">
        <w:t>ing</w:t>
      </w:r>
      <w:r>
        <w:t xml:space="preserve"> to use the service).</w:t>
      </w:r>
      <w:r>
        <w:rPr>
          <w:rStyle w:val="EndnoteReference"/>
        </w:rPr>
        <w:endnoteReference w:id="262"/>
      </w:r>
    </w:p>
    <w:p w14:paraId="5882F792" w14:textId="77777777" w:rsidR="00426CDE" w:rsidRPr="00835F0F" w:rsidRDefault="00426CDE" w:rsidP="00426CDE">
      <w:r w:rsidRPr="00835F0F">
        <w:t xml:space="preserve">In proposing to consolidate various outdated types of agreements, the Ministry’s 2023 Consultation Paper proposes separate regulatory development of “rules for businesses to disclose the terms including </w:t>
      </w:r>
      <w:r w:rsidRPr="00835F0F">
        <w:lastRenderedPageBreak/>
        <w:t>key information in the contract.”</w:t>
      </w:r>
      <w:r w:rsidRPr="00835F0F">
        <w:rPr>
          <w:rStyle w:val="EndnoteReference"/>
        </w:rPr>
        <w:endnoteReference w:id="263"/>
      </w:r>
      <w:r w:rsidRPr="00835F0F">
        <w:t xml:space="preserve"> “Key information” is not defined, however, and the Ministry commits to a future consultation “on the appropriate information to be required for disclosure purposes and whether some contract categories would require additional rules.”</w:t>
      </w:r>
      <w:r w:rsidRPr="00835F0F">
        <w:rPr>
          <w:rStyle w:val="EndnoteReference"/>
        </w:rPr>
        <w:endnoteReference w:id="264"/>
      </w:r>
    </w:p>
    <w:p w14:paraId="33608012" w14:textId="32087A70" w:rsidR="00426CDE" w:rsidRDefault="00426CDE" w:rsidP="00426CDE">
      <w:r w:rsidRPr="00835F0F">
        <w:t xml:space="preserve">The LCO supports the need for consumers to receive mandatory notice and disclosure of “key information” prior to consenting to an online contract and important amendments to that contract. </w:t>
      </w:r>
      <w:r w:rsidR="00D2654E">
        <w:t xml:space="preserve">ToS accumulation and overload </w:t>
      </w:r>
      <w:r w:rsidRPr="00835F0F">
        <w:t>demonstrates how consumers face an insurmountable volume and complexity of contracts in the digital marketplace.</w:t>
      </w:r>
      <w:r w:rsidRPr="00835F0F">
        <w:rPr>
          <w:rStyle w:val="EndnoteReference"/>
        </w:rPr>
        <w:endnoteReference w:id="265"/>
      </w:r>
      <w:r w:rsidRPr="00835F0F">
        <w:t xml:space="preserve"> Making “key information” better available may improve transparency and ensure consumers are aware of terms which are of concern and consequential to them, and actionable by them.</w:t>
      </w:r>
    </w:p>
    <w:p w14:paraId="769B8018" w14:textId="77777777" w:rsidR="0072453D" w:rsidRDefault="0072453D" w:rsidP="0072453D">
      <w:r w:rsidRPr="00835F0F">
        <w:t>In the LCO’s view, Ontario’s consumer protection law must strive to provide “key information” in digital transactions relating to consent, deception, unconscionability, notice and disclosure, the identification of risks and consequences to consumers (including “market contexts” in which the transaction takes place), and risk management by businesses.</w:t>
      </w:r>
    </w:p>
    <w:p w14:paraId="0A4DF641" w14:textId="362CF7E0" w:rsidR="00631B8D" w:rsidRPr="00835F0F" w:rsidRDefault="0072453D" w:rsidP="00426CDE">
      <w:r w:rsidRPr="00835F0F">
        <w:t>Given the range of “key information” that should be disclosed, both legislative amendments and dedicated regulations are likely needed.</w:t>
      </w:r>
      <w:r>
        <w:t xml:space="preserve"> </w:t>
      </w:r>
      <w:r w:rsidRPr="00835F0F">
        <w:t>The LCO believes that “key information” requires both specificity (to target practices of concern) and flexibility (to respond to evolving market conditions and practices).</w:t>
      </w:r>
      <w:r>
        <w:t xml:space="preserve"> This </w:t>
      </w:r>
      <w:r w:rsidR="00631B8D">
        <w:t xml:space="preserve">would better establish a modern and comprehensive legislative framework </w:t>
      </w:r>
      <w:r>
        <w:t xml:space="preserve">and brings </w:t>
      </w:r>
      <w:r w:rsidR="00631B8D">
        <w:t>consumer</w:t>
      </w:r>
      <w:r>
        <w:t>s</w:t>
      </w:r>
      <w:r w:rsidR="00631B8D">
        <w:t xml:space="preserve"> and businesses back to the original bargain – the balance between transactional expediency, clarity, and</w:t>
      </w:r>
      <w:r>
        <w:t xml:space="preserve"> foreseeable risks in standard form contracts</w:t>
      </w:r>
      <w:r w:rsidR="00631B8D">
        <w:t xml:space="preserve"> – while protecting consumers from the unbalanced and new range of structural risks and consequences they face in conducting even minor and inconsequential transactions in the digital marketplace. </w:t>
      </w:r>
    </w:p>
    <w:p w14:paraId="2824EC93" w14:textId="1983FF8A" w:rsidR="00426CDE" w:rsidRPr="00835F0F" w:rsidRDefault="00426CDE" w:rsidP="00426CDE">
      <w:r w:rsidRPr="00835F0F">
        <w:t xml:space="preserve">Development of a category or categories of “key information” will </w:t>
      </w:r>
      <w:r w:rsidR="0072453D">
        <w:t xml:space="preserve">also </w:t>
      </w:r>
      <w:r w:rsidRPr="00835F0F">
        <w:t xml:space="preserve">be able to target well known and concerning practices in the digital marketplace while leaving honest businesses without further regulatory burdens. These require both explicit notice and consent, and may also identify issues that are, or may be, unfair or unconscionable to consumers in an ever-evolving digital marketplace. </w:t>
      </w:r>
    </w:p>
    <w:p w14:paraId="2B947C93" w14:textId="155AEA05" w:rsidR="00426CDE" w:rsidRPr="00835F0F" w:rsidRDefault="003A05BD" w:rsidP="00426CDE">
      <w:r>
        <w:t>In addition to the examples provided in the EU’s UCPD, further c</w:t>
      </w:r>
      <w:r w:rsidR="00426CDE" w:rsidRPr="00835F0F">
        <w:t xml:space="preserve">ontemporary examples of “key information” market contexts </w:t>
      </w:r>
      <w:r>
        <w:t>crucial to consumers should consider</w:t>
      </w:r>
      <w:r w:rsidR="00426CDE" w:rsidRPr="00835F0F">
        <w:t>:</w:t>
      </w:r>
    </w:p>
    <w:p w14:paraId="7A7BDD94" w14:textId="77777777" w:rsidR="00426CDE" w:rsidRPr="00835F0F" w:rsidRDefault="00426CDE" w:rsidP="00470F77">
      <w:pPr>
        <w:pStyle w:val="ListParagraph"/>
        <w:numPr>
          <w:ilvl w:val="0"/>
          <w:numId w:val="33"/>
        </w:numPr>
      </w:pPr>
      <w:r w:rsidRPr="00835F0F">
        <w:t>Management of digital property, such as the inability to transfer, trade, or re-sell user purchased digital content; as well as the unilateral right of the supplier to remove or rescind the availability of digital property</w:t>
      </w:r>
    </w:p>
    <w:p w14:paraId="7CF07039" w14:textId="2F6CFC9E" w:rsidR="00426CDE" w:rsidRPr="00835F0F" w:rsidRDefault="00426CDE" w:rsidP="00470F77">
      <w:pPr>
        <w:pStyle w:val="ListParagraph"/>
        <w:numPr>
          <w:ilvl w:val="0"/>
          <w:numId w:val="33"/>
        </w:numPr>
      </w:pPr>
      <w:r w:rsidRPr="00835F0F">
        <w:t>Deceptive online design (so-called “dark pattern” designs) that may systematically set default opt-in settings for crucial issues like collecting and sharing youth data, induce consent through vague blanket statements during sign-up, or tricking users into unwanted charges</w:t>
      </w:r>
      <w:r w:rsidR="003A05BD">
        <w:t xml:space="preserve"> (</w:t>
      </w:r>
      <w:bookmarkStart w:id="75" w:name="_Hlk137111021"/>
      <w:r w:rsidR="003A05BD">
        <w:t xml:space="preserve">discussed in section </w:t>
      </w:r>
      <w:r w:rsidR="00837924">
        <w:t>8</w:t>
      </w:r>
      <w:r w:rsidR="003A05BD">
        <w:t xml:space="preserve"> below</w:t>
      </w:r>
      <w:bookmarkEnd w:id="75"/>
      <w:r w:rsidR="003A05BD">
        <w:t>)</w:t>
      </w:r>
    </w:p>
    <w:p w14:paraId="2F0E257B" w14:textId="77777777" w:rsidR="00426CDE" w:rsidRPr="00835F0F" w:rsidRDefault="00426CDE" w:rsidP="00470F77">
      <w:pPr>
        <w:pStyle w:val="ListParagraph"/>
        <w:numPr>
          <w:ilvl w:val="0"/>
          <w:numId w:val="33"/>
        </w:numPr>
      </w:pPr>
      <w:r w:rsidRPr="00835F0F">
        <w:t>Platform lock-in from proprietary formats, intentionally limited interoperability, and bundled services</w:t>
      </w:r>
    </w:p>
    <w:p w14:paraId="4CC0B361" w14:textId="77777777" w:rsidR="00426CDE" w:rsidRPr="00835F0F" w:rsidRDefault="00426CDE" w:rsidP="00470F77">
      <w:pPr>
        <w:pStyle w:val="ListParagraph"/>
        <w:numPr>
          <w:ilvl w:val="0"/>
          <w:numId w:val="33"/>
        </w:numPr>
      </w:pPr>
      <w:r w:rsidRPr="00835F0F">
        <w:t>Misrepresenting product characteristics and business practices specific to the digital marketplace such as “end to end encryption”, data anonymization and de-identification</w:t>
      </w:r>
    </w:p>
    <w:p w14:paraId="17AE65F6" w14:textId="77777777" w:rsidR="00426CDE" w:rsidRPr="00835F0F" w:rsidRDefault="00426CDE" w:rsidP="00470F77">
      <w:pPr>
        <w:pStyle w:val="ListParagraph"/>
        <w:numPr>
          <w:ilvl w:val="0"/>
          <w:numId w:val="33"/>
        </w:numPr>
      </w:pPr>
      <w:r w:rsidRPr="00835F0F">
        <w:t>Terms that may impact user rights under other legislation, such as employment law, labour law, privacy law, or landlord and tenant law.</w:t>
      </w:r>
    </w:p>
    <w:p w14:paraId="188A3A0E" w14:textId="77777777" w:rsidR="00426CDE" w:rsidRPr="00835F0F" w:rsidRDefault="00426CDE" w:rsidP="00426CDE">
      <w:r w:rsidRPr="00835F0F">
        <w:t>A legislative definition of “key information” is also needed to:</w:t>
      </w:r>
    </w:p>
    <w:p w14:paraId="09E1DA98" w14:textId="12401111" w:rsidR="00426CDE" w:rsidRPr="00835F0F" w:rsidRDefault="00426CDE" w:rsidP="00470F77">
      <w:pPr>
        <w:pStyle w:val="ListParagraph"/>
        <w:numPr>
          <w:ilvl w:val="0"/>
          <w:numId w:val="43"/>
        </w:numPr>
      </w:pPr>
      <w:r w:rsidRPr="00835F0F">
        <w:lastRenderedPageBreak/>
        <w:t xml:space="preserve">Make it easier for businesses to manage risk and achieve compliance by defining what “key information” </w:t>
      </w:r>
      <w:r w:rsidR="003A05BD" w:rsidRPr="00835F0F">
        <w:t>includes and</w:t>
      </w:r>
      <w:r w:rsidRPr="00835F0F">
        <w:t xml:space="preserve"> </w:t>
      </w:r>
      <w:r w:rsidR="003A05BD">
        <w:t xml:space="preserve">to </w:t>
      </w:r>
      <w:r w:rsidRPr="00835F0F">
        <w:t>target specific practices of concern in the digital marketplace so as to not impose further burden on honest businesses.</w:t>
      </w:r>
    </w:p>
    <w:p w14:paraId="388BB2D7" w14:textId="77777777" w:rsidR="00426CDE" w:rsidRPr="00835F0F" w:rsidRDefault="00426CDE" w:rsidP="00470F77">
      <w:pPr>
        <w:pStyle w:val="ListParagraph"/>
        <w:numPr>
          <w:ilvl w:val="0"/>
          <w:numId w:val="43"/>
        </w:numPr>
      </w:pPr>
      <w:r w:rsidRPr="00835F0F">
        <w:t>Facilitate tailored provisions related to specific practices of concern to consumers and particular groups of consumers, such as children and linguistic minorities.</w:t>
      </w:r>
    </w:p>
    <w:p w14:paraId="6258AFBB" w14:textId="77777777" w:rsidR="00426CDE" w:rsidRPr="00835F0F" w:rsidRDefault="00426CDE" w:rsidP="00470F77">
      <w:pPr>
        <w:pStyle w:val="ListParagraph"/>
        <w:numPr>
          <w:ilvl w:val="0"/>
          <w:numId w:val="43"/>
        </w:numPr>
      </w:pPr>
      <w:r w:rsidRPr="00835F0F">
        <w:t>Modernize the CPA by acknowledging inherent limitations on the traditional role of notice and disclosure as a market regulatory check-and-balance in the digital marketplace.</w:t>
      </w:r>
    </w:p>
    <w:p w14:paraId="7F5A79AA" w14:textId="77FA1859" w:rsidR="00426CDE" w:rsidRPr="00835F0F" w:rsidRDefault="1E7F9A77" w:rsidP="00470F77">
      <w:pPr>
        <w:pStyle w:val="ListParagraph"/>
        <w:numPr>
          <w:ilvl w:val="0"/>
          <w:numId w:val="43"/>
        </w:numPr>
      </w:pPr>
      <w:r>
        <w:t>Provide consumers with</w:t>
      </w:r>
      <w:r w:rsidR="00426CDE">
        <w:t xml:space="preserve"> meaningful information about consequential business practices</w:t>
      </w:r>
      <w:r w:rsidR="7B98D936">
        <w:t xml:space="preserve"> (such as con</w:t>
      </w:r>
      <w:r w:rsidR="77EFA8CD">
        <w:t>s</w:t>
      </w:r>
      <w:r w:rsidR="7B98D936">
        <w:t>umer monetization or account suspension practices)</w:t>
      </w:r>
      <w:r w:rsidR="00426CDE">
        <w:t xml:space="preserve"> otherwise </w:t>
      </w:r>
      <w:r w:rsidR="58467F56">
        <w:t xml:space="preserve">unclear and buried in </w:t>
      </w:r>
      <w:r w:rsidR="00426CDE">
        <w:t>lengthy contracts.</w:t>
      </w:r>
    </w:p>
    <w:p w14:paraId="4CFA5BB4" w14:textId="77777777" w:rsidR="00426CDE" w:rsidRPr="00835F0F" w:rsidRDefault="00426CDE" w:rsidP="00470F77">
      <w:pPr>
        <w:pStyle w:val="ListParagraph"/>
        <w:numPr>
          <w:ilvl w:val="0"/>
          <w:numId w:val="43"/>
        </w:numPr>
      </w:pPr>
      <w:r w:rsidRPr="00835F0F">
        <w:t>Facilitate the definition of more tailored legislative, regulatory and enforcement practices through, among other examples, defining examples of “key information” in relation to specific contemporary unconscionable and unfair practices, standard terms, standardized product labeling, and the like.</w:t>
      </w:r>
    </w:p>
    <w:p w14:paraId="11BFA10F" w14:textId="31BF5641" w:rsidR="00AB1DFB" w:rsidRDefault="00AB1DFB" w:rsidP="00AB1DFB">
      <w:r>
        <w:t>Identification of “key information” categories and specific terms also raises significant benefits for consumers and businesses alike. It invites:</w:t>
      </w:r>
    </w:p>
    <w:p w14:paraId="145CB769" w14:textId="1417F7A3" w:rsidR="00AB1DFB" w:rsidRDefault="00AB1DFB" w:rsidP="00470F77">
      <w:pPr>
        <w:pStyle w:val="ListParagraph"/>
        <w:numPr>
          <w:ilvl w:val="0"/>
          <w:numId w:val="77"/>
        </w:numPr>
      </w:pPr>
      <w:r>
        <w:t>the creation of “standard terms” that consumers can rely on without having to review every ToS</w:t>
      </w:r>
    </w:p>
    <w:p w14:paraId="7683EE0C" w14:textId="0A4ADFF8" w:rsidR="00AB1DFB" w:rsidRDefault="00AB1DFB" w:rsidP="00470F77">
      <w:pPr>
        <w:pStyle w:val="ListParagraph"/>
        <w:numPr>
          <w:ilvl w:val="0"/>
          <w:numId w:val="77"/>
        </w:numPr>
      </w:pPr>
      <w:r>
        <w:t>prohibitions</w:t>
      </w:r>
      <w:r w:rsidR="003A05BD">
        <w:t xml:space="preserve"> on practices deemed too unfair to consumers</w:t>
      </w:r>
    </w:p>
    <w:p w14:paraId="63A869FA" w14:textId="7A792EC6" w:rsidR="00AB1DFB" w:rsidRDefault="003A05BD" w:rsidP="00470F77">
      <w:pPr>
        <w:pStyle w:val="ListParagraph"/>
        <w:numPr>
          <w:ilvl w:val="0"/>
          <w:numId w:val="77"/>
        </w:numPr>
      </w:pPr>
      <w:r>
        <w:t xml:space="preserve">creates the conditions to </w:t>
      </w:r>
      <w:r w:rsidR="00AB1DFB">
        <w:t>standardize labeling or “trustmark” systems, including easier analysis of contracts held in a public ToS registry</w:t>
      </w:r>
    </w:p>
    <w:p w14:paraId="5051B46C" w14:textId="16045C5E" w:rsidR="00AB1DFB" w:rsidRDefault="00BB5269" w:rsidP="00470F77">
      <w:pPr>
        <w:pStyle w:val="ListParagraph"/>
        <w:numPr>
          <w:ilvl w:val="0"/>
          <w:numId w:val="77"/>
        </w:numPr>
      </w:pPr>
      <w:r>
        <w:t>a set of terms that could be subject to default opt-in or opt-out settings</w:t>
      </w:r>
      <w:r w:rsidR="003A05BD">
        <w:t>.</w:t>
      </w:r>
    </w:p>
    <w:p w14:paraId="33999ACE" w14:textId="0A64DB80" w:rsidR="00AB1DFB" w:rsidRDefault="00AB1DFB" w:rsidP="00AB1DFB">
      <w:r>
        <w:t xml:space="preserve">To be clear, this proposal would only be effective if adopted in conjunction with additional proposals </w:t>
      </w:r>
      <w:r w:rsidR="00AF5494">
        <w:t>elsewhere</w:t>
      </w:r>
      <w:r>
        <w:t xml:space="preserve"> in this paper. This includes:</w:t>
      </w:r>
    </w:p>
    <w:p w14:paraId="26D4A415" w14:textId="3BE33A78" w:rsidR="00AB1DFB" w:rsidRDefault="00AB1DFB" w:rsidP="00470F77">
      <w:pPr>
        <w:pStyle w:val="ListParagraph"/>
        <w:numPr>
          <w:ilvl w:val="0"/>
          <w:numId w:val="55"/>
        </w:numPr>
      </w:pPr>
      <w:r>
        <w:t xml:space="preserve">defining </w:t>
      </w:r>
      <w:r w:rsidR="009A1502">
        <w:t xml:space="preserve">a category of </w:t>
      </w:r>
      <w:r>
        <w:t>“online” transactions in the digital marketplace</w:t>
      </w:r>
      <w:r w:rsidR="009A1502">
        <w:t xml:space="preserve"> which “key information” provisions could be aligned</w:t>
      </w:r>
    </w:p>
    <w:p w14:paraId="46A78BE6" w14:textId="234858B4" w:rsidR="00AB1DFB" w:rsidRDefault="002140FD" w:rsidP="00470F77">
      <w:pPr>
        <w:pStyle w:val="ListParagraph"/>
        <w:numPr>
          <w:ilvl w:val="0"/>
          <w:numId w:val="55"/>
        </w:numPr>
      </w:pPr>
      <w:r>
        <w:t>regulating</w:t>
      </w:r>
      <w:r w:rsidR="00AB1DFB">
        <w:t xml:space="preserve"> dark pattern practices that undermine notice and disclosure (see </w:t>
      </w:r>
      <w:r w:rsidR="00AF5494">
        <w:t>s</w:t>
      </w:r>
      <w:r w:rsidR="00AB1DFB">
        <w:t xml:space="preserve">ection </w:t>
      </w:r>
      <w:r w:rsidR="009040CC">
        <w:t>8</w:t>
      </w:r>
      <w:r w:rsidR="00AB1DFB">
        <w:t xml:space="preserve"> below)</w:t>
      </w:r>
    </w:p>
    <w:p w14:paraId="64072722" w14:textId="5712509A" w:rsidR="00AB1DFB" w:rsidRDefault="00AB1DFB" w:rsidP="00470F77">
      <w:pPr>
        <w:pStyle w:val="ListParagraph"/>
        <w:numPr>
          <w:ilvl w:val="0"/>
          <w:numId w:val="55"/>
        </w:numPr>
      </w:pPr>
      <w:r>
        <w:t xml:space="preserve">the need for the efficacy of notice and disclosure to be made available and measured in far more transparent and modern ways </w:t>
      </w:r>
      <w:r w:rsidRPr="000857F9">
        <w:t>(</w:t>
      </w:r>
      <w:r w:rsidRPr="008546ED">
        <w:t xml:space="preserve">see section </w:t>
      </w:r>
      <w:r w:rsidR="000857F9" w:rsidRPr="000857F9">
        <w:t>11.2.7</w:t>
      </w:r>
      <w:r w:rsidRPr="000857F9">
        <w:t>)</w:t>
      </w:r>
    </w:p>
    <w:p w14:paraId="01753878" w14:textId="5FFEEC5F" w:rsidR="00AB1DFB" w:rsidRDefault="00AB1DFB" w:rsidP="00470F77">
      <w:pPr>
        <w:pStyle w:val="ListParagraph"/>
        <w:numPr>
          <w:ilvl w:val="0"/>
          <w:numId w:val="55"/>
        </w:numPr>
      </w:pPr>
      <w:r>
        <w:t>stronger prohibitions on reprisal and greater access to justice</w:t>
      </w:r>
      <w:r w:rsidR="007E7FAF">
        <w:t xml:space="preserve"> to ensure monitoring and enforcement of these protections</w:t>
      </w:r>
      <w:r>
        <w:t xml:space="preserve"> </w:t>
      </w:r>
      <w:r w:rsidRPr="000857F9">
        <w:t xml:space="preserve">(see </w:t>
      </w:r>
      <w:r w:rsidRPr="008546ED">
        <w:t>section</w:t>
      </w:r>
      <w:r w:rsidR="000857F9" w:rsidRPr="008546ED">
        <w:t>s 11.2.3 to 11.2.5</w:t>
      </w:r>
      <w:r w:rsidRPr="000857F9">
        <w:t>).</w:t>
      </w:r>
      <w:r>
        <w:t xml:space="preserve"> </w:t>
      </w:r>
    </w:p>
    <w:p w14:paraId="2515F5C4" w14:textId="77777777" w:rsidR="00AC3E99" w:rsidRPr="00AC3E99" w:rsidRDefault="00AC3E99" w:rsidP="00AC3E99">
      <w:pPr>
        <w:rPr>
          <w:b/>
          <w:bCs/>
        </w:rPr>
      </w:pPr>
    </w:p>
    <w:p w14:paraId="1D7EB24F" w14:textId="6A9D1000" w:rsidR="00AC3E99" w:rsidRPr="00497C4C" w:rsidRDefault="00AC3E99" w:rsidP="00AC3E99">
      <w:pPr>
        <w:spacing w:line="256" w:lineRule="auto"/>
        <w:ind w:left="1440" w:hanging="1440"/>
        <w:rPr>
          <w:rFonts w:ascii="Calibri" w:eastAsia="Calibri" w:hAnsi="Calibri" w:cs="Times New Roman"/>
          <w:b/>
          <w:iCs/>
        </w:rPr>
      </w:pPr>
      <w:r w:rsidRPr="00AC3E99">
        <w:rPr>
          <w:rFonts w:ascii="Calibri" w:eastAsia="Calibri" w:hAnsi="Calibri" w:cs="Times New Roman"/>
          <w:b/>
          <w:iCs/>
          <w:highlight w:val="lightGray"/>
        </w:rPr>
        <w:t xml:space="preserve">SIDEBAR: </w:t>
      </w:r>
      <w:r w:rsidR="00D04588" w:rsidRPr="00AC3E99">
        <w:rPr>
          <w:rFonts w:ascii="Calibri" w:eastAsia="Calibri" w:hAnsi="Calibri" w:cs="Times New Roman"/>
          <w:b/>
          <w:iCs/>
          <w:highlight w:val="lightGray"/>
        </w:rPr>
        <w:t>Cons</w:t>
      </w:r>
      <w:r w:rsidR="00D04588">
        <w:rPr>
          <w:rFonts w:ascii="Calibri" w:eastAsia="Calibri" w:hAnsi="Calibri" w:cs="Times New Roman"/>
          <w:b/>
          <w:iCs/>
          <w:highlight w:val="lightGray"/>
        </w:rPr>
        <w:t>u</w:t>
      </w:r>
      <w:r w:rsidR="00D04588" w:rsidRPr="00AC3E99">
        <w:rPr>
          <w:rFonts w:ascii="Calibri" w:eastAsia="Calibri" w:hAnsi="Calibri" w:cs="Times New Roman"/>
          <w:b/>
          <w:iCs/>
          <w:highlight w:val="lightGray"/>
        </w:rPr>
        <w:t>l</w:t>
      </w:r>
      <w:r w:rsidR="00D04588">
        <w:rPr>
          <w:rFonts w:ascii="Calibri" w:eastAsia="Calibri" w:hAnsi="Calibri" w:cs="Times New Roman"/>
          <w:b/>
          <w:iCs/>
          <w:highlight w:val="lightGray"/>
        </w:rPr>
        <w:t>t</w:t>
      </w:r>
      <w:r w:rsidR="00D04588" w:rsidRPr="00AC3E99">
        <w:rPr>
          <w:rFonts w:ascii="Calibri" w:eastAsia="Calibri" w:hAnsi="Calibri" w:cs="Times New Roman"/>
          <w:b/>
          <w:iCs/>
          <w:highlight w:val="lightGray"/>
        </w:rPr>
        <w:t>ation</w:t>
      </w:r>
      <w:r w:rsidRPr="00AC3E99">
        <w:rPr>
          <w:rFonts w:ascii="Calibri" w:eastAsia="Calibri" w:hAnsi="Calibri" w:cs="Times New Roman"/>
          <w:b/>
          <w:iCs/>
          <w:highlight w:val="lightGray"/>
        </w:rPr>
        <w:t xml:space="preserve"> Questions to Improve Notice and Disclosure</w:t>
      </w:r>
    </w:p>
    <w:p w14:paraId="208B4C14" w14:textId="77777777" w:rsidR="00AC3E99" w:rsidRPr="00AC3E99" w:rsidRDefault="00AC3E99" w:rsidP="00AC3E99">
      <w:pPr>
        <w:spacing w:line="256" w:lineRule="auto"/>
        <w:ind w:left="1440" w:hanging="1440"/>
        <w:rPr>
          <w:rFonts w:ascii="Calibri" w:eastAsia="Calibri" w:hAnsi="Calibri" w:cs="Times New Roman"/>
          <w:i/>
          <w:iCs/>
          <w:highlight w:val="lightGray"/>
        </w:rPr>
      </w:pPr>
      <w:r w:rsidRPr="00AC3E99">
        <w:rPr>
          <w:rFonts w:ascii="Calibri" w:eastAsia="Calibri" w:hAnsi="Calibri" w:cs="Times New Roman"/>
          <w:i/>
          <w:iCs/>
          <w:highlight w:val="lightGray"/>
        </w:rPr>
        <w:t xml:space="preserve">Question 6: </w:t>
      </w:r>
      <w:r w:rsidRPr="00AC3E99">
        <w:rPr>
          <w:rFonts w:ascii="Calibri" w:eastAsia="Calibri" w:hAnsi="Calibri" w:cs="Times New Roman"/>
          <w:i/>
          <w:iCs/>
          <w:highlight w:val="lightGray"/>
        </w:rPr>
        <w:tab/>
        <w:t>Should the CPA be amended to require online suppliers to provide more meaningful and effective notice of material terms and online consumer risks?  If so,</w:t>
      </w:r>
    </w:p>
    <w:p w14:paraId="1AF26AC4" w14:textId="77777777" w:rsidR="00AC3E99" w:rsidRPr="00AC3E99" w:rsidRDefault="00AC3E99" w:rsidP="00470F77">
      <w:pPr>
        <w:numPr>
          <w:ilvl w:val="0"/>
          <w:numId w:val="73"/>
        </w:numPr>
        <w:spacing w:line="256" w:lineRule="auto"/>
        <w:contextualSpacing/>
        <w:rPr>
          <w:rFonts w:ascii="Calibri" w:eastAsia="Calibri" w:hAnsi="Calibri" w:cs="Times New Roman"/>
          <w:i/>
          <w:iCs/>
          <w:highlight w:val="lightGray"/>
        </w:rPr>
      </w:pPr>
      <w:r w:rsidRPr="00AC3E99">
        <w:rPr>
          <w:rFonts w:ascii="Calibri" w:eastAsia="Calibri" w:hAnsi="Calibri" w:cs="Times New Roman"/>
          <w:i/>
          <w:iCs/>
          <w:highlight w:val="lightGray"/>
        </w:rPr>
        <w:t>What is the best way to improve online consumer notice while avoiding consumer information overload?</w:t>
      </w:r>
    </w:p>
    <w:p w14:paraId="60F6B053" w14:textId="77777777" w:rsidR="00AC3E99" w:rsidRPr="00AC3E99" w:rsidRDefault="00AC3E99" w:rsidP="00470F77">
      <w:pPr>
        <w:numPr>
          <w:ilvl w:val="0"/>
          <w:numId w:val="73"/>
        </w:numPr>
        <w:spacing w:line="256" w:lineRule="auto"/>
        <w:contextualSpacing/>
        <w:rPr>
          <w:rFonts w:ascii="Calibri" w:eastAsia="Calibri" w:hAnsi="Calibri" w:cs="Times New Roman"/>
          <w:i/>
          <w:iCs/>
          <w:highlight w:val="lightGray"/>
        </w:rPr>
      </w:pPr>
      <w:r w:rsidRPr="00AC3E99">
        <w:rPr>
          <w:rFonts w:ascii="Calibri" w:eastAsia="Calibri" w:hAnsi="Calibri" w:cs="Times New Roman"/>
          <w:i/>
          <w:iCs/>
          <w:highlight w:val="lightGray"/>
        </w:rPr>
        <w:t xml:space="preserve">What “key information” should be disclosed to Ontario’s online consumers? </w:t>
      </w:r>
    </w:p>
    <w:p w14:paraId="72D75929" w14:textId="77777777" w:rsidR="00AC3E99" w:rsidRPr="00AC3E99" w:rsidRDefault="00AC3E99" w:rsidP="00470F77">
      <w:pPr>
        <w:numPr>
          <w:ilvl w:val="0"/>
          <w:numId w:val="73"/>
        </w:numPr>
        <w:spacing w:line="256" w:lineRule="auto"/>
        <w:contextualSpacing/>
        <w:rPr>
          <w:rFonts w:ascii="Calibri" w:eastAsia="Calibri" w:hAnsi="Calibri" w:cs="Times New Roman"/>
          <w:i/>
          <w:iCs/>
          <w:highlight w:val="lightGray"/>
        </w:rPr>
      </w:pPr>
      <w:r w:rsidRPr="00AC3E99">
        <w:rPr>
          <w:rFonts w:ascii="Calibri" w:eastAsia="Calibri" w:hAnsi="Calibri" w:cs="Times New Roman"/>
          <w:i/>
          <w:iCs/>
          <w:highlight w:val="lightGray"/>
        </w:rPr>
        <w:t>Should online “market contexts” and “deceptive practices” be disclosed to Ontario’s online consumers?  If so, what contexts or practices should be disclosed?</w:t>
      </w:r>
    </w:p>
    <w:p w14:paraId="4A846125" w14:textId="77777777" w:rsidR="00AC3E99" w:rsidRPr="00AC3E99" w:rsidRDefault="00AC3E99" w:rsidP="00470F77">
      <w:pPr>
        <w:numPr>
          <w:ilvl w:val="0"/>
          <w:numId w:val="73"/>
        </w:numPr>
        <w:spacing w:line="256" w:lineRule="auto"/>
        <w:contextualSpacing/>
        <w:rPr>
          <w:rFonts w:ascii="Calibri" w:eastAsia="Calibri" w:hAnsi="Calibri" w:cs="Times New Roman"/>
          <w:i/>
          <w:iCs/>
          <w:highlight w:val="lightGray"/>
        </w:rPr>
      </w:pPr>
      <w:r w:rsidRPr="00AC3E99">
        <w:rPr>
          <w:rFonts w:ascii="Calibri" w:eastAsia="Calibri" w:hAnsi="Calibri" w:cs="Times New Roman"/>
          <w:i/>
          <w:iCs/>
          <w:highlight w:val="lightGray"/>
        </w:rPr>
        <w:t xml:space="preserve">Are reforms enacted or proposed in other jurisdictions (such as the EU and by the American Law Institute) appropriate for Ontario? </w:t>
      </w:r>
    </w:p>
    <w:p w14:paraId="538FADF8" w14:textId="77777777" w:rsidR="00AC3E99" w:rsidRPr="00AC3E99" w:rsidRDefault="00AC3E99" w:rsidP="00AC3E99">
      <w:pPr>
        <w:spacing w:line="256" w:lineRule="auto"/>
        <w:ind w:left="1800"/>
        <w:contextualSpacing/>
        <w:rPr>
          <w:rFonts w:ascii="Calibri" w:eastAsia="Calibri" w:hAnsi="Calibri" w:cs="Times New Roman"/>
          <w:i/>
          <w:iCs/>
          <w:highlight w:val="lightGray"/>
        </w:rPr>
      </w:pPr>
    </w:p>
    <w:p w14:paraId="4A11E1A7" w14:textId="77777777" w:rsidR="00AC3E99" w:rsidRPr="00AC3E99" w:rsidRDefault="00AC3E99" w:rsidP="00AC3E99">
      <w:pPr>
        <w:spacing w:after="0" w:line="240" w:lineRule="auto"/>
        <w:ind w:left="1440" w:hanging="1440"/>
        <w:rPr>
          <w:rFonts w:ascii="Calibri" w:eastAsia="Calibri" w:hAnsi="Calibri" w:cs="Times New Roman"/>
          <w:i/>
          <w:iCs/>
          <w:szCs w:val="21"/>
          <w:highlight w:val="lightGray"/>
        </w:rPr>
      </w:pPr>
      <w:r w:rsidRPr="00AC3E99">
        <w:rPr>
          <w:rFonts w:ascii="Calibri" w:eastAsia="Calibri" w:hAnsi="Calibri" w:cs="Times New Roman"/>
          <w:i/>
          <w:iCs/>
          <w:szCs w:val="21"/>
          <w:highlight w:val="lightGray"/>
        </w:rPr>
        <w:t xml:space="preserve">Question 7: </w:t>
      </w:r>
      <w:r w:rsidRPr="00AC3E99">
        <w:rPr>
          <w:rFonts w:ascii="Calibri" w:eastAsia="Calibri" w:hAnsi="Calibri" w:cs="Times New Roman"/>
          <w:i/>
          <w:iCs/>
          <w:szCs w:val="21"/>
          <w:highlight w:val="lightGray"/>
        </w:rPr>
        <w:tab/>
        <w:t xml:space="preserve">There are many other options to improve notice for online consumers, including standard terms, prohibiting certain practices, trustmarks, etc. Which options should be adopted in Ontario, if any? </w:t>
      </w:r>
    </w:p>
    <w:p w14:paraId="2B0AA65A" w14:textId="77777777" w:rsidR="00AC3E99" w:rsidRPr="00AC3E99" w:rsidRDefault="00AC3E99" w:rsidP="00AC3E99">
      <w:pPr>
        <w:spacing w:after="0" w:line="240" w:lineRule="auto"/>
        <w:ind w:left="1440" w:hanging="1440"/>
        <w:rPr>
          <w:rFonts w:ascii="Calibri" w:eastAsia="Calibri" w:hAnsi="Calibri" w:cs="Times New Roman"/>
          <w:i/>
          <w:iCs/>
          <w:szCs w:val="21"/>
          <w:highlight w:val="lightGray"/>
        </w:rPr>
      </w:pPr>
    </w:p>
    <w:p w14:paraId="31F7A4B9" w14:textId="493B209E" w:rsidR="00AC3E99" w:rsidRDefault="00AC3E99" w:rsidP="00AC3E99">
      <w:pPr>
        <w:ind w:left="1440" w:hanging="1440"/>
        <w:rPr>
          <w:rFonts w:ascii="Calibri" w:eastAsia="Calibri" w:hAnsi="Calibri" w:cs="Times New Roman"/>
          <w:i/>
          <w:iCs/>
        </w:rPr>
      </w:pPr>
      <w:r w:rsidRPr="00AC3E99">
        <w:rPr>
          <w:rFonts w:ascii="Calibri" w:eastAsia="Calibri" w:hAnsi="Calibri" w:cs="Times New Roman"/>
          <w:i/>
          <w:iCs/>
          <w:highlight w:val="lightGray"/>
        </w:rPr>
        <w:t>Question 8:</w:t>
      </w:r>
      <w:r w:rsidRPr="00AC3E99">
        <w:rPr>
          <w:rFonts w:ascii="Calibri" w:eastAsia="Calibri" w:hAnsi="Calibri" w:cs="Times New Roman"/>
          <w:i/>
          <w:iCs/>
          <w:highlight w:val="lightGray"/>
        </w:rPr>
        <w:tab/>
        <w:t>How should potential reforms to provide better or more meaningful notice to consumers be balanced against the legitimate interests of online suppliers?</w:t>
      </w:r>
    </w:p>
    <w:p w14:paraId="7C5F2D14" w14:textId="54B9B03F" w:rsidR="00224B25" w:rsidRDefault="00224B25">
      <w:pPr>
        <w:rPr>
          <w:rFonts w:ascii="Calibri" w:eastAsia="Calibri" w:hAnsi="Calibri" w:cs="Times New Roman"/>
          <w:i/>
          <w:iCs/>
        </w:rPr>
      </w:pPr>
      <w:r>
        <w:rPr>
          <w:rFonts w:ascii="Calibri" w:eastAsia="Calibri" w:hAnsi="Calibri" w:cs="Times New Roman"/>
          <w:i/>
          <w:iCs/>
        </w:rPr>
        <w:br w:type="page"/>
      </w:r>
    </w:p>
    <w:p w14:paraId="374B7A5A" w14:textId="6D2AC2BA" w:rsidR="00C93A45" w:rsidRDefault="00AD6F6F" w:rsidP="00470F77">
      <w:pPr>
        <w:pStyle w:val="Heading1"/>
        <w:numPr>
          <w:ilvl w:val="0"/>
          <w:numId w:val="65"/>
        </w:numPr>
      </w:pPr>
      <w:bookmarkStart w:id="76" w:name="_Toc136429385"/>
      <w:bookmarkStart w:id="77" w:name="_Toc136475791"/>
      <w:bookmarkStart w:id="78" w:name="_Toc136429386"/>
      <w:bookmarkStart w:id="79" w:name="_Toc136475792"/>
      <w:bookmarkStart w:id="80" w:name="_Toc136429387"/>
      <w:bookmarkStart w:id="81" w:name="_Toc136475793"/>
      <w:bookmarkStart w:id="82" w:name="_Toc136429388"/>
      <w:bookmarkStart w:id="83" w:name="_Toc136475794"/>
      <w:bookmarkStart w:id="84" w:name="_Toc138151862"/>
      <w:bookmarkEnd w:id="76"/>
      <w:bookmarkEnd w:id="77"/>
      <w:bookmarkEnd w:id="78"/>
      <w:bookmarkEnd w:id="79"/>
      <w:bookmarkEnd w:id="80"/>
      <w:bookmarkEnd w:id="81"/>
      <w:bookmarkEnd w:id="82"/>
      <w:bookmarkEnd w:id="83"/>
      <w:r>
        <w:lastRenderedPageBreak/>
        <w:t xml:space="preserve">Regulate </w:t>
      </w:r>
      <w:r w:rsidR="00C93A45">
        <w:t>Dark Patterns</w:t>
      </w:r>
      <w:bookmarkEnd w:id="84"/>
    </w:p>
    <w:p w14:paraId="044A32C6" w14:textId="6E5A4219" w:rsidR="00C93A45" w:rsidRDefault="00C93A45" w:rsidP="00F248D3"/>
    <w:p w14:paraId="418140D8" w14:textId="1637ECE6" w:rsidR="0037492A" w:rsidRDefault="00AD6F6F" w:rsidP="00F248D3">
      <w:r>
        <w:t xml:space="preserve">As </w:t>
      </w:r>
      <w:r w:rsidR="0057680D">
        <w:t xml:space="preserve">discussed </w:t>
      </w:r>
      <w:r>
        <w:t>above</w:t>
      </w:r>
      <w:r w:rsidR="0057680D">
        <w:t xml:space="preserve"> in section 4.5</w:t>
      </w:r>
      <w:r>
        <w:t xml:space="preserve">, </w:t>
      </w:r>
      <w:r w:rsidR="00F82AEA">
        <w:t>“dark pattern</w:t>
      </w:r>
      <w:r>
        <w:t>s</w:t>
      </w:r>
      <w:r w:rsidR="00F82AEA">
        <w:t xml:space="preserve">” </w:t>
      </w:r>
      <w:r>
        <w:t xml:space="preserve">are </w:t>
      </w:r>
      <w:r w:rsidR="00F82AEA">
        <w:t>practices that aim to obscure</w:t>
      </w:r>
      <w:r w:rsidR="00E30FDC">
        <w:t xml:space="preserve"> information and coerce or </w:t>
      </w:r>
      <w:r w:rsidR="00F82AEA">
        <w:t xml:space="preserve">trick consumers into consenting to ToS </w:t>
      </w:r>
      <w:r w:rsidR="00E30FDC">
        <w:t xml:space="preserve">and other business practices </w:t>
      </w:r>
      <w:r w:rsidR="00F82AEA">
        <w:t>without understanding what they are consenting to.</w:t>
      </w:r>
      <w:r w:rsidR="003528C6">
        <w:t xml:space="preserve"> </w:t>
      </w:r>
    </w:p>
    <w:p w14:paraId="7D807690" w14:textId="77777777" w:rsidR="0057680D" w:rsidRDefault="009B0B46" w:rsidP="00B76469">
      <w:pPr>
        <w:spacing w:after="0"/>
      </w:pPr>
      <w:r>
        <w:t>L</w:t>
      </w:r>
      <w:r w:rsidR="00B76469">
        <w:t>eading studies suggest “the core of dark patterns is their objectionable effect on consumers’ ability to make free and informed choices, with the likelihood of entailing consumer detriment.”</w:t>
      </w:r>
      <w:r w:rsidR="00B76469">
        <w:rPr>
          <w:rStyle w:val="EndnoteReference"/>
        </w:rPr>
        <w:endnoteReference w:id="266"/>
      </w:r>
      <w:r w:rsidR="00B76469">
        <w:t xml:space="preserve"> </w:t>
      </w:r>
      <w:r w:rsidR="0057680D">
        <w:t>This suggests that dark pattern practices play a role in subverting the effective operation of consumer protection principles, including fundamental principles like notice and disclosure.</w:t>
      </w:r>
    </w:p>
    <w:p w14:paraId="0540F115" w14:textId="77777777" w:rsidR="0057680D" w:rsidRDefault="0057680D" w:rsidP="00B76469">
      <w:pPr>
        <w:spacing w:after="0"/>
      </w:pPr>
    </w:p>
    <w:p w14:paraId="40647E8C" w14:textId="4BD94284" w:rsidR="00B76469" w:rsidRDefault="0057680D" w:rsidP="00B76469">
      <w:pPr>
        <w:spacing w:after="0"/>
      </w:pPr>
      <w:r>
        <w:t xml:space="preserve">In response to these impacts, leading studies </w:t>
      </w:r>
      <w:r w:rsidR="00B76469">
        <w:t xml:space="preserve">further </w:t>
      </w:r>
      <w:r>
        <w:t xml:space="preserve">find </w:t>
      </w:r>
      <w:r w:rsidR="00B76469">
        <w:t>that:</w:t>
      </w:r>
    </w:p>
    <w:p w14:paraId="6A579108" w14:textId="77777777" w:rsidR="00B76469" w:rsidRDefault="00B76469" w:rsidP="00B76469">
      <w:pPr>
        <w:spacing w:after="0"/>
      </w:pPr>
    </w:p>
    <w:p w14:paraId="3C63C762" w14:textId="4DBB6D9F" w:rsidR="00B76469" w:rsidRDefault="00B76469" w:rsidP="00470F77">
      <w:pPr>
        <w:pStyle w:val="ListParagraph"/>
        <w:numPr>
          <w:ilvl w:val="0"/>
          <w:numId w:val="50"/>
        </w:numPr>
      </w:pPr>
      <w:r>
        <w:t xml:space="preserve">Market forces alone are unlikely to address dark patterns </w:t>
      </w:r>
      <w:r w:rsidR="009B0B46">
        <w:t xml:space="preserve">effectively </w:t>
      </w:r>
      <w:r>
        <w:t>and may further incentivise use of dark patterns</w:t>
      </w:r>
    </w:p>
    <w:p w14:paraId="5AE4CE85" w14:textId="3FAF701E" w:rsidR="00B76469" w:rsidRDefault="009B0B46" w:rsidP="00470F77">
      <w:pPr>
        <w:pStyle w:val="ListParagraph"/>
        <w:numPr>
          <w:ilvl w:val="0"/>
          <w:numId w:val="50"/>
        </w:numPr>
      </w:pPr>
      <w:r>
        <w:t>D</w:t>
      </w:r>
      <w:r w:rsidR="00B76469">
        <w:t>isclosure and transparency measures are not sufficient in isolation to protect consumers from dark pattern coercion</w:t>
      </w:r>
    </w:p>
    <w:p w14:paraId="16D3AEF1" w14:textId="6D3300B4" w:rsidR="00B76469" w:rsidRDefault="009B0B46" w:rsidP="00470F77">
      <w:pPr>
        <w:pStyle w:val="ListParagraph"/>
        <w:numPr>
          <w:ilvl w:val="0"/>
          <w:numId w:val="50"/>
        </w:numPr>
      </w:pPr>
      <w:r>
        <w:t>T</w:t>
      </w:r>
      <w:r w:rsidR="00B76469">
        <w:t>he effectiveness of certain kinds of disclosures is mixed and strongly dependent on their design</w:t>
      </w:r>
      <w:r>
        <w:t>.</w:t>
      </w:r>
      <w:r w:rsidR="009E0094">
        <w:t xml:space="preserve"> </w:t>
      </w:r>
      <w:r>
        <w:t xml:space="preserve">In some </w:t>
      </w:r>
      <w:r w:rsidR="00B76469">
        <w:t>contexts</w:t>
      </w:r>
      <w:r>
        <w:t>,</w:t>
      </w:r>
      <w:r w:rsidR="00B76469">
        <w:t xml:space="preserve"> disclosure requirements may harm consumers by, for example, burdening them with “consent spam”</w:t>
      </w:r>
      <w:r w:rsidR="00B76469">
        <w:rPr>
          <w:rStyle w:val="EndnoteReference"/>
        </w:rPr>
        <w:endnoteReference w:id="267"/>
      </w:r>
    </w:p>
    <w:p w14:paraId="51EB193C" w14:textId="4E3BCCD2" w:rsidR="00B76469" w:rsidRDefault="00B76469" w:rsidP="00470F77">
      <w:pPr>
        <w:pStyle w:val="ListParagraph"/>
        <w:numPr>
          <w:ilvl w:val="0"/>
          <w:numId w:val="50"/>
        </w:numPr>
      </w:pPr>
      <w:r>
        <w:t xml:space="preserve">Complaints-based mechanisms are too narrow, reactive, and slow to effectively regulate practices as varied and widespread as dark patterns </w:t>
      </w:r>
    </w:p>
    <w:p w14:paraId="4333E9CA" w14:textId="5F74558C" w:rsidR="00B76469" w:rsidRPr="000C3247" w:rsidRDefault="00B76469" w:rsidP="00470F77">
      <w:pPr>
        <w:pStyle w:val="ListParagraph"/>
        <w:numPr>
          <w:ilvl w:val="0"/>
          <w:numId w:val="50"/>
        </w:numPr>
      </w:pPr>
      <w:r>
        <w:t>Priority should be given to regulating “quick wins” for easily defined and obviously deceptive dark pattern practices – like hidden information, false hierarch</w:t>
      </w:r>
      <w:r w:rsidR="009B0B46">
        <w:t>ies</w:t>
      </w:r>
      <w:r>
        <w:t xml:space="preserve">, </w:t>
      </w:r>
      <w:r w:rsidR="009B0B46">
        <w:t xml:space="preserve">consumer option </w:t>
      </w:r>
      <w:r>
        <w:t>pre</w:t>
      </w:r>
      <w:r w:rsidR="003D0ABE">
        <w:t>-</w:t>
      </w:r>
      <w:r>
        <w:t>selection</w:t>
      </w:r>
      <w:r w:rsidR="009B0B46">
        <w:t>s</w:t>
      </w:r>
      <w:r>
        <w:t xml:space="preserve">, and </w:t>
      </w:r>
      <w:r w:rsidR="009B0B46">
        <w:t xml:space="preserve">choices that are </w:t>
      </w:r>
      <w:r>
        <w:t>hard to cancel/opt out – while further investigating more subtle and challenging issues.</w:t>
      </w:r>
      <w:r>
        <w:rPr>
          <w:rStyle w:val="EndnoteReference"/>
        </w:rPr>
        <w:endnoteReference w:id="268"/>
      </w:r>
    </w:p>
    <w:p w14:paraId="399CBFCD" w14:textId="29ADF46F" w:rsidR="00B76469" w:rsidRDefault="00B76469" w:rsidP="00B76469">
      <w:pPr>
        <w:pStyle w:val="PlainText"/>
      </w:pPr>
    </w:p>
    <w:p w14:paraId="0DECF566" w14:textId="77777777" w:rsidR="00AC3068" w:rsidRDefault="00AC3068" w:rsidP="00B76469">
      <w:pPr>
        <w:pStyle w:val="PlainText"/>
      </w:pPr>
    </w:p>
    <w:p w14:paraId="118714C7" w14:textId="7FF4A68A" w:rsidR="00C73EBD" w:rsidRDefault="00C73EBD" w:rsidP="00B76469">
      <w:pPr>
        <w:pStyle w:val="PlainText"/>
      </w:pPr>
    </w:p>
    <w:p w14:paraId="124AED0A" w14:textId="3699F184" w:rsidR="003D0ABE" w:rsidRDefault="00AC3068" w:rsidP="00B76469">
      <w:pPr>
        <w:pStyle w:val="PlainText"/>
        <w:rPr>
          <w:b/>
          <w:bCs/>
        </w:rPr>
      </w:pPr>
      <w:r w:rsidRPr="00AC3068">
        <w:rPr>
          <w:b/>
          <w:bCs/>
          <w:noProof/>
        </w:rPr>
        <w:lastRenderedPageBreak/>
        <w:drawing>
          <wp:anchor distT="0" distB="0" distL="114300" distR="114300" simplePos="0" relativeHeight="251672576" behindDoc="0" locked="0" layoutInCell="1" allowOverlap="1" wp14:anchorId="6E411DD9" wp14:editId="66C855CF">
            <wp:simplePos x="0" y="0"/>
            <wp:positionH relativeFrom="margin">
              <wp:align>right</wp:align>
            </wp:positionH>
            <wp:positionV relativeFrom="paragraph">
              <wp:posOffset>200660</wp:posOffset>
            </wp:positionV>
            <wp:extent cx="5943600" cy="5876290"/>
            <wp:effectExtent l="0" t="0" r="0" b="0"/>
            <wp:wrapTight wrapText="bothSides">
              <wp:wrapPolygon edited="0">
                <wp:start x="0" y="0"/>
                <wp:lineTo x="0" y="21497"/>
                <wp:lineTo x="21531" y="21497"/>
                <wp:lineTo x="21531" y="0"/>
                <wp:lineTo x="0" y="0"/>
              </wp:wrapPolygon>
            </wp:wrapTight>
            <wp:docPr id="688657427"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657427" name="Picture 1" descr="A screenshot of a computer&#10;&#10;Description automatically generated with low confidence"/>
                    <pic:cNvPicPr/>
                  </pic:nvPicPr>
                  <pic:blipFill>
                    <a:blip r:embed="rId36"/>
                    <a:stretch>
                      <a:fillRect/>
                    </a:stretch>
                  </pic:blipFill>
                  <pic:spPr>
                    <a:xfrm>
                      <a:off x="0" y="0"/>
                      <a:ext cx="5943600" cy="5876290"/>
                    </a:xfrm>
                    <a:prstGeom prst="rect">
                      <a:avLst/>
                    </a:prstGeom>
                  </pic:spPr>
                </pic:pic>
              </a:graphicData>
            </a:graphic>
          </wp:anchor>
        </w:drawing>
      </w:r>
      <w:r w:rsidRPr="00AC3068">
        <w:rPr>
          <w:b/>
          <w:bCs/>
        </w:rPr>
        <w:t>Sidebar: Examples of Dark Pattern Practices in the Digital Marketplace</w:t>
      </w:r>
    </w:p>
    <w:p w14:paraId="2110666E" w14:textId="77777777" w:rsidR="00AC3068" w:rsidRPr="00AC3068" w:rsidRDefault="00AC3068" w:rsidP="00B76469">
      <w:pPr>
        <w:pStyle w:val="PlainText"/>
        <w:rPr>
          <w:b/>
          <w:bCs/>
        </w:rPr>
      </w:pPr>
    </w:p>
    <w:p w14:paraId="5E1DA06B" w14:textId="7E62C25D" w:rsidR="009B0B46" w:rsidRDefault="009B0B46" w:rsidP="009B0B46">
      <w:r>
        <w:t>Many existing consumer protection laws – including the CPA – contain general protections against misleading or deceptive conduct, unconscionable conduct, and unfair contract terms</w:t>
      </w:r>
      <w:r w:rsidR="00C73EBD">
        <w:t>, along with mandatory disclosure of certain information</w:t>
      </w:r>
      <w:r>
        <w:t>. Many of these existing provisions could be employed against dark patterns in the digital marketplace.</w:t>
      </w:r>
    </w:p>
    <w:p w14:paraId="31A0058F" w14:textId="0BC7CCA8" w:rsidR="009B0B46" w:rsidRDefault="009112EB" w:rsidP="009B0B46">
      <w:r>
        <w:t>However</w:t>
      </w:r>
      <w:r w:rsidR="009B0B46">
        <w:t xml:space="preserve">, </w:t>
      </w:r>
      <w:r w:rsidRPr="009112EB">
        <w:t>dark patterns are sometimes difficult to define</w:t>
      </w:r>
      <w:r>
        <w:t xml:space="preserve">. A </w:t>
      </w:r>
      <w:r w:rsidR="009B0B46">
        <w:t>principles-based approach alone will not be effective against dark pattern practices. Nor, in terms of effective oversight and enforcement, can consumers be expected to raise individual or systemic concerns with practices which are, by definition, generally hidden, obscured, and unknown, and related to business monetization practices which consumers can’t reasonably be expected to understand the risks and consequences.</w:t>
      </w:r>
    </w:p>
    <w:p w14:paraId="0BA15D57" w14:textId="4B5F5154" w:rsidR="009B0B46" w:rsidRDefault="009B0B46" w:rsidP="009B0B46">
      <w:r>
        <w:lastRenderedPageBreak/>
        <w:t>The provincial government CPA Consultation Papers do not explicitly acknowledge or discuss “dark patterns.”</w:t>
      </w:r>
      <w:r w:rsidR="009E0094">
        <w:t xml:space="preserve"> </w:t>
      </w:r>
    </w:p>
    <w:p w14:paraId="6ADB59B5" w14:textId="0B02F59E" w:rsidR="00AD6F6F" w:rsidRDefault="009B0B46" w:rsidP="003528C6">
      <w:r>
        <w:t>In contrast, s</w:t>
      </w:r>
      <w:r w:rsidR="000C442B">
        <w:t xml:space="preserve">everal jurisdictions </w:t>
      </w:r>
      <w:r w:rsidR="00AD6F6F">
        <w:t>have adopted dedicated leg</w:t>
      </w:r>
      <w:r>
        <w:t>is</w:t>
      </w:r>
      <w:r w:rsidR="00AD6F6F">
        <w:t>lation, regulations, or policies to address the risks of “dark patterns.”</w:t>
      </w:r>
      <w:r w:rsidR="009E0094">
        <w:t xml:space="preserve"> </w:t>
      </w:r>
      <w:r w:rsidR="009112EB">
        <w:t>These demonstrate how</w:t>
      </w:r>
      <w:r w:rsidR="009112EB" w:rsidRPr="009112EB">
        <w:t xml:space="preserve"> there are some examples </w:t>
      </w:r>
      <w:r w:rsidR="009112EB">
        <w:t xml:space="preserve">of dark patterns </w:t>
      </w:r>
      <w:r w:rsidR="009112EB" w:rsidRPr="009112EB">
        <w:t xml:space="preserve">that are clear and </w:t>
      </w:r>
      <w:r w:rsidR="009112EB">
        <w:t>could be directly targeted by consumer protection legislation or regulation.</w:t>
      </w:r>
    </w:p>
    <w:p w14:paraId="4151AFDB" w14:textId="0B9564CD" w:rsidR="00AB6BEA" w:rsidRDefault="009112EB" w:rsidP="003528C6">
      <w:r>
        <w:t xml:space="preserve">For instance, in </w:t>
      </w:r>
      <w:r w:rsidR="00BB7DDA">
        <w:t>the EU and UK</w:t>
      </w:r>
      <w:r w:rsidR="00AB6BEA">
        <w:t>:</w:t>
      </w:r>
    </w:p>
    <w:p w14:paraId="6BA098E5" w14:textId="6A3AE77C" w:rsidR="00B2333C" w:rsidRDefault="00B2333C" w:rsidP="00470F77">
      <w:pPr>
        <w:pStyle w:val="ListParagraph"/>
        <w:numPr>
          <w:ilvl w:val="0"/>
          <w:numId w:val="56"/>
        </w:numPr>
      </w:pPr>
      <w:r>
        <w:t>EU Digital Services Act (DSA 2022) place</w:t>
      </w:r>
      <w:r w:rsidR="000B0FAA">
        <w:t>s</w:t>
      </w:r>
      <w:r>
        <w:t xml:space="preserve"> new obligations on online platforms and intermediaries and define dark patterns as follows in its preamble: “Dark patterns on online interfaces of online platforms are practices that materially distort or impair, either purposefully or in effect, the ability of recipients of the service to make autonomous and informed choices or decisions.” Article 25 further prohibits “online platforms” from “designing, organising or operating online interfaces in a way that deceives, manipulates or otherwise materially distorts or impairs the ability of recipients of their service to make free and informed decisions.”</w:t>
      </w:r>
      <w:r>
        <w:rPr>
          <w:rStyle w:val="EndnoteReference"/>
        </w:rPr>
        <w:endnoteReference w:id="269"/>
      </w:r>
    </w:p>
    <w:p w14:paraId="07586E94" w14:textId="28DEC203" w:rsidR="005B3C08" w:rsidRDefault="005B3C08" w:rsidP="00470F77">
      <w:pPr>
        <w:pStyle w:val="ListParagraph"/>
        <w:numPr>
          <w:ilvl w:val="0"/>
          <w:numId w:val="56"/>
        </w:numPr>
      </w:pPr>
      <w:r>
        <w:t>The companion EU Digital Markets Act (DMA 2022) similarly places new obligations on very large online platforms (“gatekeepers”) including a prohibition on “offering choices to the end-user in a non-neutral manner, or subverting end users’ or business users' autonomy, decision-making, or free choice via the structure, design, function or manner of operation of a user interface or a part thereof” (per Article 13).</w:t>
      </w:r>
      <w:r w:rsidRPr="005B3C08">
        <w:rPr>
          <w:rStyle w:val="EndnoteReference"/>
        </w:rPr>
        <w:t xml:space="preserve"> </w:t>
      </w:r>
      <w:r>
        <w:rPr>
          <w:rStyle w:val="EndnoteReference"/>
        </w:rPr>
        <w:endnoteReference w:id="270"/>
      </w:r>
    </w:p>
    <w:p w14:paraId="2528C6D3" w14:textId="5F6D8371" w:rsidR="000C442B" w:rsidRDefault="000C442B" w:rsidP="00470F77">
      <w:pPr>
        <w:pStyle w:val="ListParagraph"/>
        <w:numPr>
          <w:ilvl w:val="0"/>
          <w:numId w:val="56"/>
        </w:numPr>
      </w:pPr>
      <w:r>
        <w:t>A 2022 European Commission study</w:t>
      </w:r>
      <w:r w:rsidR="00EF76ED">
        <w:t xml:space="preserve"> EC advise</w:t>
      </w:r>
      <w:r>
        <w:t>s</w:t>
      </w:r>
      <w:r w:rsidR="00EF76ED">
        <w:t xml:space="preserve"> that the principle-based prohibitions in the </w:t>
      </w:r>
      <w:r w:rsidRPr="000C442B">
        <w:t>EU Unfair Commercial Practices Directive</w:t>
      </w:r>
      <w:r>
        <w:t xml:space="preserve"> </w:t>
      </w:r>
      <w:r w:rsidR="000D4A94">
        <w:t xml:space="preserve">(UCPD) </w:t>
      </w:r>
      <w:r w:rsidR="00EF76ED">
        <w:t xml:space="preserve">on </w:t>
      </w:r>
      <w:r>
        <w:t xml:space="preserve">dark pattern </w:t>
      </w:r>
      <w:r w:rsidR="00EF76ED">
        <w:t>practices that are deemed unfair</w:t>
      </w:r>
      <w:r>
        <w:t xml:space="preserve"> (</w:t>
      </w:r>
      <w:r w:rsidR="00EF76ED">
        <w:t xml:space="preserve">because </w:t>
      </w:r>
      <w:r>
        <w:t>they</w:t>
      </w:r>
      <w:r w:rsidR="00EF76ED">
        <w:t xml:space="preserve"> distort the economic behaviour of the average consumer</w:t>
      </w:r>
      <w:r>
        <w:t xml:space="preserve">) are interpreted as </w:t>
      </w:r>
      <w:r w:rsidR="00EF76ED">
        <w:t xml:space="preserve">misleading actions or omissions (Articles 6 and 7) or </w:t>
      </w:r>
      <w:r>
        <w:t>as</w:t>
      </w:r>
      <w:r w:rsidR="00EF76ED">
        <w:t xml:space="preserve"> aggressive practices (Articles 8 and 9)</w:t>
      </w:r>
      <w:r>
        <w:t>.</w:t>
      </w:r>
      <w:r>
        <w:rPr>
          <w:rStyle w:val="EndnoteReference"/>
        </w:rPr>
        <w:endnoteReference w:id="271"/>
      </w:r>
    </w:p>
    <w:p w14:paraId="625C0913" w14:textId="53B03354" w:rsidR="000D4A94" w:rsidRDefault="00EF76ED" w:rsidP="00470F77">
      <w:pPr>
        <w:pStyle w:val="ListParagraph"/>
        <w:numPr>
          <w:ilvl w:val="0"/>
          <w:numId w:val="56"/>
        </w:numPr>
      </w:pPr>
      <w:r>
        <w:t>Annex I of the UCPD also contains a list of specific blacklisted practices, many of which would also apply to specific dark patterns</w:t>
      </w:r>
      <w:r w:rsidR="000C442B">
        <w:t xml:space="preserve">. </w:t>
      </w:r>
      <w:r>
        <w:t xml:space="preserve">For example, </w:t>
      </w:r>
      <w:r w:rsidR="0011233D">
        <w:t xml:space="preserve">blacklisted </w:t>
      </w:r>
      <w:r>
        <w:t xml:space="preserve">practice </w:t>
      </w:r>
      <w:r w:rsidR="000C442B">
        <w:t>18 prohibits “</w:t>
      </w:r>
      <w:r>
        <w:t>materially inaccurate statements about market conditions</w:t>
      </w:r>
      <w:r w:rsidR="000C442B">
        <w:t xml:space="preserve">” </w:t>
      </w:r>
      <w:r w:rsidR="000D4A94">
        <w:t>while d</w:t>
      </w:r>
      <w:r>
        <w:t xml:space="preserve">ark patterns targeting vulnerabilities of individual or specific groups of consumers could </w:t>
      </w:r>
      <w:r w:rsidR="000D4A94">
        <w:t xml:space="preserve">amount to </w:t>
      </w:r>
      <w:r>
        <w:t>“undue influence” over the consumer</w:t>
      </w:r>
      <w:r w:rsidR="000D4A94">
        <w:t xml:space="preserve"> (</w:t>
      </w:r>
      <w:r>
        <w:t>an aggressive practice prohibited under Articles 8 and 9</w:t>
      </w:r>
      <w:r w:rsidR="000D4A94">
        <w:t>).</w:t>
      </w:r>
      <w:r w:rsidR="000C442B">
        <w:rPr>
          <w:rStyle w:val="EndnoteReference"/>
        </w:rPr>
        <w:endnoteReference w:id="272"/>
      </w:r>
      <w:r w:rsidR="009E0094">
        <w:t xml:space="preserve"> </w:t>
      </w:r>
    </w:p>
    <w:p w14:paraId="15CE0DCC" w14:textId="77777777" w:rsidR="000D4A94" w:rsidRDefault="000D4A94" w:rsidP="00470F77">
      <w:pPr>
        <w:pStyle w:val="ListParagraph"/>
        <w:numPr>
          <w:ilvl w:val="0"/>
          <w:numId w:val="56"/>
        </w:numPr>
      </w:pPr>
      <w:r>
        <w:t>Similarly, the UK Consumer Protection from Unfair Trading Regulations 2008 (CPRs) contain principle-based prohibitions (Part 2), as well as a list of practices that are in all cases prohibited (Schedule 1), both of which largely mirror the UCPD</w:t>
      </w:r>
      <w:r>
        <w:rPr>
          <w:rStyle w:val="EndnoteReference"/>
        </w:rPr>
        <w:endnoteReference w:id="273"/>
      </w:r>
    </w:p>
    <w:p w14:paraId="441A9F58" w14:textId="197F3473" w:rsidR="00EF76ED" w:rsidRDefault="000D4A94" w:rsidP="00470F77">
      <w:pPr>
        <w:pStyle w:val="ListParagraph"/>
        <w:numPr>
          <w:ilvl w:val="0"/>
          <w:numId w:val="56"/>
        </w:numPr>
      </w:pPr>
      <w:r>
        <w:t>And i</w:t>
      </w:r>
      <w:r w:rsidR="00EF76ED">
        <w:t>n addition to the UCPD, many dark patterns are likely to</w:t>
      </w:r>
      <w:r>
        <w:t xml:space="preserve"> violate </w:t>
      </w:r>
      <w:r w:rsidR="00EF76ED">
        <w:t>other EU laws</w:t>
      </w:r>
      <w:r>
        <w:t xml:space="preserve"> including the </w:t>
      </w:r>
      <w:r w:rsidR="00EF76ED">
        <w:t>GDPR (</w:t>
      </w:r>
      <w:r>
        <w:t>applicable</w:t>
      </w:r>
      <w:r w:rsidR="00EF76ED">
        <w:t xml:space="preserve"> to several privacy-intrusive dark patterns); the Consumer Rights Directive (</w:t>
      </w:r>
      <w:r>
        <w:t xml:space="preserve">applicable to </w:t>
      </w:r>
      <w:r w:rsidR="00EF76ED">
        <w:t>hidden costs</w:t>
      </w:r>
      <w:r>
        <w:t xml:space="preserve"> or </w:t>
      </w:r>
      <w:r w:rsidR="00EF76ED">
        <w:t>hidden subscriptions); the Unfair Contract Terms Directive (</w:t>
      </w:r>
      <w:r>
        <w:t xml:space="preserve">applicable to onerous cancelation processes); </w:t>
      </w:r>
      <w:r w:rsidR="00EF76ED">
        <w:t>and the Audiovisual Media Services Directive</w:t>
      </w:r>
      <w:r>
        <w:t xml:space="preserve"> </w:t>
      </w:r>
      <w:r w:rsidR="00EF76ED">
        <w:t>(</w:t>
      </w:r>
      <w:r>
        <w:t>applicable</w:t>
      </w:r>
      <w:r w:rsidR="00EF76ED">
        <w:t xml:space="preserve"> to disguised ads)</w:t>
      </w:r>
      <w:r>
        <w:t>.</w:t>
      </w:r>
      <w:r>
        <w:rPr>
          <w:rStyle w:val="EndnoteReference"/>
        </w:rPr>
        <w:endnoteReference w:id="274"/>
      </w:r>
    </w:p>
    <w:p w14:paraId="76A652CB" w14:textId="77777777" w:rsidR="006E3285" w:rsidRDefault="00EF76ED" w:rsidP="00EF76ED">
      <w:r>
        <w:t xml:space="preserve">In the </w:t>
      </w:r>
      <w:r w:rsidR="006E3285">
        <w:t>United States:</w:t>
      </w:r>
    </w:p>
    <w:p w14:paraId="3EC9D1D7" w14:textId="5DA33A68" w:rsidR="006E3285" w:rsidRDefault="0011233D" w:rsidP="00470F77">
      <w:pPr>
        <w:pStyle w:val="ListParagraph"/>
        <w:numPr>
          <w:ilvl w:val="0"/>
          <w:numId w:val="57"/>
        </w:numPr>
      </w:pPr>
      <w:r>
        <w:t>S</w:t>
      </w:r>
      <w:r w:rsidR="00EF76ED">
        <w:t xml:space="preserve">ection 5 of the </w:t>
      </w:r>
      <w:r w:rsidR="00EF76ED" w:rsidRPr="1F5E9E68">
        <w:rPr>
          <w:i/>
          <w:iCs/>
        </w:rPr>
        <w:t>Federal Trade Commission Act</w:t>
      </w:r>
      <w:r w:rsidR="00EF76ED">
        <w:t xml:space="preserve"> </w:t>
      </w:r>
      <w:r w:rsidR="00AB3303">
        <w:t xml:space="preserve">has been interpreted by the FTC to challenge dark pattern practices that are hard to cancel, hidden costs, forced continuity, hidden information, preselection, trick questions and disguised ads dark patterns. Section 5 </w:t>
      </w:r>
      <w:r w:rsidR="00EF76ED">
        <w:t>contains principle-based prohibitions on deceptive and unfair acts or practices</w:t>
      </w:r>
      <w:r w:rsidR="006E3285">
        <w:t xml:space="preserve"> that may include “</w:t>
      </w:r>
      <w:r w:rsidR="00EF76ED">
        <w:t>any representation, omission, or practice that is both (i) material and (ii) likely to mislead consumers who are acting reasonably under the circumstances</w:t>
      </w:r>
      <w:r w:rsidR="006E3285">
        <w:t>”</w:t>
      </w:r>
      <w:r w:rsidR="00EF76ED">
        <w:t xml:space="preserve"> </w:t>
      </w:r>
      <w:r w:rsidR="00AB3303">
        <w:t xml:space="preserve">while an </w:t>
      </w:r>
      <w:r w:rsidR="00EF76ED">
        <w:t xml:space="preserve">unfair trade practice is one that </w:t>
      </w:r>
      <w:r w:rsidR="00AB3303">
        <w:t>“</w:t>
      </w:r>
      <w:r w:rsidR="00EF76ED">
        <w:t xml:space="preserve">(i) causes or is likely to cause substantial injury to consumers, (ii) is not reasonably avoidable by </w:t>
      </w:r>
      <w:r w:rsidR="00EF76ED">
        <w:lastRenderedPageBreak/>
        <w:t>consumers themselves and (iii) is not outweighed by countervailing benefits to consumers or competition.</w:t>
      </w:r>
      <w:r w:rsidR="00AB3303">
        <w:t>”</w:t>
      </w:r>
      <w:r w:rsidR="00AB3303">
        <w:rPr>
          <w:rStyle w:val="EndnoteReference"/>
        </w:rPr>
        <w:endnoteReference w:id="275"/>
      </w:r>
      <w:r w:rsidR="00AB3303">
        <w:t xml:space="preserve"> </w:t>
      </w:r>
    </w:p>
    <w:p w14:paraId="234F5A69" w14:textId="66FBB8A7" w:rsidR="00C45710" w:rsidRDefault="004D3D3E" w:rsidP="00470F77">
      <w:pPr>
        <w:pStyle w:val="ListParagraph"/>
        <w:numPr>
          <w:ilvl w:val="0"/>
          <w:numId w:val="57"/>
        </w:numPr>
      </w:pPr>
      <w:r>
        <w:t>The FTC also observes that d</w:t>
      </w:r>
      <w:r w:rsidR="00C45710">
        <w:t>ark pattern practices “</w:t>
      </w:r>
      <w:r w:rsidR="00C45710" w:rsidRPr="00C45710">
        <w:t>that are not obviously deceptive, such as nagging, price comparison prevention, intermediate currency, toying with emotion, or confirm shaming could potentially be challenged under the prohibition on unfair trading practices, though this approach remains untested</w:t>
      </w:r>
      <w:r w:rsidR="00C45710">
        <w:t>.”</w:t>
      </w:r>
      <w:r w:rsidR="00C45710">
        <w:rPr>
          <w:rStyle w:val="EndnoteReference"/>
        </w:rPr>
        <w:endnoteReference w:id="276"/>
      </w:r>
    </w:p>
    <w:p w14:paraId="7554689F" w14:textId="77777777" w:rsidR="004D3D3E" w:rsidRDefault="00C45710" w:rsidP="00470F77">
      <w:pPr>
        <w:pStyle w:val="ListParagraph"/>
        <w:numPr>
          <w:ilvl w:val="0"/>
          <w:numId w:val="57"/>
        </w:numPr>
      </w:pPr>
      <w:r>
        <w:t xml:space="preserve">Other </w:t>
      </w:r>
      <w:r w:rsidR="00EF76ED">
        <w:t xml:space="preserve">US </w:t>
      </w:r>
      <w:r w:rsidR="004D3D3E">
        <w:t xml:space="preserve">federal </w:t>
      </w:r>
      <w:r w:rsidR="00EF76ED">
        <w:t>law also provides for express prohibitions on specific practices found in dark patterns, such as on bait and switch practices</w:t>
      </w:r>
      <w:r w:rsidR="006E3285">
        <w:t xml:space="preserve">; </w:t>
      </w:r>
      <w:r w:rsidR="00EF76ED">
        <w:t>continuing to charge a consumer for a good or service after an initial transaction without the consumer’s express informed consent</w:t>
      </w:r>
      <w:r w:rsidR="006E3285">
        <w:t>;</w:t>
      </w:r>
      <w:r w:rsidR="00EF76ED">
        <w:t xml:space="preserve"> and on making it hard to opt</w:t>
      </w:r>
      <w:r w:rsidR="006E3285">
        <w:t>-</w:t>
      </w:r>
      <w:r w:rsidR="00EF76ED">
        <w:t>out of marketers’ emails.</w:t>
      </w:r>
      <w:r w:rsidR="006E3285">
        <w:rPr>
          <w:rStyle w:val="EndnoteReference"/>
        </w:rPr>
        <w:endnoteReference w:id="277"/>
      </w:r>
    </w:p>
    <w:p w14:paraId="11B3AC33" w14:textId="413C95E9" w:rsidR="00B17CF0" w:rsidRDefault="004D3D3E" w:rsidP="00470F77">
      <w:pPr>
        <w:pStyle w:val="ListParagraph"/>
        <w:numPr>
          <w:ilvl w:val="0"/>
          <w:numId w:val="57"/>
        </w:numPr>
      </w:pPr>
      <w:r>
        <w:t xml:space="preserve">The </w:t>
      </w:r>
      <w:r w:rsidR="00B17CF0" w:rsidRPr="1F5E9E68">
        <w:rPr>
          <w:i/>
          <w:iCs/>
        </w:rPr>
        <w:t>California Privacy Rights Act</w:t>
      </w:r>
      <w:r w:rsidR="00B17CF0">
        <w:t xml:space="preserve"> (CPRA</w:t>
      </w:r>
      <w:r>
        <w:t xml:space="preserve"> 202) </w:t>
      </w:r>
      <w:r w:rsidR="00B17CF0">
        <w:t xml:space="preserve">is </w:t>
      </w:r>
      <w:r w:rsidR="0011233D">
        <w:t xml:space="preserve">believed </w:t>
      </w:r>
      <w:r w:rsidR="00B17CF0">
        <w:t xml:space="preserve">to be the first legislation to </w:t>
      </w:r>
      <w:r w:rsidR="0011233D">
        <w:t xml:space="preserve">define </w:t>
      </w:r>
      <w:r w:rsidR="00B17CF0">
        <w:t>dark patterns</w:t>
      </w:r>
      <w:r w:rsidR="0011233D">
        <w:t xml:space="preserve"> as</w:t>
      </w:r>
      <w:r w:rsidR="00B17CF0">
        <w:t xml:space="preserve"> “a user interface designed or manipulated with the substantial effect of subverting or impairing user autonomy, decision-making, or choice, as further defined by regulation</w:t>
      </w:r>
      <w:r>
        <w:t>.</w:t>
      </w:r>
      <w:r w:rsidR="00B17CF0">
        <w:t>”</w:t>
      </w:r>
      <w:r>
        <w:rPr>
          <w:rStyle w:val="EndnoteReference"/>
        </w:rPr>
        <w:endnoteReference w:id="278"/>
      </w:r>
    </w:p>
    <w:p w14:paraId="77696189" w14:textId="30FE2F0C" w:rsidR="00B17CF0" w:rsidRDefault="004D3D3E" w:rsidP="00470F77">
      <w:pPr>
        <w:pStyle w:val="ListParagraph"/>
        <w:numPr>
          <w:ilvl w:val="0"/>
          <w:numId w:val="57"/>
        </w:numPr>
      </w:pPr>
      <w:r>
        <w:t xml:space="preserve">The US federal </w:t>
      </w:r>
      <w:r w:rsidR="00B17CF0" w:rsidRPr="004D3D3E">
        <w:rPr>
          <w:i/>
          <w:iCs/>
        </w:rPr>
        <w:t>Deceptive Experiences To Online Users Reduction</w:t>
      </w:r>
      <w:r w:rsidR="00B17CF0">
        <w:t xml:space="preserve"> (DETOUR</w:t>
      </w:r>
      <w:r>
        <w:t xml:space="preserve"> 2019</w:t>
      </w:r>
      <w:r w:rsidR="00B17CF0">
        <w:t>)</w:t>
      </w:r>
      <w:r>
        <w:t xml:space="preserve"> is tabled legislation and </w:t>
      </w:r>
      <w:r w:rsidR="00B17CF0">
        <w:t>the first proposed in the US</w:t>
      </w:r>
      <w:r>
        <w:t xml:space="preserve">. It </w:t>
      </w:r>
      <w:r w:rsidR="00B17CF0">
        <w:t xml:space="preserve">would make </w:t>
      </w:r>
      <w:r>
        <w:t xml:space="preserve">it </w:t>
      </w:r>
      <w:r w:rsidR="00B17CF0">
        <w:t>unlawful for any large online platform “to design, modify, or manipulate a user interface with the purpose or substantial effect of obscuring, subverting, or impairing user autonomy, decision-making, or choice to obtain consent or user data”.</w:t>
      </w:r>
    </w:p>
    <w:p w14:paraId="65AB2BE7" w14:textId="4A0EC04C" w:rsidR="008411A1" w:rsidRDefault="00AB6BEA" w:rsidP="003B0E35">
      <w:r>
        <w:t>Th</w:t>
      </w:r>
      <w:r w:rsidR="004D3D3E">
        <w:t>ese</w:t>
      </w:r>
      <w:r>
        <w:t xml:space="preserve"> approach</w:t>
      </w:r>
      <w:r w:rsidR="004D3D3E">
        <w:t>es</w:t>
      </w:r>
      <w:r>
        <w:t xml:space="preserve"> </w:t>
      </w:r>
      <w:r w:rsidR="004D3D3E">
        <w:t>are</w:t>
      </w:r>
      <w:r>
        <w:t xml:space="preserve"> </w:t>
      </w:r>
      <w:r w:rsidR="0011233D">
        <w:t xml:space="preserve">consistent with the </w:t>
      </w:r>
      <w:r>
        <w:t>CPA</w:t>
      </w:r>
      <w:r w:rsidR="0011233D">
        <w:t>.</w:t>
      </w:r>
      <w:r w:rsidR="009E0094">
        <w:t xml:space="preserve"> </w:t>
      </w:r>
      <w:r w:rsidR="0011233D">
        <w:t xml:space="preserve">Many high-risk or </w:t>
      </w:r>
      <w:r>
        <w:t xml:space="preserve">coercive </w:t>
      </w:r>
      <w:r w:rsidR="0011233D">
        <w:t xml:space="preserve">commercial activities </w:t>
      </w:r>
      <w:r>
        <w:t xml:space="preserve">– such as door-to-door sales and tow-trucking – are </w:t>
      </w:r>
      <w:r w:rsidR="0011233D">
        <w:t xml:space="preserve">subject to </w:t>
      </w:r>
      <w:r>
        <w:t xml:space="preserve">specific legislative and regulatory </w:t>
      </w:r>
      <w:r w:rsidR="0011233D">
        <w:t xml:space="preserve">consumer protections </w:t>
      </w:r>
      <w:r>
        <w:t>in the CPA</w:t>
      </w:r>
      <w:r w:rsidR="0011233D">
        <w:t>.</w:t>
      </w:r>
    </w:p>
    <w:p w14:paraId="32F3FD73" w14:textId="6450C75F" w:rsidR="003B0E35" w:rsidRPr="00594CA4" w:rsidRDefault="00594CA4" w:rsidP="003B0E35">
      <w:pPr>
        <w:rPr>
          <w:b/>
          <w:bCs/>
          <w:highlight w:val="lightGray"/>
        </w:rPr>
      </w:pPr>
      <w:r w:rsidRPr="00594CA4">
        <w:rPr>
          <w:b/>
          <w:bCs/>
          <w:highlight w:val="lightGray"/>
        </w:rPr>
        <w:t>Sidebar: Consultation Questions: Regulating Dark Patterns</w:t>
      </w:r>
    </w:p>
    <w:p w14:paraId="710F1D04" w14:textId="77777777" w:rsidR="00594CA4" w:rsidRPr="00594CA4" w:rsidRDefault="00594CA4" w:rsidP="00594CA4">
      <w:pPr>
        <w:spacing w:line="256" w:lineRule="auto"/>
        <w:ind w:left="1440" w:hanging="1440"/>
        <w:rPr>
          <w:rFonts w:ascii="Calibri" w:eastAsia="Calibri" w:hAnsi="Calibri" w:cs="Times New Roman"/>
          <w:i/>
          <w:iCs/>
          <w:highlight w:val="lightGray"/>
        </w:rPr>
      </w:pPr>
      <w:r w:rsidRPr="00594CA4">
        <w:rPr>
          <w:rFonts w:ascii="Calibri" w:eastAsia="Calibri" w:hAnsi="Calibri" w:cs="Times New Roman"/>
          <w:i/>
          <w:iCs/>
          <w:szCs w:val="21"/>
          <w:highlight w:val="lightGray"/>
        </w:rPr>
        <w:t xml:space="preserve">Question 9: </w:t>
      </w:r>
      <w:r w:rsidRPr="00594CA4">
        <w:rPr>
          <w:rFonts w:ascii="Calibri" w:eastAsia="Calibri" w:hAnsi="Calibri" w:cs="Times New Roman"/>
          <w:i/>
          <w:iCs/>
          <w:szCs w:val="21"/>
          <w:highlight w:val="lightGray"/>
        </w:rPr>
        <w:tab/>
        <w:t xml:space="preserve">Should Ontario’s consumers have more protections against “dark patterns” in the digital marketplace?  </w:t>
      </w:r>
      <w:r w:rsidRPr="00594CA4">
        <w:rPr>
          <w:rFonts w:ascii="Calibri" w:eastAsia="Calibri" w:hAnsi="Calibri" w:cs="Times New Roman"/>
          <w:i/>
          <w:iCs/>
          <w:highlight w:val="lightGray"/>
        </w:rPr>
        <w:t xml:space="preserve">If so, should the CPA be amended to prohibit these practices?  How would “dark pattern” practices be defined in the CPA?  </w:t>
      </w:r>
    </w:p>
    <w:p w14:paraId="6BD9091A" w14:textId="77777777" w:rsidR="00594CA4" w:rsidRPr="00594CA4" w:rsidRDefault="00594CA4" w:rsidP="00594CA4">
      <w:pPr>
        <w:spacing w:line="256" w:lineRule="auto"/>
        <w:ind w:left="1440" w:hanging="1440"/>
        <w:rPr>
          <w:rFonts w:ascii="Calibri" w:eastAsia="Calibri" w:hAnsi="Calibri" w:cs="Times New Roman"/>
          <w:i/>
          <w:iCs/>
          <w:szCs w:val="21"/>
          <w:highlight w:val="lightGray"/>
        </w:rPr>
      </w:pPr>
      <w:r w:rsidRPr="00594CA4">
        <w:rPr>
          <w:rFonts w:ascii="Calibri" w:eastAsia="Calibri" w:hAnsi="Calibri" w:cs="Times New Roman"/>
          <w:i/>
          <w:iCs/>
          <w:szCs w:val="21"/>
          <w:highlight w:val="lightGray"/>
        </w:rPr>
        <w:t>Question 10:</w:t>
      </w:r>
      <w:r w:rsidRPr="00594CA4">
        <w:rPr>
          <w:rFonts w:ascii="Calibri" w:eastAsia="Calibri" w:hAnsi="Calibri" w:cs="Times New Roman"/>
          <w:i/>
          <w:iCs/>
          <w:highlight w:val="lightGray"/>
        </w:rPr>
        <w:tab/>
        <w:t>In addition to a statutory definition, should the CPA be amended to include a list of “</w:t>
      </w:r>
      <w:r w:rsidRPr="00594CA4">
        <w:rPr>
          <w:rFonts w:ascii="Calibri" w:eastAsia="Calibri" w:hAnsi="Calibri" w:cs="Times New Roman"/>
          <w:i/>
          <w:iCs/>
          <w:szCs w:val="21"/>
          <w:highlight w:val="lightGray"/>
        </w:rPr>
        <w:t>dark pattern” practices that should be prohibited or proscribed?  If so, which practices should be identified?</w:t>
      </w:r>
    </w:p>
    <w:p w14:paraId="5151732B" w14:textId="5B998253" w:rsidR="003B0E35" w:rsidRDefault="00594CA4" w:rsidP="00594CA4">
      <w:pPr>
        <w:spacing w:after="0" w:line="240" w:lineRule="auto"/>
        <w:ind w:left="1440" w:hanging="1440"/>
        <w:rPr>
          <w:rFonts w:ascii="Calibri" w:eastAsia="Calibri" w:hAnsi="Calibri" w:cs="Times New Roman"/>
          <w:i/>
          <w:iCs/>
          <w:szCs w:val="21"/>
        </w:rPr>
      </w:pPr>
      <w:r w:rsidRPr="00594CA4">
        <w:rPr>
          <w:rFonts w:ascii="Calibri" w:eastAsia="Calibri" w:hAnsi="Calibri" w:cs="Times New Roman"/>
          <w:i/>
          <w:iCs/>
          <w:szCs w:val="21"/>
          <w:highlight w:val="lightGray"/>
        </w:rPr>
        <w:t>Question 11:</w:t>
      </w:r>
      <w:r w:rsidRPr="00594CA4">
        <w:rPr>
          <w:rFonts w:ascii="Calibri" w:eastAsia="Calibri" w:hAnsi="Calibri" w:cs="Times New Roman"/>
          <w:i/>
          <w:iCs/>
          <w:szCs w:val="21"/>
          <w:highlight w:val="lightGray"/>
        </w:rPr>
        <w:tab/>
        <w:t>What other reforms or initiatives should be adopted to improve consumer protections in this area?</w:t>
      </w:r>
    </w:p>
    <w:p w14:paraId="509969A7" w14:textId="5BC5A750" w:rsidR="00224B25" w:rsidRDefault="00224B25">
      <w:pPr>
        <w:rPr>
          <w:rFonts w:ascii="Calibri" w:eastAsia="Calibri" w:hAnsi="Calibri" w:cs="Times New Roman"/>
          <w:i/>
          <w:iCs/>
          <w:szCs w:val="21"/>
        </w:rPr>
      </w:pPr>
      <w:r>
        <w:rPr>
          <w:rFonts w:ascii="Calibri" w:eastAsia="Calibri" w:hAnsi="Calibri" w:cs="Times New Roman"/>
          <w:i/>
          <w:iCs/>
          <w:szCs w:val="21"/>
        </w:rPr>
        <w:br w:type="page"/>
      </w:r>
    </w:p>
    <w:p w14:paraId="02A7A0FF" w14:textId="71805EEF" w:rsidR="007C7287" w:rsidRDefault="007C7287" w:rsidP="00470F77">
      <w:pPr>
        <w:pStyle w:val="Heading1"/>
        <w:numPr>
          <w:ilvl w:val="0"/>
          <w:numId w:val="65"/>
        </w:numPr>
      </w:pPr>
      <w:bookmarkStart w:id="85" w:name="_Toc138151863"/>
      <w:r>
        <w:lastRenderedPageBreak/>
        <w:t xml:space="preserve">Better Consumer </w:t>
      </w:r>
      <w:r w:rsidR="009B0B46">
        <w:t>Protections</w:t>
      </w:r>
      <w:r>
        <w:t xml:space="preserve"> for Youth and Vulnerable Consumers</w:t>
      </w:r>
      <w:bookmarkEnd w:id="85"/>
    </w:p>
    <w:p w14:paraId="262308D5" w14:textId="77777777" w:rsidR="007C7287" w:rsidRPr="007C7287" w:rsidRDefault="007C7287" w:rsidP="007A41A0"/>
    <w:p w14:paraId="35F28FCF" w14:textId="70CF5CE1" w:rsidR="00F1538C" w:rsidRDefault="00EC657A" w:rsidP="0032293E">
      <w:pPr>
        <w:spacing w:after="0"/>
      </w:pPr>
      <w:r>
        <w:t xml:space="preserve">Research and experience demonstrate </w:t>
      </w:r>
      <w:r w:rsidR="0032293E">
        <w:t xml:space="preserve">that </w:t>
      </w:r>
      <w:r w:rsidR="00D82F2E">
        <w:t xml:space="preserve">notice and disclosure of a ToS </w:t>
      </w:r>
      <w:r w:rsidRPr="00407609">
        <w:t xml:space="preserve">“wall of text” </w:t>
      </w:r>
      <w:r w:rsidR="0032293E">
        <w:t xml:space="preserve">often prevent </w:t>
      </w:r>
      <w:r>
        <w:t xml:space="preserve">vulnerable </w:t>
      </w:r>
      <w:r w:rsidRPr="00407609">
        <w:t xml:space="preserve">consumers </w:t>
      </w:r>
      <w:r w:rsidR="0032293E">
        <w:t>from accessing or understanding contractual terms and conditions</w:t>
      </w:r>
      <w:r w:rsidRPr="00407609">
        <w:t>.</w:t>
      </w:r>
      <w:r w:rsidR="00D82F2E">
        <w:rPr>
          <w:rStyle w:val="EndnoteReference"/>
        </w:rPr>
        <w:endnoteReference w:id="279"/>
      </w:r>
      <w:r>
        <w:t xml:space="preserve"> </w:t>
      </w:r>
      <w:r w:rsidR="0032293E">
        <w:t>Such v</w:t>
      </w:r>
      <w:r w:rsidR="008D69C8">
        <w:t xml:space="preserve">ulnerabilities </w:t>
      </w:r>
      <w:r w:rsidR="0032293E">
        <w:t xml:space="preserve">have been identified due to </w:t>
      </w:r>
    </w:p>
    <w:p w14:paraId="5E04F576" w14:textId="77777777" w:rsidR="00F1538C" w:rsidRDefault="00F1538C" w:rsidP="0032293E">
      <w:pPr>
        <w:spacing w:after="0"/>
      </w:pPr>
    </w:p>
    <w:p w14:paraId="5B03D0D4" w14:textId="385C42E2" w:rsidR="008D69C8" w:rsidRPr="008546ED" w:rsidRDefault="00F1538C" w:rsidP="008546ED">
      <w:pPr>
        <w:spacing w:after="0"/>
        <w:ind w:left="720"/>
        <w:rPr>
          <w:i/>
          <w:iCs/>
        </w:rPr>
      </w:pPr>
      <w:r>
        <w:rPr>
          <w:i/>
          <w:iCs/>
        </w:rPr>
        <w:t>…</w:t>
      </w:r>
      <w:r w:rsidR="008D69C8" w:rsidRPr="008546ED">
        <w:rPr>
          <w:i/>
          <w:iCs/>
        </w:rPr>
        <w:t>age, race, ethnicity or gender; low education or literacy; limitations with the native language; mental health problems; physical disabilities; geographical remoteness/living in a low-density region; unemployment or low income.</w:t>
      </w:r>
      <w:r w:rsidR="008D69C8" w:rsidRPr="008546ED">
        <w:rPr>
          <w:rStyle w:val="EndnoteReference"/>
          <w:i/>
          <w:iCs/>
        </w:rPr>
        <w:endnoteReference w:id="280"/>
      </w:r>
      <w:r w:rsidR="008D69C8" w:rsidRPr="008546ED">
        <w:rPr>
          <w:i/>
          <w:iCs/>
        </w:rPr>
        <w:t xml:space="preserve"> </w:t>
      </w:r>
    </w:p>
    <w:p w14:paraId="12ACDEFB" w14:textId="77777777" w:rsidR="008D69C8" w:rsidRPr="008546ED" w:rsidRDefault="008D69C8" w:rsidP="00EC657A">
      <w:pPr>
        <w:spacing w:after="0"/>
        <w:rPr>
          <w:i/>
          <w:iCs/>
        </w:rPr>
      </w:pPr>
    </w:p>
    <w:p w14:paraId="070D8143" w14:textId="14182738" w:rsidR="008D69C8" w:rsidRDefault="008D69C8" w:rsidP="00EC657A">
      <w:pPr>
        <w:spacing w:after="0"/>
      </w:pPr>
      <w:r>
        <w:t xml:space="preserve">The OECD </w:t>
      </w:r>
      <w:r w:rsidR="0032293E">
        <w:t xml:space="preserve">has stated </w:t>
      </w:r>
      <w:r>
        <w:t>that:</w:t>
      </w:r>
    </w:p>
    <w:p w14:paraId="45762A0E" w14:textId="77777777" w:rsidR="008D69C8" w:rsidRDefault="008D69C8" w:rsidP="00EC657A">
      <w:pPr>
        <w:spacing w:after="0"/>
      </w:pPr>
    </w:p>
    <w:p w14:paraId="4686A06C" w14:textId="124C589D" w:rsidR="008D69C8" w:rsidRPr="007A41A0" w:rsidRDefault="00065560" w:rsidP="007A41A0">
      <w:pPr>
        <w:pStyle w:val="Quote"/>
        <w:jc w:val="left"/>
        <w:rPr>
          <w:i/>
          <w:iCs/>
        </w:rPr>
      </w:pPr>
      <w:r>
        <w:rPr>
          <w:i/>
          <w:iCs/>
        </w:rPr>
        <w:t>“</w:t>
      </w:r>
      <w:r w:rsidR="008D69C8" w:rsidRPr="1F5E9E68">
        <w:rPr>
          <w:i/>
          <w:iCs/>
        </w:rPr>
        <w:t>Vulnerable consumers” are consumers who are susceptible to detriment at a particular point in time, owing to the characteristics of the market for a particular product, the product’s qualities, the nature of a transaction or the consumer’s attributes or circumstances.</w:t>
      </w:r>
      <w:r w:rsidR="008D69C8" w:rsidRPr="1F5E9E68">
        <w:rPr>
          <w:rStyle w:val="EndnoteReference"/>
          <w:i/>
          <w:iCs/>
        </w:rPr>
        <w:endnoteReference w:id="281"/>
      </w:r>
    </w:p>
    <w:p w14:paraId="2CF10384" w14:textId="77777777" w:rsidR="00C950FD" w:rsidRDefault="00C950FD" w:rsidP="00C950FD"/>
    <w:p w14:paraId="07486597" w14:textId="0EC25841" w:rsidR="00C950FD" w:rsidRDefault="00C950FD" w:rsidP="00C950FD">
      <w:r>
        <w:t xml:space="preserve">ToS contracts present a challenge for many other </w:t>
      </w:r>
      <w:r w:rsidR="00065560">
        <w:t>consumers</w:t>
      </w:r>
      <w:r>
        <w:t xml:space="preserve"> too. A</w:t>
      </w:r>
      <w:r w:rsidRPr="00D8535C">
        <w:t xml:space="preserve"> recent</w:t>
      </w:r>
      <w:r w:rsidR="00065560">
        <w:t xml:space="preserve"> national</w:t>
      </w:r>
      <w:r w:rsidRPr="00D8535C">
        <w:t xml:space="preserve"> literacy survey </w:t>
      </w:r>
      <w:r>
        <w:t xml:space="preserve">found that over </w:t>
      </w:r>
      <w:r w:rsidRPr="00D8535C">
        <w:t>half of Americans may struggle to comprehend dense, lengthy texts</w:t>
      </w:r>
      <w:r>
        <w:t xml:space="preserve"> that typify many ToS contracts.</w:t>
      </w:r>
      <w:r>
        <w:rPr>
          <w:rStyle w:val="EndnoteReference"/>
        </w:rPr>
        <w:endnoteReference w:id="282"/>
      </w:r>
    </w:p>
    <w:p w14:paraId="63845D93" w14:textId="77777777" w:rsidR="00E05AE5" w:rsidRDefault="00E05AE5" w:rsidP="00E05AE5">
      <w:pPr>
        <w:spacing w:after="0"/>
      </w:pPr>
    </w:p>
    <w:p w14:paraId="4CD5E5AA" w14:textId="50C05CBA" w:rsidR="00E05AE5" w:rsidRDefault="00E05AE5" w:rsidP="00E05AE5">
      <w:pPr>
        <w:spacing w:after="0"/>
      </w:pPr>
      <w:r>
        <w:t xml:space="preserve">The CPA addresses vulnerable consumers in two sections. </w:t>
      </w:r>
    </w:p>
    <w:p w14:paraId="44D87862" w14:textId="77777777" w:rsidR="00E05AE5" w:rsidRDefault="00E05AE5" w:rsidP="00E05AE5">
      <w:pPr>
        <w:spacing w:after="0"/>
      </w:pPr>
    </w:p>
    <w:p w14:paraId="3F8F2856" w14:textId="77777777" w:rsidR="00E05AE5" w:rsidRDefault="00E05AE5" w:rsidP="00E05AE5">
      <w:pPr>
        <w:pStyle w:val="ListParagraph"/>
        <w:numPr>
          <w:ilvl w:val="0"/>
          <w:numId w:val="64"/>
        </w:numPr>
        <w:spacing w:after="0"/>
      </w:pPr>
      <w:r>
        <w:t>Section 5 states that where a supplier is required to disclose information, the disclosure must be “</w:t>
      </w:r>
      <w:r w:rsidRPr="00EF619E">
        <w:t>clear, comprehensible and prominent</w:t>
      </w:r>
      <w:r>
        <w:t>.”</w:t>
      </w:r>
      <w:r>
        <w:rPr>
          <w:rStyle w:val="EndnoteReference"/>
        </w:rPr>
        <w:endnoteReference w:id="283"/>
      </w:r>
    </w:p>
    <w:p w14:paraId="720B31D2" w14:textId="77777777" w:rsidR="00E05AE5" w:rsidRDefault="00E05AE5" w:rsidP="00E05AE5">
      <w:pPr>
        <w:pStyle w:val="ListParagraph"/>
        <w:numPr>
          <w:ilvl w:val="0"/>
          <w:numId w:val="64"/>
        </w:numPr>
        <w:spacing w:after="0"/>
      </w:pPr>
      <w:r>
        <w:t xml:space="preserve">Section 15(2) states that a supplier will make an “unconscionable representation” where a </w:t>
      </w:r>
      <w:r w:rsidRPr="00A20DDD">
        <w:t xml:space="preserve">consumer is </w:t>
      </w:r>
      <w:r>
        <w:t>“</w:t>
      </w:r>
      <w:r w:rsidRPr="00A20DDD">
        <w:t>not reasonably able to protect his or her interests because of disability, ignorance, illiteracy, inability to understand the language of an agreement or similar factors</w:t>
      </w:r>
      <w:r>
        <w:t>.”</w:t>
      </w:r>
      <w:r>
        <w:rPr>
          <w:rStyle w:val="EndnoteReference"/>
        </w:rPr>
        <w:endnoteReference w:id="284"/>
      </w:r>
      <w:r>
        <w:t xml:space="preserve"> </w:t>
      </w:r>
    </w:p>
    <w:p w14:paraId="3283498A" w14:textId="77777777" w:rsidR="00E05AE5" w:rsidRDefault="00E05AE5" w:rsidP="00E05AE5"/>
    <w:p w14:paraId="71A8FD89" w14:textId="77777777" w:rsidR="00E05AE5" w:rsidRDefault="00E05AE5" w:rsidP="00E05AE5">
      <w:r>
        <w:t xml:space="preserve"> These sections are potentially important protections for youth or vulnerable consumers in the digital marketplace. Unfortunately, they are also unclear. For example, </w:t>
      </w:r>
    </w:p>
    <w:p w14:paraId="7B1358C4" w14:textId="77777777" w:rsidR="00E05AE5" w:rsidRDefault="00E05AE5" w:rsidP="00E05AE5">
      <w:pPr>
        <w:pStyle w:val="ListParagraph"/>
        <w:numPr>
          <w:ilvl w:val="0"/>
          <w:numId w:val="25"/>
        </w:numPr>
      </w:pPr>
      <w:r>
        <w:t xml:space="preserve">Neither the Act, regulations, policy guidance, nor caselaw identify what formats, languages, or features would fulfill CPA s. 5’s “comprehensibility” requirement. </w:t>
      </w:r>
    </w:p>
    <w:p w14:paraId="30415BE7" w14:textId="77777777" w:rsidR="00E05AE5" w:rsidRDefault="00E05AE5" w:rsidP="00E05AE5">
      <w:pPr>
        <w:pStyle w:val="ListParagraph"/>
        <w:numPr>
          <w:ilvl w:val="0"/>
          <w:numId w:val="25"/>
        </w:numPr>
      </w:pPr>
      <w:r>
        <w:t xml:space="preserve">There is no caselaw or legal/policy guidance interpreting CPA s.15(2). </w:t>
      </w:r>
    </w:p>
    <w:p w14:paraId="566F7AC4" w14:textId="77777777" w:rsidR="00E05AE5" w:rsidRDefault="00E05AE5" w:rsidP="00E05AE5">
      <w:pPr>
        <w:pStyle w:val="ListParagraph"/>
        <w:numPr>
          <w:ilvl w:val="0"/>
          <w:numId w:val="25"/>
        </w:numPr>
      </w:pPr>
      <w:r>
        <w:t xml:space="preserve">A consumer’s youth or age is not listed as a factor in s. 15(2). </w:t>
      </w:r>
    </w:p>
    <w:p w14:paraId="5510ED36" w14:textId="3F0C8556" w:rsidR="008D582E" w:rsidRDefault="00E05AE5" w:rsidP="00E05AE5">
      <w:pPr>
        <w:pStyle w:val="Quote"/>
        <w:ind w:left="0"/>
      </w:pPr>
      <w:r>
        <w:t>These sections could be updated to better protect young and vulnerable consumers.</w:t>
      </w:r>
    </w:p>
    <w:p w14:paraId="5E64156C" w14:textId="4096CC17" w:rsidR="00E05AE5" w:rsidRDefault="00E05AE5" w:rsidP="00E05AE5"/>
    <w:p w14:paraId="742071DB" w14:textId="6FA5650C" w:rsidR="00E05AE5" w:rsidRPr="00E05AE5" w:rsidRDefault="00E05AE5" w:rsidP="008546ED">
      <w:r>
        <w:t xml:space="preserve">The discussion below focuses on contracting with two vulnerable groups: youth and the elderly. In this consultation, the LCO is very interested in engaging with </w:t>
      </w:r>
      <w:r w:rsidR="002A0187">
        <w:t xml:space="preserve">these and </w:t>
      </w:r>
      <w:r>
        <w:t xml:space="preserve">other vulnerable groups to learn more about their experience with digital marketplace ToS.  </w:t>
      </w:r>
    </w:p>
    <w:p w14:paraId="40B4D412" w14:textId="77777777" w:rsidR="00C950FD" w:rsidRDefault="00C950FD" w:rsidP="008D582E">
      <w:pPr>
        <w:pStyle w:val="Quote"/>
        <w:ind w:left="0" w:right="4"/>
        <w:jc w:val="left"/>
        <w:rPr>
          <w:b/>
          <w:bCs/>
          <w:i/>
          <w:iCs/>
        </w:rPr>
      </w:pPr>
    </w:p>
    <w:p w14:paraId="64E0059F" w14:textId="19604EA7" w:rsidR="00E05AE5" w:rsidRPr="004432B7" w:rsidRDefault="004432B7" w:rsidP="008546ED">
      <w:pPr>
        <w:pStyle w:val="Heading2"/>
      </w:pPr>
      <w:bookmarkStart w:id="86" w:name="_Toc138151864"/>
      <w:r>
        <w:lastRenderedPageBreak/>
        <w:t>9.2</w:t>
      </w:r>
      <w:r>
        <w:tab/>
      </w:r>
      <w:r w:rsidR="002A0187" w:rsidRPr="004432B7">
        <w:t>Youth and ToS</w:t>
      </w:r>
      <w:bookmarkEnd w:id="86"/>
    </w:p>
    <w:p w14:paraId="3CE800B9" w14:textId="77777777" w:rsidR="002A0187" w:rsidRPr="002A0187" w:rsidRDefault="002A0187" w:rsidP="008546ED"/>
    <w:p w14:paraId="3DABEB8B" w14:textId="076303BD" w:rsidR="008D582E" w:rsidRDefault="00EC657A" w:rsidP="008D582E">
      <w:pPr>
        <w:pStyle w:val="Quote"/>
        <w:ind w:left="0" w:right="4"/>
        <w:jc w:val="left"/>
      </w:pPr>
      <w:r>
        <w:t>Children and minors present unique and important ToS issues.</w:t>
      </w:r>
      <w:r w:rsidR="009E0094">
        <w:t xml:space="preserve"> </w:t>
      </w:r>
      <w:r>
        <w:t>Children and minors are among the heaviest users of digital marketplace products and services.</w:t>
      </w:r>
      <w:r>
        <w:rPr>
          <w:rStyle w:val="EndnoteReference"/>
        </w:rPr>
        <w:endnoteReference w:id="285"/>
      </w:r>
      <w:r>
        <w:t xml:space="preserve"> At present, it appears many ToS agreements do not </w:t>
      </w:r>
      <w:r w:rsidR="00E635C7">
        <w:t xml:space="preserve">effectively </w:t>
      </w:r>
      <w:r>
        <w:t>address the vulnerabilities of youth.</w:t>
      </w:r>
      <w:r>
        <w:rPr>
          <w:rStyle w:val="EndnoteReference"/>
        </w:rPr>
        <w:endnoteReference w:id="286"/>
      </w:r>
      <w:r w:rsidR="009E0094">
        <w:t xml:space="preserve"> </w:t>
      </w:r>
      <w:r w:rsidR="00934E66">
        <w:t xml:space="preserve">Notwithstanding the fact that businesses take on a risk when contracting with anyone under 18 years old, some </w:t>
      </w:r>
      <w:r>
        <w:t xml:space="preserve">commentators believe that some businesses </w:t>
      </w:r>
      <w:r w:rsidR="00E635C7">
        <w:t xml:space="preserve">go further, and may </w:t>
      </w:r>
      <w:r>
        <w:t xml:space="preserve">violate </w:t>
      </w:r>
      <w:r w:rsidR="002A0187">
        <w:t xml:space="preserve">commitments made in their </w:t>
      </w:r>
      <w:r>
        <w:t>own ToS</w:t>
      </w:r>
      <w:r w:rsidR="002A0187">
        <w:t xml:space="preserve">, </w:t>
      </w:r>
      <w:r w:rsidR="00E635C7">
        <w:t>or</w:t>
      </w:r>
      <w:r>
        <w:t xml:space="preserve"> intentionally target children </w:t>
      </w:r>
      <w:r w:rsidR="002A0187">
        <w:t>by making their</w:t>
      </w:r>
      <w:r>
        <w:t xml:space="preserve"> products more addictive.</w:t>
      </w:r>
      <w:r>
        <w:rPr>
          <w:rStyle w:val="EndnoteReference"/>
        </w:rPr>
        <w:endnoteReference w:id="287"/>
      </w:r>
    </w:p>
    <w:p w14:paraId="20969118" w14:textId="77777777" w:rsidR="008D582E" w:rsidRDefault="008D582E" w:rsidP="008D582E">
      <w:pPr>
        <w:pStyle w:val="Quote"/>
        <w:ind w:left="0" w:right="4"/>
        <w:jc w:val="left"/>
      </w:pPr>
    </w:p>
    <w:p w14:paraId="04985EE6" w14:textId="338C70FB" w:rsidR="00EC657A" w:rsidRDefault="00C45899" w:rsidP="1F5E9E68">
      <w:r>
        <w:t>M</w:t>
      </w:r>
      <w:r w:rsidR="00EC657A">
        <w:t xml:space="preserve">any current ToS largely reflect adult conventions. Some </w:t>
      </w:r>
      <w:r w:rsidR="00C05D6C">
        <w:t xml:space="preserve">ToS specify </w:t>
      </w:r>
      <w:r w:rsidR="00EC657A">
        <w:t xml:space="preserve">a minimum age for use (often 13), while others require the person </w:t>
      </w:r>
      <w:r w:rsidR="00C05D6C">
        <w:t xml:space="preserve">to have the </w:t>
      </w:r>
      <w:r w:rsidR="00EC657A">
        <w:t>maturity to understand and consent to the ToS.</w:t>
      </w:r>
      <w:r w:rsidR="00D82F2E">
        <w:rPr>
          <w:rStyle w:val="EndnoteReference"/>
        </w:rPr>
        <w:endnoteReference w:id="288"/>
      </w:r>
      <w:r w:rsidR="00EC657A">
        <w:t xml:space="preserve"> </w:t>
      </w:r>
      <w:r w:rsidR="00C05D6C">
        <w:t>Still o</w:t>
      </w:r>
      <w:r w:rsidR="00EC657A">
        <w:t xml:space="preserve">thers may require </w:t>
      </w:r>
      <w:r w:rsidR="57FDB21C">
        <w:t xml:space="preserve">that </w:t>
      </w:r>
      <w:r w:rsidR="00EC657A">
        <w:t>“</w:t>
      </w:r>
      <w:r w:rsidR="6246ABB7">
        <w:t>a</w:t>
      </w:r>
      <w:r w:rsidR="00EC657A" w:rsidRPr="007710EA">
        <w:t xml:space="preserve"> parent or legal guardian who is creating an account for a child under the age of majority should review this Agreement with the child to ensure that they both understand it</w:t>
      </w:r>
      <w:r w:rsidR="00EC657A">
        <w:t>.”</w:t>
      </w:r>
      <w:r w:rsidR="00EC657A">
        <w:rPr>
          <w:rStyle w:val="EndnoteReference"/>
        </w:rPr>
        <w:endnoteReference w:id="289"/>
      </w:r>
      <w:r w:rsidR="00EC657A">
        <w:t xml:space="preserve"> </w:t>
      </w:r>
      <w:r w:rsidR="00EC657A" w:rsidRPr="1F5E9E68">
        <w:t xml:space="preserve">These provisions are problematic because many ToS contracts are </w:t>
      </w:r>
      <w:r w:rsidR="00CD0D5B" w:rsidRPr="1F5E9E68">
        <w:t xml:space="preserve">already </w:t>
      </w:r>
      <w:r w:rsidR="00EC657A" w:rsidRPr="1F5E9E68">
        <w:t xml:space="preserve">too long or complicated for </w:t>
      </w:r>
      <w:r w:rsidR="00EC657A" w:rsidRPr="1F5E9E68">
        <w:rPr>
          <w:i/>
          <w:iCs/>
        </w:rPr>
        <w:t>adults</w:t>
      </w:r>
      <w:r w:rsidR="00EC657A" w:rsidRPr="1F5E9E68">
        <w:t xml:space="preserve">, meaning it may be effectively impossible to summarize </w:t>
      </w:r>
      <w:r w:rsidR="00CD0D5B" w:rsidRPr="1F5E9E68">
        <w:t xml:space="preserve">ToS </w:t>
      </w:r>
      <w:r w:rsidR="00EC657A" w:rsidRPr="1F5E9E68">
        <w:t xml:space="preserve">for children. </w:t>
      </w:r>
      <w:r w:rsidR="00CD0D5B" w:rsidRPr="1F5E9E68">
        <w:t xml:space="preserve">It is also problematic to shift </w:t>
      </w:r>
      <w:r w:rsidR="00EC657A" w:rsidRPr="1F5E9E68">
        <w:t>ToS enforcement and consent responsibilities to parents</w:t>
      </w:r>
      <w:r w:rsidR="002A0187">
        <w:t xml:space="preserve"> who face an additional array of coercive circumstances</w:t>
      </w:r>
      <w:r w:rsidR="00EC657A" w:rsidRPr="1F5E9E68">
        <w:t>.</w:t>
      </w:r>
      <w:r w:rsidR="00EC657A" w:rsidRPr="1F5E9E68">
        <w:rPr>
          <w:rStyle w:val="EndnoteReference"/>
        </w:rPr>
        <w:endnoteReference w:id="290"/>
      </w:r>
      <w:r w:rsidR="002A0187">
        <w:t xml:space="preserve"> This can include institutional pressure, such as </w:t>
      </w:r>
      <w:r w:rsidR="00BA3F99">
        <w:t xml:space="preserve">schools </w:t>
      </w:r>
      <w:r w:rsidR="002A0187">
        <w:t xml:space="preserve">requiring students to use certain platforms. It can also include social pressure, such as children wanting to </w:t>
      </w:r>
      <w:r w:rsidR="00F10A44">
        <w:t>participate with friends</w:t>
      </w:r>
      <w:r w:rsidR="002A0187">
        <w:t xml:space="preserve"> the latest popular game or social media platform.</w:t>
      </w:r>
    </w:p>
    <w:p w14:paraId="44D91F5F" w14:textId="26DFEEAB" w:rsidR="00730BFC" w:rsidRDefault="00730BFC" w:rsidP="1F5E9E68">
      <w:r>
        <w:t xml:space="preserve">Children and parents are also often caught unaware by </w:t>
      </w:r>
      <w:r w:rsidR="00F10A44">
        <w:t xml:space="preserve">consequential terms </w:t>
      </w:r>
      <w:r>
        <w:t xml:space="preserve">that may not be clear upfront. Children’s games and software may use in-game currencies, reward points, loot boxes, and other incremental mechanisms to entice small discretionary purchases that add-up, and which may not </w:t>
      </w:r>
      <w:r w:rsidR="00F10A44">
        <w:t>be apparent</w:t>
      </w:r>
      <w:r>
        <w:t xml:space="preserve"> at the time of agreeing to the ToS. </w:t>
      </w:r>
      <w:r w:rsidR="00F10A44">
        <w:t xml:space="preserve">Parents may also be surprised that </w:t>
      </w:r>
      <w:r>
        <w:t xml:space="preserve">there may be health risks to using a platform, </w:t>
      </w:r>
      <w:r w:rsidR="00F10A44">
        <w:t xml:space="preserve">as exemplified in a recent </w:t>
      </w:r>
      <w:r>
        <w:t>warning from the United States Surgeon General that social media can be a profound risk to the health of youth.</w:t>
      </w:r>
      <w:r w:rsidR="00677467">
        <w:rPr>
          <w:rStyle w:val="EndnoteReference"/>
        </w:rPr>
        <w:endnoteReference w:id="291"/>
      </w:r>
      <w:r>
        <w:t xml:space="preserve"> These kinds of </w:t>
      </w:r>
      <w:r w:rsidR="00BD5C71">
        <w:t xml:space="preserve">unexpected </w:t>
      </w:r>
      <w:r>
        <w:t xml:space="preserve">costs and risks </w:t>
      </w:r>
      <w:r w:rsidR="00D921ED">
        <w:t xml:space="preserve">question the need for </w:t>
      </w:r>
      <w:r>
        <w:t xml:space="preserve">improved </w:t>
      </w:r>
      <w:r w:rsidR="001E740B">
        <w:t xml:space="preserve">and mandatory </w:t>
      </w:r>
      <w:r>
        <w:t>forms of notice and disclosure when youth or parental consent is required. This could include new</w:t>
      </w:r>
      <w:r w:rsidR="00D921ED">
        <w:t xml:space="preserve">ly mandated </w:t>
      </w:r>
      <w:r>
        <w:t xml:space="preserve">disclosure and notice provisions requiring full-cost lifetime projections of an average users costs, as well as other identifiable piece of “key information” and “market contexts” such as health risks or the addictiveness of a product or platform (this is discussed in greater detail in </w:t>
      </w:r>
      <w:r w:rsidR="00560067">
        <w:t xml:space="preserve">section 7). </w:t>
      </w:r>
    </w:p>
    <w:p w14:paraId="647D58E5" w14:textId="3EE06158" w:rsidR="00EC657A" w:rsidRDefault="00EC657A" w:rsidP="00EC657A">
      <w:pPr>
        <w:rPr>
          <w:rFonts w:cstheme="minorHAnsi"/>
        </w:rPr>
      </w:pPr>
      <w:r>
        <w:rPr>
          <w:rFonts w:cstheme="minorHAnsi"/>
        </w:rPr>
        <w:t xml:space="preserve">As in other </w:t>
      </w:r>
      <w:r w:rsidR="006754BE">
        <w:rPr>
          <w:rFonts w:cstheme="minorHAnsi"/>
        </w:rPr>
        <w:t xml:space="preserve">jurisdictions and </w:t>
      </w:r>
      <w:r>
        <w:rPr>
          <w:rFonts w:cstheme="minorHAnsi"/>
        </w:rPr>
        <w:t>areas of consumer protection, many regulators and courts have begun to act to protect the interests of children and youth by regulating ToS in the digital marketplace:</w:t>
      </w:r>
      <w:r w:rsidR="009E0094">
        <w:rPr>
          <w:rFonts w:cstheme="minorHAnsi"/>
        </w:rPr>
        <w:t xml:space="preserve"> </w:t>
      </w:r>
    </w:p>
    <w:p w14:paraId="4E8FE83C" w14:textId="77777777" w:rsidR="00730BFC" w:rsidRDefault="00730BFC" w:rsidP="00730BFC">
      <w:pPr>
        <w:pStyle w:val="ListParagraph"/>
        <w:numPr>
          <w:ilvl w:val="0"/>
          <w:numId w:val="23"/>
        </w:numPr>
        <w:spacing w:after="0"/>
      </w:pPr>
      <w:r>
        <w:t xml:space="preserve">The US Federal Trade Commission fined Epic, developer of the popular game Fortnite, </w:t>
      </w:r>
      <w:r w:rsidRPr="00521A85">
        <w:t xml:space="preserve">penalties totalling $US520 million for Epic’s use of exploitative dark patterns, unfair terms, </w:t>
      </w:r>
      <w:r>
        <w:t xml:space="preserve">hidden costs, </w:t>
      </w:r>
      <w:r w:rsidRPr="00521A85">
        <w:t>exploitation of child privacy</w:t>
      </w:r>
      <w:r>
        <w:t>, and reprisal against parents who tried to enforce consumer rights</w:t>
      </w:r>
      <w:r w:rsidRPr="00521A85">
        <w:t>.</w:t>
      </w:r>
      <w:r w:rsidRPr="00521A85">
        <w:rPr>
          <w:rStyle w:val="EndnoteReference"/>
        </w:rPr>
        <w:endnoteReference w:id="292"/>
      </w:r>
      <w:r w:rsidRPr="00521A85">
        <w:t xml:space="preserve"> The amount includes $US245M to refund consumers.</w:t>
      </w:r>
      <w:r w:rsidRPr="00521A85">
        <w:rPr>
          <w:rStyle w:val="EndnoteReference"/>
        </w:rPr>
        <w:endnoteReference w:id="293"/>
      </w:r>
      <w:r w:rsidRPr="00521A85">
        <w:t xml:space="preserve"> </w:t>
      </w:r>
      <w:r>
        <w:t>An array of similar practices by Epic is now subject to a class action in Canada, which was certified to proceed in late 2022.</w:t>
      </w:r>
      <w:r>
        <w:rPr>
          <w:rStyle w:val="EndnoteReference"/>
        </w:rPr>
        <w:endnoteReference w:id="294"/>
      </w:r>
    </w:p>
    <w:p w14:paraId="37C84400" w14:textId="59A0950F" w:rsidR="00EC657A" w:rsidRDefault="00083947" w:rsidP="00470F77">
      <w:pPr>
        <w:pStyle w:val="ListParagraph"/>
        <w:numPr>
          <w:ilvl w:val="0"/>
          <w:numId w:val="23"/>
        </w:numPr>
      </w:pPr>
      <w:bookmarkStart w:id="88" w:name="_Hlk138065361"/>
      <w:r w:rsidRPr="1F5E9E68">
        <w:t>In 2022, r</w:t>
      </w:r>
      <w:r w:rsidR="00EC657A" w:rsidRPr="00EC123A">
        <w:t xml:space="preserve">egulators in Ireland issued a fine of </w:t>
      </w:r>
      <w:r w:rsidR="00EC657A">
        <w:t xml:space="preserve">approximately </w:t>
      </w:r>
      <w:r w:rsidR="00EC657A" w:rsidRPr="00EC123A">
        <w:t xml:space="preserve">$400 million to Meta, the social media </w:t>
      </w:r>
      <w:r w:rsidR="00EC657A">
        <w:t xml:space="preserve">company </w:t>
      </w:r>
      <w:r w:rsidR="00EC657A" w:rsidRPr="00EC123A">
        <w:t>formerly known as Facebook, for violating European data protection rules in its treatment of children’s data on Instagram</w:t>
      </w:r>
      <w:bookmarkEnd w:id="88"/>
      <w:r w:rsidR="00EC657A" w:rsidRPr="00EC123A">
        <w:t>.</w:t>
      </w:r>
      <w:r w:rsidR="00EC657A">
        <w:rPr>
          <w:rStyle w:val="EndnoteReference"/>
        </w:rPr>
        <w:endnoteReference w:id="295"/>
      </w:r>
      <w:r w:rsidR="00EC657A">
        <w:t xml:space="preserve"> </w:t>
      </w:r>
    </w:p>
    <w:p w14:paraId="18E582AD" w14:textId="1A5BAC79" w:rsidR="00EC657A" w:rsidRPr="00912E3A" w:rsidRDefault="00083947" w:rsidP="00470F77">
      <w:pPr>
        <w:pStyle w:val="ListParagraph"/>
        <w:numPr>
          <w:ilvl w:val="0"/>
          <w:numId w:val="23"/>
        </w:numPr>
        <w:rPr>
          <w:rFonts w:cstheme="minorHAnsi"/>
        </w:rPr>
      </w:pPr>
      <w:bookmarkStart w:id="90" w:name="_Hlk138065100"/>
      <w:r w:rsidRPr="1F5E9E68">
        <w:t>In 2022</w:t>
      </w:r>
      <w:r w:rsidR="000B0FAA">
        <w:t>,</w:t>
      </w:r>
      <w:r w:rsidRPr="1F5E9E68">
        <w:t xml:space="preserve"> </w:t>
      </w:r>
      <w:r w:rsidR="00EC657A">
        <w:t>Denmark’s data regulator criticized Google Classroom in part because parents have little or no ability to review its ToS. Denmark has banned Google Classroom pending a full review</w:t>
      </w:r>
      <w:r w:rsidR="00C950FD">
        <w:t xml:space="preserve"> of the sign-up and consent practices</w:t>
      </w:r>
      <w:r w:rsidR="00EC657A">
        <w:t>.</w:t>
      </w:r>
      <w:bookmarkEnd w:id="90"/>
      <w:r w:rsidRPr="1F5E9E68">
        <w:rPr>
          <w:rStyle w:val="EndnoteReference"/>
        </w:rPr>
        <w:endnoteReference w:id="296"/>
      </w:r>
    </w:p>
    <w:p w14:paraId="37D2F60C" w14:textId="2ABBCD3D" w:rsidR="00EC657A" w:rsidRPr="00912E3A" w:rsidRDefault="00F1538C" w:rsidP="00470F77">
      <w:pPr>
        <w:pStyle w:val="ListParagraph"/>
        <w:numPr>
          <w:ilvl w:val="0"/>
          <w:numId w:val="23"/>
        </w:numPr>
        <w:rPr>
          <w:rFonts w:cstheme="minorHAnsi"/>
        </w:rPr>
      </w:pPr>
      <w:r>
        <w:lastRenderedPageBreak/>
        <w:t xml:space="preserve">The </w:t>
      </w:r>
      <w:r w:rsidR="00EC657A" w:rsidRPr="1F5E9E68">
        <w:t xml:space="preserve">United Kingdom </w:t>
      </w:r>
      <w:r>
        <w:t xml:space="preserve">recently </w:t>
      </w:r>
      <w:r w:rsidR="00EC657A" w:rsidRPr="1F5E9E68">
        <w:t>introduced</w:t>
      </w:r>
      <w:r w:rsidR="00083947" w:rsidRPr="1F5E9E68">
        <w:t xml:space="preserve"> (and continues to debate)</w:t>
      </w:r>
      <w:r w:rsidR="00EC657A" w:rsidRPr="1F5E9E68">
        <w:t xml:space="preserve"> the </w:t>
      </w:r>
      <w:r w:rsidR="00EC657A" w:rsidRPr="1F5E9E68">
        <w:rPr>
          <w:i/>
          <w:iCs/>
        </w:rPr>
        <w:t>Online Safety Bill</w:t>
      </w:r>
      <w:r w:rsidR="00EC657A" w:rsidRPr="1F5E9E68">
        <w:t>.</w:t>
      </w:r>
      <w:r w:rsidR="00083947" w:rsidRPr="1F5E9E68">
        <w:rPr>
          <w:rStyle w:val="EndnoteReference"/>
        </w:rPr>
        <w:endnoteReference w:id="297"/>
      </w:r>
      <w:r w:rsidR="00083947" w:rsidRPr="1F5E9E68">
        <w:t xml:space="preserve"> </w:t>
      </w:r>
      <w:r w:rsidR="00EC657A" w:rsidRPr="1F5E9E68">
        <w:t xml:space="preserve">The Bill introduces new rules for firms hosting user-generated content and search engines. Platforms likely to be accessed by children are given a duty to protect young people using their services from harmful material such as self-harm or eating disorder content. </w:t>
      </w:r>
    </w:p>
    <w:p w14:paraId="333603FA" w14:textId="01BD7834" w:rsidR="00EC657A" w:rsidRDefault="00083947" w:rsidP="00470F77">
      <w:pPr>
        <w:pStyle w:val="ListParagraph"/>
        <w:numPr>
          <w:ilvl w:val="0"/>
          <w:numId w:val="23"/>
        </w:numPr>
      </w:pPr>
      <w:r w:rsidRPr="1F5E9E68">
        <w:t xml:space="preserve">In 2022 </w:t>
      </w:r>
      <w:r w:rsidR="00EC657A">
        <w:t xml:space="preserve">California enacted the </w:t>
      </w:r>
      <w:r w:rsidR="00EC657A" w:rsidRPr="1F5E9E68">
        <w:rPr>
          <w:i/>
          <w:iCs/>
        </w:rPr>
        <w:t>California Age-Appropriate Design Code Act</w:t>
      </w:r>
      <w:r w:rsidR="00EC657A">
        <w:t>, the first child safety legislation in the United States to impose a wide-ranging set of safeguards for users 17 and under.</w:t>
      </w:r>
      <w:r w:rsidR="00EC657A">
        <w:rPr>
          <w:rStyle w:val="EndnoteReference"/>
        </w:rPr>
        <w:endnoteReference w:id="298"/>
      </w:r>
      <w:r w:rsidR="00EA1DED">
        <w:t xml:space="preserve"> The law regulates online services</w:t>
      </w:r>
      <w:r w:rsidR="00EA1DED" w:rsidRPr="00EA1DED">
        <w:t xml:space="preserve"> that provide products, services, or features for children. It </w:t>
      </w:r>
      <w:r w:rsidR="00EA1DED">
        <w:t>mandates</w:t>
      </w:r>
      <w:r w:rsidR="00EA1DED" w:rsidRPr="00EA1DED">
        <w:t xml:space="preserve"> that privacy settings on these sites must be very high </w:t>
      </w:r>
      <w:r w:rsidR="00EA1DED">
        <w:t xml:space="preserve">by default, limits the collection of children’s precise locations, </w:t>
      </w:r>
      <w:r w:rsidR="00EA1DED" w:rsidRPr="00EA1DED">
        <w:t xml:space="preserve">and </w:t>
      </w:r>
      <w:r w:rsidR="00EA1DED">
        <w:t>requires</w:t>
      </w:r>
      <w:r w:rsidR="00EA1DED" w:rsidRPr="00EA1DED">
        <w:t xml:space="preserve"> privacy policies </w:t>
      </w:r>
      <w:r w:rsidR="00EA1DED">
        <w:t>to</w:t>
      </w:r>
      <w:r w:rsidR="00EA1DED" w:rsidRPr="00EA1DED">
        <w:t xml:space="preserve"> use language that children can understand, among other provisions.</w:t>
      </w:r>
      <w:r w:rsidR="00E776F8">
        <w:rPr>
          <w:rStyle w:val="EndnoteReference"/>
        </w:rPr>
        <w:endnoteReference w:id="299"/>
      </w:r>
    </w:p>
    <w:p w14:paraId="583048D2" w14:textId="2D9DA8D9" w:rsidR="00CD0D5B" w:rsidRDefault="00C45899" w:rsidP="00470F77">
      <w:pPr>
        <w:pStyle w:val="ListParagraph"/>
        <w:numPr>
          <w:ilvl w:val="0"/>
          <w:numId w:val="51"/>
        </w:numPr>
      </w:pPr>
      <w:r>
        <w:t>T</w:t>
      </w:r>
      <w:r w:rsidR="00CD0D5B">
        <w:t xml:space="preserve">he United States </w:t>
      </w:r>
      <w:r w:rsidR="00CD0D5B" w:rsidRPr="008546ED">
        <w:rPr>
          <w:i/>
          <w:iCs/>
        </w:rPr>
        <w:t>Children’s Online Privacy Protection Act</w:t>
      </w:r>
      <w:r w:rsidR="00CD0D5B">
        <w:t xml:space="preserve"> (COPPA)</w:t>
      </w:r>
      <w:r w:rsidR="004432B7">
        <w:rPr>
          <w:rStyle w:val="EndnoteReference"/>
        </w:rPr>
        <w:endnoteReference w:id="300"/>
      </w:r>
      <w:r w:rsidR="00CD0D5B">
        <w:t xml:space="preserve"> prohibit</w:t>
      </w:r>
      <w:r w:rsidR="00C950FD">
        <w:t>s</w:t>
      </w:r>
      <w:r w:rsidR="00CD0D5B">
        <w:t xml:space="preserve"> the collection, use, and disclosure of personal information from and about children on the Internet without appropriate parental consent. The law applies to operators of commercial websites and online services (including online advertising) targeted at children under 13.</w:t>
      </w:r>
    </w:p>
    <w:p w14:paraId="66AD01C1" w14:textId="43FC4AF1" w:rsidR="006829E6" w:rsidRDefault="00D12455" w:rsidP="00D12455">
      <w:pPr>
        <w:spacing w:after="0"/>
      </w:pPr>
      <w:r>
        <w:t>Another legislative approach has been to explicitly require substitute parental consent on behalf of children. These proposals have, however, attracted controversy. For instance, both Utah and Arkansas have passed legislation requiring youth resident</w:t>
      </w:r>
      <w:r w:rsidR="00EC1F86">
        <w:t>s</w:t>
      </w:r>
      <w:r>
        <w:t xml:space="preserve"> under the age of 18 to obtain parental consent to create a social media account and use their services.</w:t>
      </w:r>
      <w:r>
        <w:rPr>
          <w:rStyle w:val="EndnoteReference"/>
        </w:rPr>
        <w:endnoteReference w:id="301"/>
      </w:r>
      <w:r>
        <w:t xml:space="preserve"> Commentators including the Electronic Frontier Foundation raise concerns that strict parental consent laws may violate youth’s freedom of expression rights, put vulnerable youth at risk (i.e. LGBTQ youth), and stifle childhood development.</w:t>
      </w:r>
      <w:r>
        <w:rPr>
          <w:rStyle w:val="EndnoteReference"/>
        </w:rPr>
        <w:endnoteReference w:id="302"/>
      </w:r>
    </w:p>
    <w:p w14:paraId="633AFCDD" w14:textId="77777777" w:rsidR="00D12455" w:rsidRDefault="00D12455" w:rsidP="007A41A0">
      <w:pPr>
        <w:spacing w:after="0"/>
      </w:pPr>
    </w:p>
    <w:p w14:paraId="49FDCF44" w14:textId="2E14E79B" w:rsidR="00C45899" w:rsidRDefault="00C45899" w:rsidP="007A41A0">
      <w:pPr>
        <w:spacing w:after="0"/>
      </w:pPr>
      <w:r w:rsidRPr="1F5E9E68">
        <w:t>Significantly, some Canadian regulators and organizations have begun to develop guidelines for youth consent and content. At present, however, these are voluntary standards.</w:t>
      </w:r>
      <w:r w:rsidR="00594CA4" w:rsidRPr="1F5E9E68">
        <w:rPr>
          <w:rStyle w:val="EndnoteReference"/>
        </w:rPr>
        <w:endnoteReference w:id="303"/>
      </w:r>
      <w:r w:rsidRPr="1F5E9E68">
        <w:t xml:space="preserve"> </w:t>
      </w:r>
    </w:p>
    <w:p w14:paraId="4EBE724B" w14:textId="77777777" w:rsidR="004432B7" w:rsidRDefault="004432B7" w:rsidP="00CD0D5B"/>
    <w:p w14:paraId="010BC4C1" w14:textId="1791C15C" w:rsidR="004432B7" w:rsidRPr="004432B7" w:rsidRDefault="004432B7" w:rsidP="008546ED">
      <w:pPr>
        <w:pStyle w:val="Heading2"/>
      </w:pPr>
      <w:bookmarkStart w:id="92" w:name="_Toc138151865"/>
      <w:r>
        <w:t>9.3</w:t>
      </w:r>
      <w:r>
        <w:tab/>
      </w:r>
      <w:r w:rsidRPr="004432B7">
        <w:t>Elderly and ToS</w:t>
      </w:r>
      <w:bookmarkEnd w:id="92"/>
    </w:p>
    <w:p w14:paraId="6CFBE840" w14:textId="1709D4D1" w:rsidR="004432B7" w:rsidRDefault="004432B7" w:rsidP="00CD0D5B"/>
    <w:p w14:paraId="29B2A4CD" w14:textId="79CC550D" w:rsidR="007F1FCB" w:rsidRDefault="00730BFC" w:rsidP="00730BFC">
      <w:r>
        <w:t xml:space="preserve">In </w:t>
      </w:r>
      <w:r w:rsidR="00016E85">
        <w:t xml:space="preserve">their response submitted </w:t>
      </w:r>
      <w:r>
        <w:t>to the 2020 Ontario CPA Consultation Paper</w:t>
      </w:r>
      <w:r w:rsidR="00016E85">
        <w:t>,</w:t>
      </w:r>
      <w:r>
        <w:t xml:space="preserve"> </w:t>
      </w:r>
      <w:r w:rsidR="00016E85">
        <w:t>Ontario’s</w:t>
      </w:r>
      <w:r>
        <w:t xml:space="preserve"> Advocacy Centre for the Elderly (ACE) – a specialized legal aid clinic – note how “ACE receives more than 3,000 client intake inquiries a year… [and] Older adults regularly seek our advice respecting their rights under the CPA.”</w:t>
      </w:r>
      <w:r>
        <w:rPr>
          <w:rStyle w:val="EndnoteReference"/>
        </w:rPr>
        <w:endnoteReference w:id="304"/>
      </w:r>
      <w:r>
        <w:t xml:space="preserve"> </w:t>
      </w:r>
    </w:p>
    <w:p w14:paraId="6035CBEB" w14:textId="03E1A5C3" w:rsidR="00730BFC" w:rsidRDefault="00016E85" w:rsidP="00730BFC">
      <w:r>
        <w:t>T</w:t>
      </w:r>
      <w:r w:rsidR="00730BFC">
        <w:t xml:space="preserve">he bulk of </w:t>
      </w:r>
      <w:r>
        <w:t>consumer-related</w:t>
      </w:r>
      <w:r w:rsidR="00730BFC">
        <w:t xml:space="preserve"> complaints </w:t>
      </w:r>
      <w:r>
        <w:t>relate</w:t>
      </w:r>
      <w:r w:rsidR="00730BFC">
        <w:t xml:space="preserve"> to unfair </w:t>
      </w:r>
      <w:r>
        <w:t xml:space="preserve">contracting </w:t>
      </w:r>
      <w:r w:rsidR="00730BFC">
        <w:t>practices</w:t>
      </w:r>
      <w:r>
        <w:t xml:space="preserve"> that exploit the vulnerability of elderly consumers</w:t>
      </w:r>
      <w:r w:rsidR="00730BFC">
        <w:t xml:space="preserve">. ACE </w:t>
      </w:r>
      <w:r w:rsidR="00491B02">
        <w:t>specifically highlights</w:t>
      </w:r>
      <w:r w:rsidR="00730BFC">
        <w:t xml:space="preserve"> that where they see “many instances where companies use deceptive techniques on a highly vulnerable population, it is often years later that the consumer learns that they were deceived</w:t>
      </w:r>
      <w:r w:rsidR="00491B02">
        <w:t>,</w:t>
      </w:r>
      <w:r w:rsidR="00730BFC">
        <w:t>”</w:t>
      </w:r>
      <w:r w:rsidR="00730BFC">
        <w:rPr>
          <w:rStyle w:val="EndnoteReference"/>
        </w:rPr>
        <w:endnoteReference w:id="305"/>
      </w:r>
      <w:r w:rsidR="00491B02">
        <w:t xml:space="preserve"> and typically only after discovery by a family member, social worker, or other support person.</w:t>
      </w:r>
    </w:p>
    <w:p w14:paraId="55ECE51D" w14:textId="77777777" w:rsidR="00730BFC" w:rsidRDefault="00730BFC" w:rsidP="00730BFC">
      <w:r>
        <w:t>ACE highlights three sets of recommendations which impact on the consumer protection needs of the elderly in the digital marketplace.</w:t>
      </w:r>
    </w:p>
    <w:p w14:paraId="2ED66E4A" w14:textId="77777777" w:rsidR="000911EE" w:rsidRDefault="00730BFC" w:rsidP="00730BFC">
      <w:r>
        <w:t xml:space="preserve">First, </w:t>
      </w:r>
      <w:r w:rsidR="007F1FCB">
        <w:t>older consumers are often unclear about the total costs of a product or service. ACE’s experience is that consumers are not aware they have entered into contracts with price escalation clauses, the terms of which are “often buried in the contract in miniscule font.”</w:t>
      </w:r>
      <w:r w:rsidR="007F1FCB">
        <w:rPr>
          <w:rStyle w:val="EndnoteReference"/>
        </w:rPr>
        <w:endnoteReference w:id="306"/>
      </w:r>
      <w:r w:rsidR="007F1FCB">
        <w:t xml:space="preserve"> Consequently it is “often difficult to figure out the final lifetime cost to the consumer.”</w:t>
      </w:r>
      <w:r w:rsidR="007F1FCB">
        <w:rPr>
          <w:rStyle w:val="EndnoteReference"/>
        </w:rPr>
        <w:endnoteReference w:id="307"/>
      </w:r>
      <w:r w:rsidR="007F1FCB">
        <w:t xml:space="preserve"> ACE proposes that there should be a proactive, mandated disclosure where </w:t>
      </w:r>
      <w:r>
        <w:t>consumers are shown the full lifetime cost of the product or service.</w:t>
      </w:r>
    </w:p>
    <w:p w14:paraId="6DB52466" w14:textId="7ADA96C1" w:rsidR="00730BFC" w:rsidRDefault="00730BFC" w:rsidP="00730BFC">
      <w:r>
        <w:lastRenderedPageBreak/>
        <w:t>Second, ACE proposes that the list of what constitutes a false, misleading or unconscionable representation should be expanded. Given the vulnerability of elder consumers, and the difficulty in accessing justice, more needs to be done proactively to unambiguously protect vulnerable groups</w:t>
      </w:r>
      <w:r w:rsidR="0099581B">
        <w:t xml:space="preserve"> and ensure an easier, penalty-free ability to break unfair contracts</w:t>
      </w:r>
      <w:r>
        <w:t xml:space="preserve"> (for more on deception and unconscionable terms see our discussion in section 10). </w:t>
      </w:r>
    </w:p>
    <w:p w14:paraId="57FC2EB7" w14:textId="05846EAB" w:rsidR="00730BFC" w:rsidRDefault="00730BFC" w:rsidP="008546ED">
      <w:r>
        <w:t>Third, ACE advocates for improved access to justice under the CPA. ACE specifically notes how consumer rights “are meaningless without strong and effective remedies and enforcement… [but] Unfortunately, in ACE’s experience, consumer face an uphill battle in exercising their rights under the CPA.”</w:t>
      </w:r>
      <w:r>
        <w:rPr>
          <w:rStyle w:val="EndnoteReference"/>
        </w:rPr>
        <w:endnoteReference w:id="308"/>
      </w:r>
    </w:p>
    <w:p w14:paraId="0099131A" w14:textId="77777777" w:rsidR="00730BFC" w:rsidRDefault="00730BFC" w:rsidP="00730BFC">
      <w:r>
        <w:t xml:space="preserve">Specific access to justice issues cited by ACE include: </w:t>
      </w:r>
    </w:p>
    <w:p w14:paraId="0F06F206" w14:textId="2DE82FB5" w:rsidR="00730BFC" w:rsidRDefault="00730BFC" w:rsidP="00730BFC">
      <w:pPr>
        <w:pStyle w:val="ListParagraph"/>
        <w:numPr>
          <w:ilvl w:val="0"/>
          <w:numId w:val="83"/>
        </w:numPr>
        <w:spacing w:after="0" w:line="240" w:lineRule="auto"/>
      </w:pPr>
      <w:r>
        <w:t xml:space="preserve">The need for greater Ministry investigation, enforcement, and charges </w:t>
      </w:r>
      <w:r w:rsidR="00370CC2">
        <w:t>for violations of</w:t>
      </w:r>
      <w:r>
        <w:t xml:space="preserve"> the CPA</w:t>
      </w:r>
      <w:r w:rsidR="00370CC2">
        <w:t>. ACE suggests this is needed</w:t>
      </w:r>
      <w:r>
        <w:t xml:space="preserve"> in part because so few businesses respond to or </w:t>
      </w:r>
      <w:r w:rsidR="00370CC2">
        <w:t xml:space="preserve">consent to </w:t>
      </w:r>
      <w:r>
        <w:t xml:space="preserve">resolve disputes through mediation. ACE </w:t>
      </w:r>
      <w:r w:rsidR="00370CC2">
        <w:t xml:space="preserve">further </w:t>
      </w:r>
      <w:r>
        <w:t xml:space="preserve">reports that the Ministry frequently responds to complaints by noting that charges against a business could not be pursued due to a lack of resources. </w:t>
      </w:r>
      <w:r w:rsidR="00A97808">
        <w:t xml:space="preserve">ACE </w:t>
      </w:r>
      <w:r w:rsidR="00370CC2">
        <w:t>notes that despite</w:t>
      </w:r>
      <w:r w:rsidR="00A97808">
        <w:t xml:space="preserve"> 29,000 complaints made to the Ministry </w:t>
      </w:r>
      <w:r w:rsidR="00370CC2">
        <w:t>for</w:t>
      </w:r>
      <w:r w:rsidR="00A97808">
        <w:t xml:space="preserve"> unfair business practices during COVID-19</w:t>
      </w:r>
      <w:r w:rsidR="00370CC2">
        <w:t xml:space="preserve">, only one </w:t>
      </w:r>
      <w:r w:rsidR="00A97808">
        <w:t xml:space="preserve">business </w:t>
      </w:r>
      <w:r w:rsidR="00370CC2">
        <w:t>was</w:t>
      </w:r>
      <w:r w:rsidR="00A97808">
        <w:t xml:space="preserve"> charged.</w:t>
      </w:r>
      <w:r w:rsidR="00A97808">
        <w:rPr>
          <w:rStyle w:val="EndnoteReference"/>
        </w:rPr>
        <w:endnoteReference w:id="309"/>
      </w:r>
      <w:r w:rsidR="00A97808">
        <w:t xml:space="preserve"> </w:t>
      </w:r>
      <w:r>
        <w:t>ACE strongly supports the use of administrative penalties and resources should be available for the Ministry to pursue all potential charges.</w:t>
      </w:r>
      <w:r>
        <w:rPr>
          <w:rStyle w:val="EndnoteReference"/>
        </w:rPr>
        <w:endnoteReference w:id="310"/>
      </w:r>
    </w:p>
    <w:p w14:paraId="187F8259" w14:textId="333C74A8" w:rsidR="00730BFC" w:rsidRDefault="00730BFC" w:rsidP="00730BFC">
      <w:pPr>
        <w:pStyle w:val="ListParagraph"/>
        <w:numPr>
          <w:ilvl w:val="0"/>
          <w:numId w:val="83"/>
        </w:numPr>
        <w:spacing w:after="0" w:line="240" w:lineRule="auto"/>
      </w:pPr>
      <w:r>
        <w:t xml:space="preserve">The need to expand the opportunity to challenge unfair practices. ACE recommends that the limitation period on raising unfair practices should be subject to the principle of discoverability (i.e., when the consumer becomes aware of the unfair practice). This should also be aligned with ss. 4-5 of the Limitations Act, that being 2 years after the practice was discovered, and the clock should be frozen during any period when the vulnerable person lacks legal capacity to act. </w:t>
      </w:r>
    </w:p>
    <w:p w14:paraId="6EB847F7" w14:textId="6CD029B6" w:rsidR="00730BFC" w:rsidRDefault="00730BFC" w:rsidP="00730BFC">
      <w:pPr>
        <w:pStyle w:val="ListParagraph"/>
        <w:numPr>
          <w:ilvl w:val="0"/>
          <w:numId w:val="83"/>
        </w:numPr>
        <w:spacing w:after="0" w:line="240" w:lineRule="auto"/>
      </w:pPr>
      <w:r>
        <w:t>The observation that many low-income, highly vulnerable clients do not find Small Claims a viable form of access to justice, and that ACE frequently decline</w:t>
      </w:r>
      <w:r w:rsidR="00370CC2">
        <w:t>s</w:t>
      </w:r>
      <w:r>
        <w:t xml:space="preserve"> representation due to limited litigation resources. More legal resources are needed </w:t>
      </w:r>
      <w:r w:rsidR="001625D6">
        <w:t>for</w:t>
      </w:r>
      <w:r>
        <w:t xml:space="preserve"> consumers to </w:t>
      </w:r>
      <w:r w:rsidR="001625D6">
        <w:t xml:space="preserve">meaningfully </w:t>
      </w:r>
      <w:r>
        <w:t>enforce their rights under the CPA.</w:t>
      </w:r>
    </w:p>
    <w:p w14:paraId="477B22EF" w14:textId="59F809C2" w:rsidR="004432B7" w:rsidRDefault="004432B7" w:rsidP="00CD0D5B"/>
    <w:p w14:paraId="1B9B36A3" w14:textId="7BB66778" w:rsidR="004432B7" w:rsidRDefault="004432B7" w:rsidP="004432B7">
      <w:pPr>
        <w:pStyle w:val="Heading2"/>
      </w:pPr>
      <w:bookmarkStart w:id="93" w:name="_Toc138151866"/>
      <w:r>
        <w:t xml:space="preserve">9.4 </w:t>
      </w:r>
      <w:r>
        <w:tab/>
        <w:t xml:space="preserve">Law Reform </w:t>
      </w:r>
      <w:r w:rsidR="009674A8">
        <w:t>Options</w:t>
      </w:r>
      <w:bookmarkEnd w:id="93"/>
    </w:p>
    <w:p w14:paraId="09E2B7A9" w14:textId="77777777" w:rsidR="004432B7" w:rsidRPr="004432B7" w:rsidRDefault="004432B7" w:rsidP="004432B7"/>
    <w:p w14:paraId="298D73FB" w14:textId="00BFA4F5" w:rsidR="00CD0D5B" w:rsidRDefault="00CD0D5B" w:rsidP="00CD0D5B">
      <w:r>
        <w:t xml:space="preserve">These approaches suggest </w:t>
      </w:r>
      <w:r w:rsidR="00C45899">
        <w:t xml:space="preserve">several potential law reform </w:t>
      </w:r>
      <w:r>
        <w:t>options for Ontario to consider</w:t>
      </w:r>
      <w:r w:rsidR="001E740B">
        <w:t xml:space="preserve"> in relation to protecting vulnerable groups in the digital marketplace</w:t>
      </w:r>
      <w:r w:rsidR="00C45899">
        <w:t>, including</w:t>
      </w:r>
      <w:r>
        <w:t>:</w:t>
      </w:r>
    </w:p>
    <w:p w14:paraId="52AA78E1" w14:textId="1506B497" w:rsidR="00CD0D5B" w:rsidRDefault="00CD0D5B" w:rsidP="00470F77">
      <w:pPr>
        <w:pStyle w:val="ListParagraph"/>
        <w:numPr>
          <w:ilvl w:val="0"/>
          <w:numId w:val="52"/>
        </w:numPr>
      </w:pPr>
      <w:r>
        <w:t>A defined regime for parental or substitute consent with “best interests” fiduciary duties</w:t>
      </w:r>
      <w:r w:rsidR="001E740B">
        <w:t xml:space="preserve"> that takes into account childhood development goals, freedom of expression, and vulnerable groups</w:t>
      </w:r>
      <w:r>
        <w:t xml:space="preserve"> </w:t>
      </w:r>
    </w:p>
    <w:p w14:paraId="6D10EC40" w14:textId="5313948D" w:rsidR="007E5647" w:rsidRDefault="00CD0D5B" w:rsidP="00470F77">
      <w:pPr>
        <w:pStyle w:val="ListParagraph"/>
        <w:numPr>
          <w:ilvl w:val="0"/>
          <w:numId w:val="52"/>
        </w:numPr>
      </w:pPr>
      <w:r>
        <w:t xml:space="preserve">Development of standard terms or procurement rules for </w:t>
      </w:r>
      <w:r w:rsidR="001E740B">
        <w:t xml:space="preserve">institutions like government services, schools, or long-term care homes requiring specific platforms or products </w:t>
      </w:r>
      <w:r>
        <w:t xml:space="preserve">where </w:t>
      </w:r>
      <w:r w:rsidR="001E740B">
        <w:t>consumers</w:t>
      </w:r>
      <w:r>
        <w:t xml:space="preserve"> have little choice but to agree</w:t>
      </w:r>
    </w:p>
    <w:p w14:paraId="043F6ABB" w14:textId="7B887D7D" w:rsidR="001E740B" w:rsidRDefault="001E740B" w:rsidP="00470F77">
      <w:pPr>
        <w:pStyle w:val="ListParagraph"/>
        <w:numPr>
          <w:ilvl w:val="0"/>
          <w:numId w:val="52"/>
        </w:numPr>
      </w:pPr>
      <w:r>
        <w:t>I</w:t>
      </w:r>
      <w:r w:rsidRPr="001E740B">
        <w:t>mproved</w:t>
      </w:r>
      <w:r>
        <w:t>, mandatory, upfront</w:t>
      </w:r>
      <w:r w:rsidRPr="001E740B">
        <w:t xml:space="preserve"> forms of notice and disclosure when youth or parental consent is required. This could include newly mandated disclosure and notice provisions requiring full-cost </w:t>
      </w:r>
      <w:r>
        <w:t xml:space="preserve">yearly or </w:t>
      </w:r>
      <w:r w:rsidRPr="001E740B">
        <w:t>lifetime projections of an average users costs, as well as other identifiable piece of “key information” and “market contexts” such as health risks or the addictiveness of a product or platform</w:t>
      </w:r>
    </w:p>
    <w:p w14:paraId="3E432690" w14:textId="213BFE04" w:rsidR="001E740B" w:rsidRDefault="001E740B" w:rsidP="00470F77">
      <w:pPr>
        <w:pStyle w:val="ListParagraph"/>
        <w:numPr>
          <w:ilvl w:val="0"/>
          <w:numId w:val="52"/>
        </w:numPr>
      </w:pPr>
      <w:r>
        <w:t>Expanded limitation periods to raise unfair practices and subject to the principle of discovery</w:t>
      </w:r>
    </w:p>
    <w:p w14:paraId="158CAC42" w14:textId="118F3783" w:rsidR="001E740B" w:rsidRDefault="003B2202" w:rsidP="00470F77">
      <w:pPr>
        <w:pStyle w:val="ListParagraph"/>
        <w:numPr>
          <w:ilvl w:val="0"/>
          <w:numId w:val="52"/>
        </w:numPr>
      </w:pPr>
      <w:r>
        <w:lastRenderedPageBreak/>
        <w:t>Expanded access of consumer to legal and legal aid services to assist with consumer protection issues under the CPA</w:t>
      </w:r>
    </w:p>
    <w:p w14:paraId="3E5168B8" w14:textId="4143A047" w:rsidR="003B2202" w:rsidRDefault="003B2202" w:rsidP="00470F77">
      <w:pPr>
        <w:pStyle w:val="ListParagraph"/>
        <w:numPr>
          <w:ilvl w:val="0"/>
          <w:numId w:val="52"/>
        </w:numPr>
      </w:pPr>
      <w:r>
        <w:t>A statutory duty for online supplier</w:t>
      </w:r>
      <w:r w:rsidR="00833D11">
        <w:t>s</w:t>
      </w:r>
      <w:r>
        <w:t xml:space="preserve"> to protect youth</w:t>
      </w:r>
    </w:p>
    <w:p w14:paraId="586124AB" w14:textId="63AD7C87" w:rsidR="003B2202" w:rsidRDefault="003B2202" w:rsidP="00470F77">
      <w:pPr>
        <w:pStyle w:val="ListParagraph"/>
        <w:numPr>
          <w:ilvl w:val="0"/>
          <w:numId w:val="52"/>
        </w:numPr>
      </w:pPr>
      <w:r>
        <w:t>An expanded list of what constitutes a false, misleading or unconscionable representation to include practices and issues of particular concern to vulnerable groups.</w:t>
      </w:r>
    </w:p>
    <w:p w14:paraId="462E9C45" w14:textId="3136CE33" w:rsidR="00594CA4" w:rsidRPr="004D6772" w:rsidRDefault="00594CA4" w:rsidP="00594CA4">
      <w:pPr>
        <w:spacing w:line="256" w:lineRule="auto"/>
        <w:rPr>
          <w:rFonts w:ascii="Calibri" w:eastAsia="Calibri" w:hAnsi="Calibri" w:cs="Times New Roman"/>
          <w:i/>
          <w:iCs/>
          <w:highlight w:val="lightGray"/>
        </w:rPr>
      </w:pPr>
      <w:r w:rsidRPr="004D6772">
        <w:rPr>
          <w:rFonts w:ascii="Calibri" w:eastAsia="Calibri" w:hAnsi="Calibri" w:cs="Times New Roman"/>
          <w:b/>
          <w:iCs/>
          <w:highlight w:val="lightGray"/>
        </w:rPr>
        <w:t xml:space="preserve">SIDEBAR: Consultation Questions: Protecting </w:t>
      </w:r>
      <w:r w:rsidR="00C720E4" w:rsidRPr="004D6772">
        <w:rPr>
          <w:rFonts w:ascii="Calibri" w:eastAsia="Calibri" w:hAnsi="Calibri" w:cs="Times New Roman"/>
          <w:b/>
          <w:iCs/>
          <w:highlight w:val="lightGray"/>
        </w:rPr>
        <w:t xml:space="preserve">Youth, Elderly, and other </w:t>
      </w:r>
      <w:r w:rsidRPr="004D6772">
        <w:rPr>
          <w:rFonts w:ascii="Calibri" w:eastAsia="Calibri" w:hAnsi="Calibri" w:cs="Times New Roman"/>
          <w:b/>
          <w:iCs/>
          <w:highlight w:val="lightGray"/>
        </w:rPr>
        <w:t>Vulnerable Consumers</w:t>
      </w:r>
    </w:p>
    <w:p w14:paraId="052DD2CB" w14:textId="1E91405D" w:rsidR="00594CA4" w:rsidRPr="004D6772" w:rsidRDefault="00594CA4" w:rsidP="00594CA4">
      <w:pPr>
        <w:spacing w:line="256" w:lineRule="auto"/>
        <w:ind w:left="1440" w:hanging="1440"/>
        <w:rPr>
          <w:rFonts w:ascii="Calibri" w:eastAsia="Calibri" w:hAnsi="Calibri" w:cs="Times New Roman"/>
          <w:i/>
          <w:iCs/>
          <w:highlight w:val="lightGray"/>
        </w:rPr>
      </w:pPr>
      <w:r w:rsidRPr="004D6772">
        <w:rPr>
          <w:rFonts w:ascii="Calibri" w:eastAsia="Calibri" w:hAnsi="Calibri" w:cs="Times New Roman"/>
          <w:i/>
          <w:iCs/>
          <w:szCs w:val="21"/>
          <w:highlight w:val="lightGray"/>
        </w:rPr>
        <w:t xml:space="preserve">Question 12: </w:t>
      </w:r>
      <w:r w:rsidRPr="004D6772">
        <w:rPr>
          <w:rFonts w:ascii="Calibri" w:eastAsia="Calibri" w:hAnsi="Calibri" w:cs="Times New Roman"/>
          <w:i/>
          <w:iCs/>
          <w:szCs w:val="21"/>
          <w:highlight w:val="lightGray"/>
        </w:rPr>
        <w:tab/>
        <w:t>Do CPA sections 5 and s.15(2) provide sufficient consumer protections to youth</w:t>
      </w:r>
      <w:r w:rsidR="00C720E4" w:rsidRPr="004D6772">
        <w:rPr>
          <w:rFonts w:ascii="Calibri" w:eastAsia="Calibri" w:hAnsi="Calibri" w:cs="Times New Roman"/>
          <w:i/>
          <w:iCs/>
          <w:szCs w:val="21"/>
          <w:highlight w:val="lightGray"/>
        </w:rPr>
        <w:t xml:space="preserve">, elderly and other </w:t>
      </w:r>
      <w:r w:rsidRPr="004D6772">
        <w:rPr>
          <w:rFonts w:ascii="Calibri" w:eastAsia="Calibri" w:hAnsi="Calibri" w:cs="Times New Roman"/>
          <w:i/>
          <w:iCs/>
          <w:szCs w:val="21"/>
          <w:highlight w:val="lightGray"/>
        </w:rPr>
        <w:t xml:space="preserve">vulnerable communities against consumer risks in the digital marketplace?  Are additional or more specific consumer protections necessary?  </w:t>
      </w:r>
      <w:r w:rsidRPr="004D6772">
        <w:rPr>
          <w:rFonts w:ascii="Calibri" w:eastAsia="Calibri" w:hAnsi="Calibri" w:cs="Times New Roman"/>
          <w:i/>
          <w:iCs/>
          <w:highlight w:val="lightGray"/>
        </w:rPr>
        <w:t>If so, could this be achieved by:</w:t>
      </w:r>
    </w:p>
    <w:p w14:paraId="4EBBA880" w14:textId="4664F530" w:rsidR="00594CA4" w:rsidRPr="004D6772" w:rsidRDefault="00594CA4" w:rsidP="00470F77">
      <w:pPr>
        <w:numPr>
          <w:ilvl w:val="0"/>
          <w:numId w:val="74"/>
        </w:numPr>
        <w:spacing w:after="0" w:line="240" w:lineRule="auto"/>
        <w:contextualSpacing/>
        <w:rPr>
          <w:rFonts w:ascii="Calibri" w:eastAsia="Calibri" w:hAnsi="Calibri" w:cs="Times New Roman"/>
          <w:i/>
          <w:iCs/>
          <w:szCs w:val="21"/>
          <w:highlight w:val="lightGray"/>
        </w:rPr>
      </w:pPr>
      <w:r w:rsidRPr="004D6772">
        <w:rPr>
          <w:rFonts w:ascii="Calibri" w:eastAsia="Calibri" w:hAnsi="Calibri" w:cs="Times New Roman"/>
          <w:i/>
          <w:iCs/>
          <w:szCs w:val="21"/>
          <w:highlight w:val="lightGray"/>
        </w:rPr>
        <w:t>Creating regulations or best practices guidelines to clarify CPA s. 5’s “comprehensibility” requirement?</w:t>
      </w:r>
    </w:p>
    <w:p w14:paraId="02B40227" w14:textId="77777777" w:rsidR="003B2202" w:rsidRPr="004D6772" w:rsidRDefault="003B2202" w:rsidP="003B2202">
      <w:pPr>
        <w:pStyle w:val="ListParagraph"/>
        <w:numPr>
          <w:ilvl w:val="0"/>
          <w:numId w:val="74"/>
        </w:numPr>
        <w:rPr>
          <w:highlight w:val="lightGray"/>
        </w:rPr>
      </w:pPr>
      <w:r w:rsidRPr="004D6772">
        <w:rPr>
          <w:highlight w:val="lightGray"/>
        </w:rPr>
        <w:t xml:space="preserve">A defined regime for parental or substitute consent with “best interests” fiduciary duties that takes into account childhood development goals, freedom of expression, and vulnerable groups </w:t>
      </w:r>
    </w:p>
    <w:p w14:paraId="4EC33FB9" w14:textId="77777777" w:rsidR="003B2202" w:rsidRPr="004D6772" w:rsidRDefault="003B2202" w:rsidP="003B2202">
      <w:pPr>
        <w:pStyle w:val="ListParagraph"/>
        <w:numPr>
          <w:ilvl w:val="0"/>
          <w:numId w:val="74"/>
        </w:numPr>
        <w:rPr>
          <w:highlight w:val="lightGray"/>
        </w:rPr>
      </w:pPr>
      <w:r w:rsidRPr="004D6772">
        <w:rPr>
          <w:highlight w:val="lightGray"/>
        </w:rPr>
        <w:t>Development of standard terms or procurement rules for institutions like government services, schools, or long-term care homes requiring specific platforms or products where consumers have little choice but to agree</w:t>
      </w:r>
    </w:p>
    <w:p w14:paraId="337086D5" w14:textId="0FE7485D" w:rsidR="003B2202" w:rsidRPr="004D6772" w:rsidRDefault="003B2202" w:rsidP="003B2202">
      <w:pPr>
        <w:pStyle w:val="ListParagraph"/>
        <w:numPr>
          <w:ilvl w:val="0"/>
          <w:numId w:val="74"/>
        </w:numPr>
        <w:rPr>
          <w:highlight w:val="lightGray"/>
        </w:rPr>
      </w:pPr>
      <w:r w:rsidRPr="004D6772">
        <w:rPr>
          <w:highlight w:val="lightGray"/>
        </w:rPr>
        <w:t>Improved, mandatory, upfront forms of notice and disclosure when youth or parental consent is required. This could include newly mandated disclosure and notice provisions requiring lifetime or yearly projections of an average users costs, as well as other identifiable piece of “key information” and “market contexts” such as health risks or the addictiveness of a product or platform</w:t>
      </w:r>
    </w:p>
    <w:p w14:paraId="7EF17610" w14:textId="77777777" w:rsidR="003B2202" w:rsidRPr="004D6772" w:rsidRDefault="003B2202" w:rsidP="003B2202">
      <w:pPr>
        <w:pStyle w:val="ListParagraph"/>
        <w:numPr>
          <w:ilvl w:val="0"/>
          <w:numId w:val="74"/>
        </w:numPr>
        <w:rPr>
          <w:highlight w:val="lightGray"/>
        </w:rPr>
      </w:pPr>
      <w:r w:rsidRPr="004D6772">
        <w:rPr>
          <w:highlight w:val="lightGray"/>
        </w:rPr>
        <w:t>Expanded limitation periods to raise unfair practices and subject to the principle of discovery</w:t>
      </w:r>
    </w:p>
    <w:p w14:paraId="104B381B" w14:textId="77777777" w:rsidR="003B2202" w:rsidRPr="004D6772" w:rsidRDefault="003B2202" w:rsidP="003B2202">
      <w:pPr>
        <w:pStyle w:val="ListParagraph"/>
        <w:numPr>
          <w:ilvl w:val="0"/>
          <w:numId w:val="74"/>
        </w:numPr>
        <w:rPr>
          <w:highlight w:val="lightGray"/>
        </w:rPr>
      </w:pPr>
      <w:r w:rsidRPr="004D6772">
        <w:rPr>
          <w:highlight w:val="lightGray"/>
        </w:rPr>
        <w:t>Expanded access of consumer to legal and legal aid services to assist with consumer protection issues under the CPA</w:t>
      </w:r>
    </w:p>
    <w:p w14:paraId="30B413B0" w14:textId="0592EA6A" w:rsidR="003B2202" w:rsidRPr="004D6772" w:rsidRDefault="003B2202" w:rsidP="003B2202">
      <w:pPr>
        <w:pStyle w:val="ListParagraph"/>
        <w:numPr>
          <w:ilvl w:val="0"/>
          <w:numId w:val="74"/>
        </w:numPr>
        <w:rPr>
          <w:highlight w:val="lightGray"/>
        </w:rPr>
      </w:pPr>
      <w:r w:rsidRPr="004D6772">
        <w:rPr>
          <w:highlight w:val="lightGray"/>
        </w:rPr>
        <w:t>A statutory duty for online supplier to protect youth</w:t>
      </w:r>
    </w:p>
    <w:p w14:paraId="2A1F029D" w14:textId="07642367" w:rsidR="003B2202" w:rsidRPr="004D6772" w:rsidRDefault="003B2202" w:rsidP="003B2202">
      <w:pPr>
        <w:numPr>
          <w:ilvl w:val="0"/>
          <w:numId w:val="74"/>
        </w:numPr>
        <w:spacing w:after="0" w:line="240" w:lineRule="auto"/>
        <w:contextualSpacing/>
        <w:rPr>
          <w:rFonts w:ascii="Calibri" w:eastAsia="Calibri" w:hAnsi="Calibri" w:cs="Times New Roman"/>
          <w:i/>
          <w:iCs/>
          <w:szCs w:val="21"/>
          <w:highlight w:val="lightGray"/>
        </w:rPr>
      </w:pPr>
      <w:r w:rsidRPr="004D6772">
        <w:rPr>
          <w:highlight w:val="lightGray"/>
        </w:rPr>
        <w:t>An expanded list of what constitutes a false, misleading or unconscionable representation to include practices and issues of particular concern to vulnerable groups</w:t>
      </w:r>
    </w:p>
    <w:p w14:paraId="20D56D5E" w14:textId="058B5EAC" w:rsidR="00594CA4" w:rsidRPr="00594CA4" w:rsidRDefault="00594CA4" w:rsidP="00470F77">
      <w:pPr>
        <w:numPr>
          <w:ilvl w:val="0"/>
          <w:numId w:val="74"/>
        </w:numPr>
        <w:spacing w:after="0" w:line="240" w:lineRule="auto"/>
        <w:contextualSpacing/>
        <w:rPr>
          <w:rFonts w:ascii="Calibri" w:eastAsia="Calibri" w:hAnsi="Calibri" w:cs="Times New Roman"/>
          <w:i/>
          <w:iCs/>
          <w:szCs w:val="21"/>
          <w:highlight w:val="lightGray"/>
        </w:rPr>
      </w:pPr>
      <w:r w:rsidRPr="004D6772">
        <w:rPr>
          <w:rFonts w:ascii="Calibri" w:eastAsia="Calibri" w:hAnsi="Calibri" w:cs="Times New Roman"/>
          <w:i/>
          <w:iCs/>
          <w:szCs w:val="21"/>
          <w:highlight w:val="lightGray"/>
        </w:rPr>
        <w:t>Additional measures to protect persons with disabilities, address language barriers, literacy levels, income, class, cultural norms, or age-related and age vulnerabilities (including the elderly and youth)?</w:t>
      </w:r>
    </w:p>
    <w:p w14:paraId="32BD7CDB" w14:textId="77777777" w:rsidR="00594CA4" w:rsidRDefault="00594CA4" w:rsidP="00594CA4"/>
    <w:p w14:paraId="78E13161" w14:textId="7ADC7070" w:rsidR="00224B25" w:rsidRDefault="00224B25">
      <w:r>
        <w:br w:type="page"/>
      </w:r>
    </w:p>
    <w:p w14:paraId="57D868C8" w14:textId="0D06179C" w:rsidR="00081BDE" w:rsidRDefault="00A57979" w:rsidP="00470F77">
      <w:pPr>
        <w:pStyle w:val="Heading1"/>
        <w:numPr>
          <w:ilvl w:val="0"/>
          <w:numId w:val="65"/>
        </w:numPr>
      </w:pPr>
      <w:bookmarkStart w:id="94" w:name="_Toc138151867"/>
      <w:r>
        <w:lastRenderedPageBreak/>
        <w:t xml:space="preserve">Reducing </w:t>
      </w:r>
      <w:r w:rsidR="00BD5800" w:rsidRPr="00BD5800">
        <w:t>Deception and Unconscionability in the Digital Marketplace</w:t>
      </w:r>
      <w:bookmarkEnd w:id="94"/>
    </w:p>
    <w:p w14:paraId="2438A1B1" w14:textId="77777777" w:rsidR="00081BDE" w:rsidRDefault="00081BDE" w:rsidP="00A52E52">
      <w:pPr>
        <w:spacing w:after="0"/>
      </w:pPr>
    </w:p>
    <w:p w14:paraId="2B9FBF65" w14:textId="2ACA57D3" w:rsidR="00081BDE" w:rsidRDefault="00BC0424" w:rsidP="00BC0424">
      <w:pPr>
        <w:spacing w:after="0"/>
      </w:pPr>
      <w:r>
        <w:t xml:space="preserve">Preventing deception and </w:t>
      </w:r>
      <w:r w:rsidR="00C14F58">
        <w:t>unfair</w:t>
      </w:r>
      <w:r>
        <w:t xml:space="preserve"> practices is a long-standing priority for consumer protection. </w:t>
      </w:r>
    </w:p>
    <w:p w14:paraId="296ABD9F" w14:textId="77777777" w:rsidR="00A52E52" w:rsidRDefault="00A52E52" w:rsidP="00A52E52">
      <w:pPr>
        <w:spacing w:after="0"/>
      </w:pPr>
    </w:p>
    <w:p w14:paraId="4A93D227" w14:textId="79CFAB4B" w:rsidR="00BC0424" w:rsidRDefault="001E6AB6" w:rsidP="008A1F04">
      <w:r>
        <w:t xml:space="preserve">Deception </w:t>
      </w:r>
      <w:r w:rsidR="003E61AC">
        <w:t>occurs</w:t>
      </w:r>
      <w:r>
        <w:t xml:space="preserve"> where contract terms conflict with the affirmations, promises and suggestions made to the consumer, including overall cost or overall detriment to the consumer.</w:t>
      </w:r>
      <w:r>
        <w:rPr>
          <w:rStyle w:val="EndnoteReference"/>
        </w:rPr>
        <w:endnoteReference w:id="311"/>
      </w:r>
      <w:r w:rsidR="00C14F58">
        <w:t xml:space="preserve"> </w:t>
      </w:r>
      <w:r w:rsidR="00081BDE">
        <w:t>Deception undermines the premise that the contract term was agreed to and promotes the interests of all contracting parties.</w:t>
      </w:r>
      <w:r w:rsidR="00081BDE">
        <w:rPr>
          <w:rStyle w:val="EndnoteReference"/>
        </w:rPr>
        <w:endnoteReference w:id="312"/>
      </w:r>
      <w:r w:rsidR="00081BDE">
        <w:t xml:space="preserve"> </w:t>
      </w:r>
      <w:r w:rsidR="008A1F04">
        <w:t xml:space="preserve">The </w:t>
      </w:r>
      <w:r w:rsidR="005E1EC1">
        <w:t>American Law Institute</w:t>
      </w:r>
      <w:r>
        <w:t xml:space="preserve"> </w:t>
      </w:r>
      <w:r w:rsidR="006F588C">
        <w:t xml:space="preserve">(ALI) </w:t>
      </w:r>
      <w:r w:rsidR="008A1F04" w:rsidRPr="008546ED">
        <w:rPr>
          <w:i/>
          <w:iCs/>
        </w:rPr>
        <w:t>Restatement</w:t>
      </w:r>
      <w:r w:rsidR="005E1EC1" w:rsidRPr="008546ED">
        <w:rPr>
          <w:i/>
          <w:iCs/>
        </w:rPr>
        <w:t xml:space="preserve"> on Consumer Contract Law</w:t>
      </w:r>
      <w:r w:rsidR="005E1EC1">
        <w:t xml:space="preserve"> (2022)</w:t>
      </w:r>
      <w:r w:rsidR="008A1F04">
        <w:t xml:space="preserve"> specifies that d</w:t>
      </w:r>
      <w:r w:rsidR="00081BDE">
        <w:t xml:space="preserve">eception should be understood broadly to encompass not only outright fraud, but any act or practice that is likely to mislead the </w:t>
      </w:r>
      <w:r w:rsidR="003E61AC">
        <w:t>“</w:t>
      </w:r>
      <w:r w:rsidR="00081BDE">
        <w:t>reasonable consumer.</w:t>
      </w:r>
      <w:r w:rsidR="003E61AC">
        <w:t>”</w:t>
      </w:r>
      <w:r w:rsidR="00081BDE">
        <w:t xml:space="preserve"> The emphasis is on the consumer’s false perception, not on the business’s intent to deceive.</w:t>
      </w:r>
      <w:r w:rsidR="00081BDE">
        <w:rPr>
          <w:rStyle w:val="EndnoteReference"/>
        </w:rPr>
        <w:endnoteReference w:id="313"/>
      </w:r>
    </w:p>
    <w:p w14:paraId="2F97F320" w14:textId="1AC23C30" w:rsidR="00C14F58" w:rsidRDefault="00C14F58" w:rsidP="00C14F58">
      <w:r>
        <w:t>Unconscionability addresses contractual terms that are excessively one-sided and unfair, or which diverge from a consumer’s reasonable expectations.</w:t>
      </w:r>
      <w:r>
        <w:rPr>
          <w:rStyle w:val="EndnoteReference"/>
        </w:rPr>
        <w:endnoteReference w:id="314"/>
      </w:r>
      <w:r w:rsidR="009E0094">
        <w:t xml:space="preserve"> </w:t>
      </w:r>
      <w:r w:rsidR="006F588C">
        <w:t>Unconscionability</w:t>
      </w:r>
      <w:r>
        <w:t xml:space="preserve"> include</w:t>
      </w:r>
      <w:r w:rsidR="00F74C07">
        <w:t>s</w:t>
      </w:r>
      <w:r>
        <w:t xml:space="preserve"> procedural unconscionability </w:t>
      </w:r>
      <w:r w:rsidR="006F588C">
        <w:t>(</w:t>
      </w:r>
      <w:r>
        <w:t>such as unfair surprises, lack of consumer awareness of “market context”</w:t>
      </w:r>
      <w:r w:rsidR="006F588C">
        <w:t>)</w:t>
      </w:r>
      <w:r>
        <w:t xml:space="preserve"> or through manipulative techniques </w:t>
      </w:r>
      <w:r w:rsidR="006F588C">
        <w:t xml:space="preserve">that </w:t>
      </w:r>
      <w:r>
        <w:t>prioritize or minimize certain information.</w:t>
      </w:r>
      <w:r>
        <w:rPr>
          <w:rStyle w:val="EndnoteReference"/>
        </w:rPr>
        <w:endnoteReference w:id="315"/>
      </w:r>
    </w:p>
    <w:p w14:paraId="643324ED" w14:textId="17912EB0" w:rsidR="005A6C78" w:rsidRDefault="008D70CB" w:rsidP="008D70CB">
      <w:r>
        <w:t xml:space="preserve">Protections against deception and </w:t>
      </w:r>
      <w:r w:rsidR="00C14F58">
        <w:t>unconscionability</w:t>
      </w:r>
      <w:r>
        <w:t xml:space="preserve"> are </w:t>
      </w:r>
      <w:r w:rsidR="006F588C">
        <w:t xml:space="preserve">arguably the most important </w:t>
      </w:r>
      <w:r>
        <w:t>cornerstones of consumer protection law</w:t>
      </w:r>
      <w:r w:rsidR="006F588C">
        <w:t xml:space="preserve"> given</w:t>
      </w:r>
      <w:r>
        <w:t xml:space="preserve"> th</w:t>
      </w:r>
      <w:r w:rsidRPr="008D70CB">
        <w:t>e inherent limitations of notice and disclosure</w:t>
      </w:r>
      <w:r w:rsidR="006F588C">
        <w:t>.</w:t>
      </w:r>
      <w:r w:rsidR="004D6772">
        <w:t xml:space="preserve"> </w:t>
      </w:r>
      <w:r w:rsidR="006F588C">
        <w:t xml:space="preserve">Accordingly, </w:t>
      </w:r>
      <w:r w:rsidRPr="008D70CB">
        <w:t xml:space="preserve">the </w:t>
      </w:r>
      <w:r w:rsidR="006F588C">
        <w:t>ALI</w:t>
      </w:r>
      <w:r w:rsidR="00660F8F">
        <w:t xml:space="preserve"> </w:t>
      </w:r>
      <w:r w:rsidRPr="1F5E9E68">
        <w:rPr>
          <w:rFonts w:cs="Times New Roman"/>
          <w:lang w:val="en-US"/>
        </w:rPr>
        <w:t xml:space="preserve">has </w:t>
      </w:r>
      <w:r w:rsidR="006F588C">
        <w:rPr>
          <w:rFonts w:cs="Times New Roman"/>
          <w:lang w:val="en-US"/>
        </w:rPr>
        <w:t xml:space="preserve">concluded </w:t>
      </w:r>
      <w:r w:rsidRPr="1F5E9E68">
        <w:rPr>
          <w:rFonts w:cs="Times New Roman"/>
          <w:lang w:val="en-US"/>
        </w:rPr>
        <w:t>that: “</w:t>
      </w:r>
      <w:r w:rsidRPr="008D70CB">
        <w:t xml:space="preserve">… </w:t>
      </w:r>
      <w:r w:rsidR="005A6C78" w:rsidRPr="008D70CB">
        <w:t>the prudent approach—reflected in this Restatement and in case law—is to protect consumers against terms that either overreach or undermine express promises made by the business.</w:t>
      </w:r>
      <w:r w:rsidRPr="008D70CB">
        <w:t>”</w:t>
      </w:r>
      <w:r w:rsidR="005A6C78" w:rsidRPr="008D70CB">
        <w:rPr>
          <w:rStyle w:val="EndnoteReference"/>
        </w:rPr>
        <w:endnoteReference w:id="316"/>
      </w:r>
    </w:p>
    <w:p w14:paraId="34F626D3" w14:textId="4AD9C074" w:rsidR="00AC3D4C" w:rsidRDefault="00B35C9D" w:rsidP="00E34876">
      <w:r>
        <w:t xml:space="preserve">The </w:t>
      </w:r>
      <w:r w:rsidR="006F588C">
        <w:t xml:space="preserve">question addressed in this project is how </w:t>
      </w:r>
      <w:r>
        <w:t xml:space="preserve">to ensure consumer protection principles of deception and unconscionability are responsive </w:t>
      </w:r>
      <w:r w:rsidR="00AC3D4C">
        <w:t xml:space="preserve">to the </w:t>
      </w:r>
      <w:r w:rsidR="000D0653">
        <w:t>consumer risks</w:t>
      </w:r>
      <w:r w:rsidR="00AC3D4C">
        <w:t xml:space="preserve"> in</w:t>
      </w:r>
      <w:r>
        <w:t xml:space="preserve"> the digital marketplace.</w:t>
      </w:r>
    </w:p>
    <w:p w14:paraId="18DE5DF0" w14:textId="683DED64" w:rsidR="00F74C07" w:rsidRDefault="00F74C07" w:rsidP="00F74C07">
      <w:pPr>
        <w:spacing w:after="0" w:line="240" w:lineRule="auto"/>
      </w:pPr>
      <w:r>
        <w:t xml:space="preserve">The following </w:t>
      </w:r>
      <w:r w:rsidR="004E437D">
        <w:t>sub</w:t>
      </w:r>
      <w:r>
        <w:t>sections explore these issues by:</w:t>
      </w:r>
    </w:p>
    <w:p w14:paraId="25C66F8B" w14:textId="77777777" w:rsidR="00F74C07" w:rsidRDefault="00F74C07" w:rsidP="00F74C07">
      <w:pPr>
        <w:spacing w:after="0" w:line="240" w:lineRule="auto"/>
      </w:pPr>
    </w:p>
    <w:p w14:paraId="48B1F98B" w14:textId="44AAEF05" w:rsidR="00F74C07" w:rsidRDefault="00F74C07" w:rsidP="00F74C07">
      <w:pPr>
        <w:pStyle w:val="ListParagraph"/>
        <w:numPr>
          <w:ilvl w:val="0"/>
          <w:numId w:val="66"/>
        </w:numPr>
        <w:spacing w:after="0" w:line="240" w:lineRule="auto"/>
      </w:pPr>
      <w:r>
        <w:t>Outlining current deception and unconscionability provisions under the CPA</w:t>
      </w:r>
    </w:p>
    <w:p w14:paraId="6EBF1F5D" w14:textId="66697574" w:rsidR="00F74C07" w:rsidRDefault="00F74C07" w:rsidP="00F74C07">
      <w:pPr>
        <w:pStyle w:val="ListParagraph"/>
        <w:numPr>
          <w:ilvl w:val="0"/>
          <w:numId w:val="66"/>
        </w:numPr>
        <w:spacing w:after="0" w:line="240" w:lineRule="auto"/>
      </w:pPr>
      <w:r>
        <w:t>Reviewing reforms proposed by the Government of Ontario</w:t>
      </w:r>
    </w:p>
    <w:p w14:paraId="2CA8180B" w14:textId="542E3DC7" w:rsidR="00F74C07" w:rsidRDefault="00F74C07" w:rsidP="00F74C07">
      <w:pPr>
        <w:pStyle w:val="ListParagraph"/>
        <w:numPr>
          <w:ilvl w:val="0"/>
          <w:numId w:val="66"/>
        </w:numPr>
        <w:spacing w:after="0" w:line="240" w:lineRule="auto"/>
      </w:pPr>
      <w:r>
        <w:t>Highlighting contemporary digital marketplace practices noted as potentially deceptive and unconscionable</w:t>
      </w:r>
    </w:p>
    <w:p w14:paraId="352312C5" w14:textId="5396AD53" w:rsidR="00F74C07" w:rsidRDefault="00F74C07" w:rsidP="00F74C07">
      <w:pPr>
        <w:pStyle w:val="ListParagraph"/>
        <w:numPr>
          <w:ilvl w:val="0"/>
          <w:numId w:val="66"/>
        </w:numPr>
        <w:spacing w:after="0" w:line="240" w:lineRule="auto"/>
      </w:pPr>
      <w:r>
        <w:t xml:space="preserve"> </w:t>
      </w:r>
      <w:r w:rsidR="00E122FB">
        <w:t>Overviewing</w:t>
      </w:r>
      <w:r>
        <w:t xml:space="preserve"> judicial consideration of these practices and how they’ve been litigated, and </w:t>
      </w:r>
    </w:p>
    <w:p w14:paraId="1D93DD45" w14:textId="6EA0FCD3" w:rsidR="00F74C07" w:rsidRDefault="00F74C07" w:rsidP="00F74C07">
      <w:pPr>
        <w:pStyle w:val="ListParagraph"/>
        <w:numPr>
          <w:ilvl w:val="0"/>
          <w:numId w:val="66"/>
        </w:numPr>
        <w:spacing w:after="0" w:line="240" w:lineRule="auto"/>
      </w:pPr>
      <w:r>
        <w:t xml:space="preserve">Introducing law reform options that would </w:t>
      </w:r>
      <w:r w:rsidR="00E122FB">
        <w:t>update the CPA with a modern, non-exhaustive list of unconscionable practices in the online or digital marketplace</w:t>
      </w:r>
      <w:r>
        <w:t>.</w:t>
      </w:r>
    </w:p>
    <w:p w14:paraId="44F79819" w14:textId="26733ABD" w:rsidR="00E34876" w:rsidRPr="00E34876" w:rsidRDefault="00E34876" w:rsidP="00E34876">
      <w:pPr>
        <w:rPr>
          <w:i/>
          <w:iCs/>
          <w:lang w:val="en-US"/>
        </w:rPr>
      </w:pPr>
    </w:p>
    <w:p w14:paraId="62BF2649" w14:textId="11A749C5" w:rsidR="00BC0424" w:rsidRDefault="004A1CA0" w:rsidP="004A1CA0">
      <w:pPr>
        <w:pStyle w:val="Heading2"/>
      </w:pPr>
      <w:bookmarkStart w:id="95" w:name="_Toc138151868"/>
      <w:r>
        <w:t>10.1</w:t>
      </w:r>
      <w:r>
        <w:tab/>
      </w:r>
      <w:r w:rsidR="008E0D19">
        <w:t xml:space="preserve">The </w:t>
      </w:r>
      <w:r w:rsidR="00BC0424">
        <w:t xml:space="preserve">CPA </w:t>
      </w:r>
      <w:r w:rsidR="008E0D19">
        <w:t>and Proposed Amendments</w:t>
      </w:r>
      <w:bookmarkEnd w:id="95"/>
    </w:p>
    <w:p w14:paraId="68365EF9" w14:textId="11424B42" w:rsidR="00176DAE" w:rsidRDefault="00081BDE" w:rsidP="00176DAE">
      <w:r>
        <w:br/>
      </w:r>
      <w:r w:rsidR="008A1F04">
        <w:t>T</w:t>
      </w:r>
      <w:r>
        <w:t xml:space="preserve">he CPA </w:t>
      </w:r>
      <w:r w:rsidR="008A1F04">
        <w:t xml:space="preserve">includes several provisions </w:t>
      </w:r>
      <w:r>
        <w:t>protect</w:t>
      </w:r>
      <w:r w:rsidR="008A1F04">
        <w:t xml:space="preserve">ing </w:t>
      </w:r>
      <w:r>
        <w:t xml:space="preserve">consumers from deceptive </w:t>
      </w:r>
      <w:r w:rsidR="001D5CAD">
        <w:t xml:space="preserve">and unfair </w:t>
      </w:r>
      <w:r>
        <w:t xml:space="preserve">practices and terms. </w:t>
      </w:r>
      <w:r w:rsidR="008A1F04">
        <w:t xml:space="preserve">CPA section 14 </w:t>
      </w:r>
      <w:r>
        <w:t>states that it is “</w:t>
      </w:r>
      <w:r w:rsidRPr="008C4B9B">
        <w:t>an unfair practice for a person to make a false, misleading or deceptive representation</w:t>
      </w:r>
      <w:r>
        <w:t xml:space="preserve">.” Section 14(2) </w:t>
      </w:r>
      <w:r w:rsidR="00A52E52">
        <w:t xml:space="preserve">includes </w:t>
      </w:r>
      <w:r>
        <w:t xml:space="preserve">17 </w:t>
      </w:r>
      <w:r w:rsidR="004341FC">
        <w:t xml:space="preserve">enumerated </w:t>
      </w:r>
      <w:r w:rsidR="00A52E52">
        <w:t xml:space="preserve">examples </w:t>
      </w:r>
      <w:r w:rsidR="008A1F04">
        <w:t>of “</w:t>
      </w:r>
      <w:r w:rsidRPr="008C4B9B">
        <w:t>false, misleading or deceptive representation</w:t>
      </w:r>
      <w:r w:rsidR="006066EC">
        <w:t>,</w:t>
      </w:r>
      <w:r>
        <w:t>”</w:t>
      </w:r>
      <w:r w:rsidR="004341FC">
        <w:t xml:space="preserve"> </w:t>
      </w:r>
      <w:r w:rsidR="006066EC">
        <w:t xml:space="preserve">including: </w:t>
      </w:r>
    </w:p>
    <w:p w14:paraId="7764597E" w14:textId="28FCFC56" w:rsidR="00176DAE" w:rsidRPr="00176DAE" w:rsidRDefault="006066EC" w:rsidP="00470F77">
      <w:pPr>
        <w:pStyle w:val="ListParagraph"/>
        <w:numPr>
          <w:ilvl w:val="0"/>
          <w:numId w:val="38"/>
        </w:numPr>
      </w:pPr>
      <w:r>
        <w:t xml:space="preserve">Representations about </w:t>
      </w:r>
      <w:r w:rsidR="00176DAE" w:rsidRPr="00176DAE">
        <w:rPr>
          <w:rFonts w:cs="Times New Roman"/>
          <w:szCs w:val="24"/>
          <w:lang w:val="en-US"/>
        </w:rPr>
        <w:t>product or service endorsements</w:t>
      </w:r>
    </w:p>
    <w:p w14:paraId="2FB87603" w14:textId="3E4ADA9F" w:rsidR="00176DAE" w:rsidRPr="00176DAE" w:rsidRDefault="006066EC" w:rsidP="00470F77">
      <w:pPr>
        <w:pStyle w:val="ListParagraph"/>
        <w:numPr>
          <w:ilvl w:val="0"/>
          <w:numId w:val="38"/>
        </w:numPr>
      </w:pPr>
      <w:r>
        <w:rPr>
          <w:rFonts w:cs="Times New Roman"/>
          <w:szCs w:val="24"/>
          <w:lang w:val="en-US"/>
        </w:rPr>
        <w:t xml:space="preserve">Representations about product </w:t>
      </w:r>
      <w:r w:rsidR="00176DAE" w:rsidRPr="00176DAE">
        <w:rPr>
          <w:rFonts w:cs="Times New Roman"/>
          <w:szCs w:val="24"/>
          <w:lang w:val="en-US"/>
        </w:rPr>
        <w:t>performance</w:t>
      </w:r>
      <w:r w:rsidR="00176DAE">
        <w:rPr>
          <w:rFonts w:cs="Times New Roman"/>
          <w:szCs w:val="24"/>
          <w:lang w:val="en-US"/>
        </w:rPr>
        <w:t xml:space="preserve">, </w:t>
      </w:r>
      <w:r w:rsidR="00176DAE" w:rsidRPr="00176DAE">
        <w:rPr>
          <w:rFonts w:cs="Times New Roman"/>
          <w:szCs w:val="24"/>
          <w:lang w:val="en-US"/>
        </w:rPr>
        <w:t>characteristics</w:t>
      </w:r>
      <w:r w:rsidR="00176DAE">
        <w:rPr>
          <w:rFonts w:cs="Times New Roman"/>
          <w:szCs w:val="24"/>
          <w:lang w:val="en-US"/>
        </w:rPr>
        <w:t xml:space="preserve"> or uses</w:t>
      </w:r>
    </w:p>
    <w:p w14:paraId="2C77DB3D" w14:textId="388323A6" w:rsidR="00176DAE" w:rsidRPr="00176DAE" w:rsidRDefault="006066EC" w:rsidP="00470F77">
      <w:pPr>
        <w:pStyle w:val="ListParagraph"/>
        <w:numPr>
          <w:ilvl w:val="0"/>
          <w:numId w:val="38"/>
        </w:numPr>
      </w:pPr>
      <w:r>
        <w:rPr>
          <w:rFonts w:cs="Times New Roman"/>
          <w:szCs w:val="24"/>
          <w:lang w:val="en-US"/>
        </w:rPr>
        <w:t xml:space="preserve">Representations about the </w:t>
      </w:r>
      <w:r w:rsidR="00176DAE" w:rsidRPr="00176DAE">
        <w:rPr>
          <w:rFonts w:cs="Times New Roman"/>
          <w:szCs w:val="24"/>
          <w:lang w:val="en-US"/>
        </w:rPr>
        <w:t>benefits</w:t>
      </w:r>
      <w:r w:rsidR="00176DAE">
        <w:rPr>
          <w:rFonts w:cs="Times New Roman"/>
          <w:szCs w:val="24"/>
          <w:lang w:val="en-US"/>
        </w:rPr>
        <w:t xml:space="preserve"> of a product, and</w:t>
      </w:r>
    </w:p>
    <w:p w14:paraId="213AD48C" w14:textId="5AF76F3A" w:rsidR="00176DAE" w:rsidRPr="00176DAE" w:rsidRDefault="006066EC" w:rsidP="00470F77">
      <w:pPr>
        <w:pStyle w:val="ListParagraph"/>
        <w:numPr>
          <w:ilvl w:val="0"/>
          <w:numId w:val="38"/>
        </w:numPr>
      </w:pPr>
      <w:r w:rsidRPr="1F5E9E68">
        <w:rPr>
          <w:rFonts w:cs="Times New Roman"/>
          <w:lang w:val="en-US"/>
        </w:rPr>
        <w:t xml:space="preserve">Representations about the </w:t>
      </w:r>
      <w:r w:rsidR="00176DAE" w:rsidRPr="1F5E9E68">
        <w:rPr>
          <w:rFonts w:cs="Times New Roman"/>
          <w:lang w:val="en-US"/>
        </w:rPr>
        <w:t>necessity of a product or service (such as a repair).</w:t>
      </w:r>
      <w:r w:rsidR="00176DAE" w:rsidRPr="1F5E9E68">
        <w:rPr>
          <w:rStyle w:val="EndnoteReference"/>
          <w:rFonts w:cs="Times New Roman"/>
          <w:lang w:val="en-US"/>
        </w:rPr>
        <w:endnoteReference w:id="317"/>
      </w:r>
    </w:p>
    <w:p w14:paraId="3F8AF683" w14:textId="42EC1200" w:rsidR="00FD29A1" w:rsidRDefault="00FD29A1" w:rsidP="00176DAE">
      <w:pPr>
        <w:rPr>
          <w:rFonts w:cs="Times New Roman"/>
          <w:szCs w:val="24"/>
          <w:lang w:val="en-US"/>
        </w:rPr>
      </w:pPr>
      <w:r>
        <w:lastRenderedPageBreak/>
        <w:t>CPA section 15 also prohibits “</w:t>
      </w:r>
      <w:r>
        <w:rPr>
          <w:rFonts w:cs="Times New Roman"/>
          <w:szCs w:val="24"/>
          <w:lang w:val="en-US"/>
        </w:rPr>
        <w:t>u</w:t>
      </w:r>
      <w:r w:rsidR="00176DAE" w:rsidRPr="00176DAE">
        <w:rPr>
          <w:rFonts w:cs="Times New Roman"/>
          <w:szCs w:val="24"/>
          <w:lang w:val="en-US"/>
        </w:rPr>
        <w:t>nconscionable representation</w:t>
      </w:r>
      <w:r>
        <w:rPr>
          <w:rFonts w:cs="Times New Roman"/>
          <w:szCs w:val="24"/>
          <w:lang w:val="en-US"/>
        </w:rPr>
        <w:t>” and lists examples</w:t>
      </w:r>
      <w:r w:rsidR="006066EC">
        <w:rPr>
          <w:rFonts w:cs="Times New Roman"/>
          <w:szCs w:val="24"/>
          <w:lang w:val="en-US"/>
        </w:rPr>
        <w:t xml:space="preserve">, </w:t>
      </w:r>
      <w:r>
        <w:rPr>
          <w:rFonts w:cs="Times New Roman"/>
          <w:szCs w:val="24"/>
          <w:lang w:val="en-US"/>
        </w:rPr>
        <w:t>includ</w:t>
      </w:r>
      <w:r w:rsidR="006066EC">
        <w:rPr>
          <w:rFonts w:cs="Times New Roman"/>
          <w:szCs w:val="24"/>
          <w:lang w:val="en-US"/>
        </w:rPr>
        <w:t>ing</w:t>
      </w:r>
      <w:r>
        <w:rPr>
          <w:rFonts w:cs="Times New Roman"/>
          <w:szCs w:val="24"/>
          <w:lang w:val="en-US"/>
        </w:rPr>
        <w:t>:</w:t>
      </w:r>
    </w:p>
    <w:p w14:paraId="787C763C" w14:textId="5AE829C7" w:rsidR="00FD29A1" w:rsidRDefault="006066EC" w:rsidP="00470F77">
      <w:pPr>
        <w:pStyle w:val="ListParagraph"/>
        <w:numPr>
          <w:ilvl w:val="0"/>
          <w:numId w:val="39"/>
        </w:numPr>
        <w:rPr>
          <w:rFonts w:cs="Times New Roman"/>
          <w:szCs w:val="24"/>
          <w:lang w:val="en-US"/>
        </w:rPr>
      </w:pPr>
      <w:r w:rsidRPr="00FD29A1">
        <w:rPr>
          <w:rFonts w:cs="Times New Roman"/>
          <w:szCs w:val="24"/>
          <w:lang w:val="en-US"/>
        </w:rPr>
        <w:t>Exploiting consumer vulnerabilities related to disability, ignorance, illiteracy and language barriers</w:t>
      </w:r>
    </w:p>
    <w:p w14:paraId="1D74CC26" w14:textId="30760B2F" w:rsidR="00FD29A1" w:rsidRDefault="006066EC" w:rsidP="00470F77">
      <w:pPr>
        <w:pStyle w:val="ListParagraph"/>
        <w:numPr>
          <w:ilvl w:val="0"/>
          <w:numId w:val="39"/>
        </w:numPr>
        <w:rPr>
          <w:rFonts w:cs="Times New Roman"/>
          <w:szCs w:val="24"/>
          <w:lang w:val="en-US"/>
        </w:rPr>
      </w:pPr>
      <w:r w:rsidRPr="00FD29A1">
        <w:rPr>
          <w:rFonts w:cs="Times New Roman"/>
          <w:szCs w:val="24"/>
          <w:lang w:val="en-US"/>
        </w:rPr>
        <w:t>Excessively one-sided terms in favor of the seller</w:t>
      </w:r>
    </w:p>
    <w:p w14:paraId="6019F5DB" w14:textId="4A99D600" w:rsidR="00FD29A1" w:rsidRDefault="006066EC" w:rsidP="00470F77">
      <w:pPr>
        <w:pStyle w:val="ListParagraph"/>
        <w:numPr>
          <w:ilvl w:val="0"/>
          <w:numId w:val="39"/>
        </w:numPr>
        <w:rPr>
          <w:rFonts w:cs="Times New Roman"/>
          <w:szCs w:val="24"/>
          <w:lang w:val="en-US"/>
        </w:rPr>
      </w:pPr>
      <w:r w:rsidRPr="00FD29A1">
        <w:rPr>
          <w:rFonts w:cs="Times New Roman"/>
          <w:szCs w:val="24"/>
          <w:lang w:val="en-US"/>
        </w:rPr>
        <w:t>Grossly inflated pricing</w:t>
      </w:r>
    </w:p>
    <w:p w14:paraId="6FB14EFD" w14:textId="29C8E2C4" w:rsidR="00FD29A1" w:rsidRDefault="006066EC" w:rsidP="00470F77">
      <w:pPr>
        <w:pStyle w:val="ListParagraph"/>
        <w:numPr>
          <w:ilvl w:val="0"/>
          <w:numId w:val="39"/>
        </w:numPr>
        <w:rPr>
          <w:rFonts w:cs="Times New Roman"/>
          <w:szCs w:val="24"/>
          <w:lang w:val="en-US"/>
        </w:rPr>
      </w:pPr>
      <w:r w:rsidRPr="00FD29A1">
        <w:rPr>
          <w:rFonts w:cs="Times New Roman"/>
          <w:szCs w:val="24"/>
          <w:lang w:val="en-US"/>
        </w:rPr>
        <w:t>Misleading statements or terms to the detriment of the consumer</w:t>
      </w:r>
      <w:r w:rsidR="00FD29A1">
        <w:rPr>
          <w:rFonts w:cs="Times New Roman"/>
          <w:szCs w:val="24"/>
          <w:lang w:val="en-US"/>
        </w:rPr>
        <w:t>, and</w:t>
      </w:r>
    </w:p>
    <w:p w14:paraId="68F8BA80" w14:textId="77EA9020" w:rsidR="00176DAE" w:rsidRPr="00FD29A1" w:rsidRDefault="006066EC" w:rsidP="00470F77">
      <w:pPr>
        <w:pStyle w:val="ListParagraph"/>
        <w:numPr>
          <w:ilvl w:val="0"/>
          <w:numId w:val="39"/>
        </w:numPr>
        <w:rPr>
          <w:rFonts w:cs="Times New Roman"/>
          <w:szCs w:val="24"/>
          <w:lang w:val="en-US"/>
        </w:rPr>
      </w:pPr>
      <w:r w:rsidRPr="1F5E9E68">
        <w:rPr>
          <w:rFonts w:cs="Times New Roman"/>
          <w:lang w:val="en-US"/>
        </w:rPr>
        <w:t>Undue pr</w:t>
      </w:r>
      <w:r w:rsidR="00176DAE" w:rsidRPr="1F5E9E68">
        <w:rPr>
          <w:rFonts w:cs="Times New Roman"/>
          <w:lang w:val="en-US"/>
        </w:rPr>
        <w:t>essure to enter into the transaction</w:t>
      </w:r>
      <w:r w:rsidR="00FD29A1" w:rsidRPr="1F5E9E68">
        <w:rPr>
          <w:rFonts w:cs="Times New Roman"/>
          <w:lang w:val="en-US"/>
        </w:rPr>
        <w:t>, such as withholding goods</w:t>
      </w:r>
      <w:r w:rsidR="00176DAE" w:rsidRPr="1F5E9E68">
        <w:rPr>
          <w:rFonts w:cs="Times New Roman"/>
          <w:lang w:val="en-US"/>
        </w:rPr>
        <w:t>.</w:t>
      </w:r>
      <w:r w:rsidR="00176DAE" w:rsidRPr="1F5E9E68">
        <w:rPr>
          <w:rStyle w:val="EndnoteReference"/>
          <w:rFonts w:cs="Times New Roman"/>
          <w:lang w:val="en-US"/>
        </w:rPr>
        <w:endnoteReference w:id="318"/>
      </w:r>
    </w:p>
    <w:p w14:paraId="06A8A330" w14:textId="0D9FADDC" w:rsidR="00081BDE" w:rsidRDefault="00081BDE" w:rsidP="00081BDE">
      <w:r>
        <w:t>I</w:t>
      </w:r>
      <w:r w:rsidR="00A52E52">
        <w:t xml:space="preserve">mportantly, the </w:t>
      </w:r>
      <w:r w:rsidR="008A1F04">
        <w:t xml:space="preserve">CPA states that the listed </w:t>
      </w:r>
      <w:r w:rsidR="00A52E52">
        <w:t xml:space="preserve">examples </w:t>
      </w:r>
      <w:r w:rsidR="00FD29A1">
        <w:t xml:space="preserve">of deception and unconscionability </w:t>
      </w:r>
      <w:r w:rsidR="00A52E52">
        <w:t xml:space="preserve">are </w:t>
      </w:r>
      <w:r w:rsidR="008A1F04">
        <w:t xml:space="preserve">not exhaustive </w:t>
      </w:r>
      <w:r w:rsidR="00624BC1">
        <w:t xml:space="preserve">and </w:t>
      </w:r>
      <w:r w:rsidR="00A52E52">
        <w:t>do no</w:t>
      </w:r>
      <w:r w:rsidR="00624BC1">
        <w:t>t</w:t>
      </w:r>
      <w:r w:rsidR="00A52E52">
        <w:t xml:space="preserve"> </w:t>
      </w:r>
      <w:r>
        <w:t>“</w:t>
      </w:r>
      <w:r w:rsidR="00A52E52">
        <w:t xml:space="preserve">[limit] </w:t>
      </w:r>
      <w:r w:rsidRPr="008C4B9B">
        <w:t>the generality of what constitutes a false, misleading or deceptive representation</w:t>
      </w:r>
      <w:r>
        <w:t>.”</w:t>
      </w:r>
      <w:r w:rsidR="000D0ABE">
        <w:rPr>
          <w:rStyle w:val="EndnoteReference"/>
        </w:rPr>
        <w:endnoteReference w:id="319"/>
      </w:r>
    </w:p>
    <w:p w14:paraId="4CA022F4" w14:textId="7F76E2EB" w:rsidR="00BC0424" w:rsidRDefault="00624BC1" w:rsidP="00A52E52">
      <w:pPr>
        <w:spacing w:after="0"/>
      </w:pPr>
      <w:r>
        <w:t xml:space="preserve">The </w:t>
      </w:r>
      <w:r w:rsidR="00A52E52">
        <w:t xml:space="preserve">CPA </w:t>
      </w:r>
      <w:r w:rsidR="001235D8">
        <w:t>includes several additional protections against consumer deception.</w:t>
      </w:r>
      <w:r w:rsidR="009E0094">
        <w:t xml:space="preserve"> </w:t>
      </w:r>
      <w:r w:rsidR="001235D8">
        <w:t xml:space="preserve">For example, </w:t>
      </w:r>
      <w:r w:rsidR="00A52E52">
        <w:t>s</w:t>
      </w:r>
      <w:r w:rsidR="00081BDE">
        <w:t xml:space="preserve">ection </w:t>
      </w:r>
      <w:r w:rsidR="00081BDE" w:rsidRPr="008C4B9B">
        <w:t xml:space="preserve">17(1) </w:t>
      </w:r>
      <w:r w:rsidR="00081BDE">
        <w:t>specifies that “</w:t>
      </w:r>
      <w:r w:rsidR="00081BDE" w:rsidRPr="008C4B9B">
        <w:t>No person shall engage in an unfair practice</w:t>
      </w:r>
      <w:r w:rsidR="00081BDE">
        <w:t>”</w:t>
      </w:r>
      <w:r w:rsidR="009C03F8">
        <w:rPr>
          <w:rStyle w:val="EndnoteReference"/>
        </w:rPr>
        <w:endnoteReference w:id="320"/>
      </w:r>
      <w:r w:rsidR="00081BDE">
        <w:t xml:space="preserve"> while section </w:t>
      </w:r>
      <w:r w:rsidR="00081BDE" w:rsidRPr="008C4B9B">
        <w:t xml:space="preserve">18(1) </w:t>
      </w:r>
      <w:r w:rsidR="00081BDE">
        <w:t>empowers consumers to vacate</w:t>
      </w:r>
      <w:r w:rsidR="00FD29A1">
        <w:t>:</w:t>
      </w:r>
    </w:p>
    <w:p w14:paraId="1181216C" w14:textId="77777777" w:rsidR="00BC0424" w:rsidRDefault="00BC0424" w:rsidP="00A52E52">
      <w:pPr>
        <w:spacing w:after="0"/>
      </w:pPr>
    </w:p>
    <w:p w14:paraId="4FA9A8FA" w14:textId="28B0C210" w:rsidR="00081BDE" w:rsidRPr="009C03F8" w:rsidRDefault="00081BDE" w:rsidP="00BC0424">
      <w:pPr>
        <w:spacing w:after="0"/>
        <w:ind w:left="720"/>
      </w:pPr>
      <w:r w:rsidRPr="1F5E9E68">
        <w:rPr>
          <w:i/>
          <w:iCs/>
        </w:rPr>
        <w:t>Any agreement, whether written, oral or implied, entered into by a consumer after or while a person has engaged in an unfair practice may be rescinded by the consumer and the consumer is entitled to any remedy that is available in law, including damages.</w:t>
      </w:r>
      <w:r w:rsidR="009C03F8" w:rsidRPr="009B35D3">
        <w:rPr>
          <w:rStyle w:val="EndnoteReference"/>
        </w:rPr>
        <w:endnoteReference w:id="321"/>
      </w:r>
    </w:p>
    <w:p w14:paraId="1FD2C97A" w14:textId="77777777" w:rsidR="00BC0424" w:rsidRDefault="00BC0424" w:rsidP="00BC0424">
      <w:pPr>
        <w:spacing w:after="0"/>
      </w:pPr>
    </w:p>
    <w:p w14:paraId="3AC45AE8" w14:textId="6AB0B829" w:rsidR="00081BDE" w:rsidRDefault="001235D8" w:rsidP="00BC0424">
      <w:pPr>
        <w:spacing w:after="0"/>
      </w:pPr>
      <w:r>
        <w:t xml:space="preserve">Finally, the </w:t>
      </w:r>
      <w:r w:rsidR="00081BDE">
        <w:t>CPA specifies that a</w:t>
      </w:r>
      <w:r w:rsidR="00081BDE" w:rsidRPr="008C4B9B">
        <w:t xml:space="preserve"> court may award exemplary or punitive damages in addition to any other remedy in an action commenced under </w:t>
      </w:r>
      <w:r>
        <w:t>section 17.</w:t>
      </w:r>
      <w:r w:rsidR="00592201">
        <w:rPr>
          <w:rStyle w:val="EndnoteReference"/>
        </w:rPr>
        <w:endnoteReference w:id="322"/>
      </w:r>
    </w:p>
    <w:p w14:paraId="1895E6B2" w14:textId="49C0006C" w:rsidR="000D0ABE" w:rsidRDefault="000D0ABE" w:rsidP="00BC0424">
      <w:pPr>
        <w:spacing w:after="0"/>
      </w:pPr>
    </w:p>
    <w:p w14:paraId="55E92B29" w14:textId="3E018004" w:rsidR="00FD29A1" w:rsidRDefault="007641AF" w:rsidP="00FD29A1">
      <w:r>
        <w:t xml:space="preserve">Notably, CPA section </w:t>
      </w:r>
      <w:r w:rsidR="00FD29A1">
        <w:t>14(2) does not include specific examples of “false, misleading or deceptive representation” in the digital marketplace. The most relevant examples are in paragraphs 13 and 14:</w:t>
      </w:r>
    </w:p>
    <w:p w14:paraId="6D29AB38" w14:textId="77777777" w:rsidR="00FD29A1" w:rsidRDefault="00FD29A1" w:rsidP="00FD29A1">
      <w:pPr>
        <w:pStyle w:val="Quote"/>
        <w:rPr>
          <w:i/>
          <w:iCs/>
        </w:rPr>
      </w:pPr>
      <w:r w:rsidRPr="00A52E52">
        <w:rPr>
          <w:i/>
          <w:iCs/>
        </w:rPr>
        <w:t>13. A representation that the transaction involves or does not involve rights, remedies or obligations if the representation is false, misleading or deceptive.</w:t>
      </w:r>
    </w:p>
    <w:p w14:paraId="729A6FB0" w14:textId="77777777" w:rsidR="00FD29A1" w:rsidRPr="00A52E52" w:rsidRDefault="00FD29A1" w:rsidP="00FD29A1">
      <w:pPr>
        <w:spacing w:after="0"/>
      </w:pPr>
    </w:p>
    <w:p w14:paraId="29BBA5F4" w14:textId="77777777" w:rsidR="00FD29A1" w:rsidRPr="00A52E52" w:rsidRDefault="00FD29A1" w:rsidP="00FD29A1">
      <w:pPr>
        <w:pStyle w:val="Quote"/>
        <w:rPr>
          <w:i/>
          <w:iCs/>
        </w:rPr>
      </w:pPr>
      <w:r w:rsidRPr="00A52E52">
        <w:rPr>
          <w:i/>
          <w:iCs/>
        </w:rPr>
        <w:t>14. A representation using exaggeration, innuendo or ambiguity as to a material fact or failing to state a material fact if such use or failure deceives or tends to deceive.</w:t>
      </w:r>
    </w:p>
    <w:p w14:paraId="65DD0D31" w14:textId="6C44D6BA" w:rsidR="000D0ABE" w:rsidRDefault="000D0ABE" w:rsidP="00BC0424">
      <w:pPr>
        <w:spacing w:after="0"/>
      </w:pPr>
    </w:p>
    <w:p w14:paraId="68701E0A" w14:textId="757B530D" w:rsidR="003D2F58" w:rsidRDefault="00405253" w:rsidP="00F34312">
      <w:pPr>
        <w:spacing w:after="0"/>
      </w:pPr>
      <w:r>
        <w:t xml:space="preserve">The 2020 and 2023 CPA amendments proposed by </w:t>
      </w:r>
      <w:r w:rsidR="006066EC">
        <w:t xml:space="preserve">the provincial government </w:t>
      </w:r>
      <w:r>
        <w:t xml:space="preserve">have the stated </w:t>
      </w:r>
      <w:r w:rsidR="003D2F58">
        <w:t>aim</w:t>
      </w:r>
      <w:r>
        <w:t xml:space="preserve"> </w:t>
      </w:r>
      <w:r w:rsidR="003D2F58">
        <w:t>to:</w:t>
      </w:r>
    </w:p>
    <w:p w14:paraId="3BB2945C" w14:textId="77777777" w:rsidR="003D2F58" w:rsidRDefault="003D2F58" w:rsidP="00F34312">
      <w:pPr>
        <w:spacing w:after="0"/>
      </w:pPr>
    </w:p>
    <w:p w14:paraId="19244D4F" w14:textId="5F380452" w:rsidR="00F34312" w:rsidRPr="003D2F58" w:rsidRDefault="006066EC" w:rsidP="003D2F58">
      <w:pPr>
        <w:pStyle w:val="Quote"/>
        <w:rPr>
          <w:i/>
          <w:iCs/>
        </w:rPr>
      </w:pPr>
      <w:r w:rsidRPr="1F5E9E68">
        <w:rPr>
          <w:i/>
          <w:iCs/>
        </w:rPr>
        <w:t>…</w:t>
      </w:r>
      <w:r w:rsidR="003D2F58" w:rsidRPr="1F5E9E68">
        <w:rPr>
          <w:i/>
          <w:iCs/>
        </w:rPr>
        <w:t>better protect consumers, in particular vulnerable consumers, from unscrupulous behaviour by being clearer and more prescriptive as to what constitutes unconscionable conduct and by providing additional examples of unfair practices.</w:t>
      </w:r>
      <w:r w:rsidR="003D2F58" w:rsidRPr="1F5E9E68">
        <w:rPr>
          <w:rStyle w:val="EndnoteReference"/>
          <w:i/>
          <w:iCs/>
        </w:rPr>
        <w:endnoteReference w:id="323"/>
      </w:r>
    </w:p>
    <w:p w14:paraId="17E6C396" w14:textId="77777777" w:rsidR="00F34312" w:rsidRDefault="00F34312" w:rsidP="00F34312">
      <w:pPr>
        <w:spacing w:after="0"/>
      </w:pPr>
    </w:p>
    <w:p w14:paraId="601BD723" w14:textId="1C3B8485" w:rsidR="002D4C6E" w:rsidRDefault="00AD52D4" w:rsidP="00AD52D4">
      <w:r>
        <w:t>The 2023 Consultation Paper proposes several specific CPA reforms to address unfair consumer practices, including</w:t>
      </w:r>
      <w:r w:rsidR="002D4C6E">
        <w:t>:</w:t>
      </w:r>
    </w:p>
    <w:p w14:paraId="27195127" w14:textId="14448586" w:rsidR="002D4C6E" w:rsidRDefault="002D4C6E" w:rsidP="00470F77">
      <w:pPr>
        <w:pStyle w:val="ListParagraph"/>
        <w:numPr>
          <w:ilvl w:val="0"/>
          <w:numId w:val="45"/>
        </w:numPr>
      </w:pPr>
      <w:r>
        <w:t>E</w:t>
      </w:r>
      <w:r w:rsidRPr="00D930D3">
        <w:t>xplicitly prohibit</w:t>
      </w:r>
      <w:r w:rsidR="006F588C">
        <w:t>ing</w:t>
      </w:r>
      <w:r w:rsidRPr="00D930D3">
        <w:t xml:space="preserve"> businesses from including terms in a contract that appear to waive express consumer rights in the CPA to file a complaint with the Ministry, join a class action</w:t>
      </w:r>
      <w:r>
        <w:t>,</w:t>
      </w:r>
      <w:r w:rsidRPr="00D930D3">
        <w:t xml:space="preserve"> or commence an action in court</w:t>
      </w:r>
      <w:r>
        <w:t>.</w:t>
      </w:r>
    </w:p>
    <w:p w14:paraId="114B0D2D" w14:textId="7AB7004C" w:rsidR="002D4C6E" w:rsidRDefault="002D4C6E" w:rsidP="00470F77">
      <w:pPr>
        <w:pStyle w:val="ListParagraph"/>
        <w:numPr>
          <w:ilvl w:val="0"/>
          <w:numId w:val="45"/>
        </w:numPr>
      </w:pPr>
      <w:r>
        <w:t>P</w:t>
      </w:r>
      <w:r w:rsidRPr="00D930D3">
        <w:t>rohibit</w:t>
      </w:r>
      <w:r w:rsidR="006F588C">
        <w:t>ing</w:t>
      </w:r>
      <w:r w:rsidRPr="00D930D3">
        <w:t xml:space="preserve"> terms that infringe on consumers’ rights to make fair public reviews of a business or service</w:t>
      </w:r>
      <w:r>
        <w:t>.</w:t>
      </w:r>
    </w:p>
    <w:p w14:paraId="0745402F" w14:textId="5A98E188" w:rsidR="002D4C6E" w:rsidRDefault="002D4C6E" w:rsidP="00470F77">
      <w:pPr>
        <w:pStyle w:val="ListParagraph"/>
        <w:numPr>
          <w:ilvl w:val="0"/>
          <w:numId w:val="45"/>
        </w:numPr>
      </w:pPr>
      <w:r>
        <w:lastRenderedPageBreak/>
        <w:t>Specify</w:t>
      </w:r>
      <w:r w:rsidR="006F588C">
        <w:t>ing</w:t>
      </w:r>
      <w:r w:rsidRPr="00E96FCB">
        <w:t xml:space="preserve"> </w:t>
      </w:r>
      <w:r>
        <w:t xml:space="preserve">that it would be unfair practice </w:t>
      </w:r>
      <w:r w:rsidRPr="00E96FCB">
        <w:t>to provide contract-breaking services to a consumer without first disclosing the consumers’ rights and cost of the service</w:t>
      </w:r>
      <w:r w:rsidR="00DB30E4">
        <w:t>, and only getting paid if successful.</w:t>
      </w:r>
    </w:p>
    <w:p w14:paraId="1FE750FB" w14:textId="70EE549C" w:rsidR="00CA25E4" w:rsidRDefault="00DB30E4" w:rsidP="00751CE0">
      <w:r>
        <w:t xml:space="preserve">These proposals are evidently aimed at further preventing </w:t>
      </w:r>
      <w:r w:rsidR="00AD52D4">
        <w:t>deception and unfair practices</w:t>
      </w:r>
      <w:r>
        <w:t xml:space="preserve">, which </w:t>
      </w:r>
      <w:r w:rsidR="00AD52D4">
        <w:t xml:space="preserve">is a long-standing priority for consumer protection. </w:t>
      </w:r>
      <w:r w:rsidR="00F410B8">
        <w:t xml:space="preserve">That said, </w:t>
      </w:r>
      <w:r w:rsidR="002D4C6E">
        <w:t>the proposals may be too narrow to meet the Ministry’s objective to “better protect consumers” in the digital marketplace.</w:t>
      </w:r>
      <w:r w:rsidR="00751CE0">
        <w:t xml:space="preserve"> For instance, the </w:t>
      </w:r>
      <w:r w:rsidR="006F588C">
        <w:t xml:space="preserve">provincial government’s </w:t>
      </w:r>
      <w:r w:rsidR="00751CE0">
        <w:t>proposal</w:t>
      </w:r>
      <w:r w:rsidR="006F588C">
        <w:t>s</w:t>
      </w:r>
      <w:r w:rsidR="00751CE0">
        <w:t xml:space="preserve"> include only one new provision to address deception and unconscionability in predatory contract-breaking services.</w:t>
      </w:r>
      <w:r w:rsidR="00751CE0">
        <w:rPr>
          <w:rStyle w:val="EndnoteReference"/>
        </w:rPr>
        <w:endnoteReference w:id="324"/>
      </w:r>
      <w:r w:rsidR="00751CE0">
        <w:t xml:space="preserve"> </w:t>
      </w:r>
    </w:p>
    <w:p w14:paraId="22A068C9" w14:textId="33E7526F" w:rsidR="00751CE0" w:rsidRDefault="00751CE0" w:rsidP="00751CE0">
      <w:r>
        <w:t xml:space="preserve">Other proposed changes to unconscionable terms in the 2023 Consultation Paper are either minor variations or verbatim examples of unconscionability already defined in CPA s. 15. </w:t>
      </w:r>
    </w:p>
    <w:p w14:paraId="6D204A0D" w14:textId="77777777" w:rsidR="00EA3981" w:rsidRDefault="00EA3981" w:rsidP="00751CE0"/>
    <w:p w14:paraId="7A260DAC" w14:textId="41BC6987" w:rsidR="00BC0424" w:rsidRDefault="004A1CA0" w:rsidP="004A1CA0">
      <w:pPr>
        <w:pStyle w:val="Heading2"/>
      </w:pPr>
      <w:bookmarkStart w:id="96" w:name="_Toc138151869"/>
      <w:r>
        <w:t>10.2</w:t>
      </w:r>
      <w:r>
        <w:tab/>
      </w:r>
      <w:r w:rsidR="00BC0424">
        <w:t xml:space="preserve">Deception </w:t>
      </w:r>
      <w:r w:rsidR="000D0ABE">
        <w:t xml:space="preserve">and Unconscionability </w:t>
      </w:r>
      <w:r w:rsidR="00BC0424">
        <w:t>in the Digital Marketplace</w:t>
      </w:r>
      <w:bookmarkEnd w:id="96"/>
      <w:r w:rsidR="00BC0424">
        <w:t xml:space="preserve"> </w:t>
      </w:r>
    </w:p>
    <w:p w14:paraId="1DEF9421" w14:textId="77777777" w:rsidR="001235D8" w:rsidRDefault="001235D8" w:rsidP="008A1F04">
      <w:pPr>
        <w:spacing w:after="0"/>
      </w:pPr>
    </w:p>
    <w:p w14:paraId="742FB7B0" w14:textId="4C5231C8" w:rsidR="00F410B8" w:rsidRDefault="00F410B8" w:rsidP="00F410B8">
      <w:pPr>
        <w:spacing w:after="0"/>
      </w:pPr>
      <w:r>
        <w:t>Research and experience demonstrate that business and contracting practices in the digital marketplace engage new and complex forms of deception and unconscionability.</w:t>
      </w:r>
      <w:r w:rsidR="009E0094">
        <w:t xml:space="preserve"> </w:t>
      </w:r>
      <w:r>
        <w:t>This section summarizes several w</w:t>
      </w:r>
      <w:r w:rsidR="00FB17EA">
        <w:t>ell-known e</w:t>
      </w:r>
      <w:r w:rsidR="001235D8">
        <w:t>xamples</w:t>
      </w:r>
      <w:r>
        <w:t>.</w:t>
      </w:r>
      <w:r w:rsidR="009E0094">
        <w:t xml:space="preserve"> </w:t>
      </w:r>
      <w:r>
        <w:t>The ALI identifies the</w:t>
      </w:r>
      <w:r w:rsidR="006F588C">
        <w:t xml:space="preserve"> following</w:t>
      </w:r>
      <w:r>
        <w:t xml:space="preserve"> practices as potentially deceptive and unconscionable practices.</w:t>
      </w:r>
      <w:r>
        <w:rPr>
          <w:rStyle w:val="EndnoteReference"/>
        </w:rPr>
        <w:endnoteReference w:id="325"/>
      </w:r>
      <w:r>
        <w:t xml:space="preserve"> </w:t>
      </w:r>
    </w:p>
    <w:p w14:paraId="65E4C961" w14:textId="77777777" w:rsidR="00FB17EA" w:rsidRDefault="00FB17EA" w:rsidP="008C3A68">
      <w:pPr>
        <w:spacing w:after="0" w:line="240" w:lineRule="auto"/>
      </w:pPr>
    </w:p>
    <w:p w14:paraId="73405A09" w14:textId="03BAAAF6" w:rsidR="00FB17EA" w:rsidRPr="008546ED" w:rsidRDefault="008A1F04" w:rsidP="007A41A0">
      <w:pPr>
        <w:rPr>
          <w:b/>
          <w:bCs/>
          <w:i/>
          <w:iCs/>
        </w:rPr>
      </w:pPr>
      <w:r w:rsidRPr="008546ED">
        <w:rPr>
          <w:b/>
          <w:bCs/>
          <w:i/>
          <w:iCs/>
        </w:rPr>
        <w:t xml:space="preserve">Use </w:t>
      </w:r>
      <w:r w:rsidR="00FB17EA" w:rsidRPr="008546ED">
        <w:rPr>
          <w:b/>
          <w:bCs/>
          <w:i/>
          <w:iCs/>
        </w:rPr>
        <w:t xml:space="preserve">of </w:t>
      </w:r>
      <w:r w:rsidR="001A0989" w:rsidRPr="008546ED">
        <w:rPr>
          <w:b/>
          <w:bCs/>
          <w:i/>
          <w:iCs/>
        </w:rPr>
        <w:t>Vague and Misleading Language</w:t>
      </w:r>
      <w:r w:rsidR="009E0094" w:rsidRPr="008546ED">
        <w:rPr>
          <w:b/>
          <w:bCs/>
          <w:i/>
          <w:iCs/>
        </w:rPr>
        <w:t xml:space="preserve"> </w:t>
      </w:r>
    </w:p>
    <w:p w14:paraId="7F7CEB0D" w14:textId="69E5228B" w:rsidR="00FB17EA" w:rsidRDefault="00FB17EA" w:rsidP="00FB17EA">
      <w:r>
        <w:t xml:space="preserve">ToS may include plain-language terms and provisions that mislead the consumer as to </w:t>
      </w:r>
      <w:r w:rsidR="005D79CB">
        <w:t xml:space="preserve">their </w:t>
      </w:r>
      <w:r>
        <w:t>true effect.</w:t>
      </w:r>
      <w:r w:rsidR="009E0094">
        <w:t xml:space="preserve"> </w:t>
      </w:r>
      <w:r>
        <w:t>For example, p</w:t>
      </w:r>
      <w:r w:rsidR="008A1F04">
        <w:t>latforms may obscure user data monetization practices under the guise of “improving your experience</w:t>
      </w:r>
      <w:r w:rsidR="001A0989">
        <w:t>.</w:t>
      </w:r>
      <w:r w:rsidR="008A1F04">
        <w:t>”</w:t>
      </w:r>
      <w:r w:rsidR="001A0989">
        <w:rPr>
          <w:rStyle w:val="EndnoteReference"/>
        </w:rPr>
        <w:endnoteReference w:id="326"/>
      </w:r>
      <w:r w:rsidR="008A1F04">
        <w:t xml:space="preserve"> In one </w:t>
      </w:r>
      <w:r w:rsidR="001235D8">
        <w:t xml:space="preserve">notable </w:t>
      </w:r>
      <w:r w:rsidR="008A1F04">
        <w:t>example</w:t>
      </w:r>
      <w:r w:rsidR="001235D8">
        <w:t>,</w:t>
      </w:r>
      <w:r w:rsidR="008A1F04">
        <w:t xml:space="preserve"> the popular</w:t>
      </w:r>
      <w:r w:rsidR="008A1F04" w:rsidRPr="006D1650">
        <w:t xml:space="preserve"> </w:t>
      </w:r>
      <w:r w:rsidR="008A1F04" w:rsidRPr="00794F2E">
        <w:t xml:space="preserve">family safety app </w:t>
      </w:r>
      <w:r w:rsidR="008A1F04">
        <w:t xml:space="preserve">Life360 was revealed to be selling precise location on its 33 million users </w:t>
      </w:r>
      <w:r w:rsidR="001235D8">
        <w:t xml:space="preserve">including </w:t>
      </w:r>
      <w:r w:rsidR="008A1F04">
        <w:t xml:space="preserve">children to </w:t>
      </w:r>
      <w:r w:rsidR="001235D8">
        <w:t xml:space="preserve">more than </w:t>
      </w:r>
      <w:r w:rsidR="008A1F04">
        <w:t>a dozen data brokers.</w:t>
      </w:r>
      <w:r w:rsidR="008A1F04">
        <w:rPr>
          <w:rStyle w:val="EndnoteReference"/>
        </w:rPr>
        <w:endnoteReference w:id="327"/>
      </w:r>
      <w:r w:rsidR="008A1F04">
        <w:t xml:space="preserve"> </w:t>
      </w:r>
    </w:p>
    <w:p w14:paraId="566E69D1" w14:textId="661A8EE7" w:rsidR="00FB17EA" w:rsidRPr="008546ED" w:rsidRDefault="00FB17EA" w:rsidP="007A41A0">
      <w:pPr>
        <w:rPr>
          <w:b/>
          <w:bCs/>
          <w:i/>
          <w:iCs/>
        </w:rPr>
      </w:pPr>
      <w:r w:rsidRPr="008546ED">
        <w:rPr>
          <w:b/>
          <w:bCs/>
          <w:i/>
          <w:iCs/>
        </w:rPr>
        <w:t>U</w:t>
      </w:r>
      <w:r w:rsidR="008A1F04" w:rsidRPr="008546ED">
        <w:rPr>
          <w:b/>
          <w:bCs/>
          <w:i/>
          <w:iCs/>
        </w:rPr>
        <w:t xml:space="preserve">nenforceable </w:t>
      </w:r>
      <w:r w:rsidRPr="008546ED">
        <w:rPr>
          <w:b/>
          <w:bCs/>
          <w:i/>
          <w:iCs/>
        </w:rPr>
        <w:t>T</w:t>
      </w:r>
      <w:r w:rsidR="008A1F04" w:rsidRPr="008546ED">
        <w:rPr>
          <w:b/>
          <w:bCs/>
          <w:i/>
          <w:iCs/>
        </w:rPr>
        <w:t>erms</w:t>
      </w:r>
    </w:p>
    <w:p w14:paraId="2AE5C245" w14:textId="00C02398" w:rsidR="008A1F04" w:rsidRDefault="008A1F04" w:rsidP="00FB17EA">
      <w:pPr>
        <w:spacing w:after="0" w:line="240" w:lineRule="auto"/>
      </w:pPr>
      <w:r>
        <w:t xml:space="preserve">ToS may </w:t>
      </w:r>
      <w:r w:rsidR="001235D8">
        <w:t xml:space="preserve">include contractual terms </w:t>
      </w:r>
      <w:r w:rsidR="00FB17EA">
        <w:t>that are legally not enforceable.</w:t>
      </w:r>
      <w:r w:rsidR="005D79CB">
        <w:t xml:space="preserve"> For example, ToS may </w:t>
      </w:r>
      <w:r w:rsidR="001235D8">
        <w:t>requir</w:t>
      </w:r>
      <w:r w:rsidR="005D79CB">
        <w:t>e</w:t>
      </w:r>
      <w:r w:rsidR="001235D8">
        <w:t xml:space="preserve"> </w:t>
      </w:r>
      <w:r>
        <w:t>dispute resolution by arbitration or in a certain jurisdiction</w:t>
      </w:r>
      <w:r w:rsidR="001A0989">
        <w:t>, contrary to protections long established in the CPA.</w:t>
      </w:r>
      <w:r w:rsidR="001A0989">
        <w:rPr>
          <w:rStyle w:val="EndnoteReference"/>
        </w:rPr>
        <w:endnoteReference w:id="328"/>
      </w:r>
      <w:r w:rsidR="001A0989">
        <w:t xml:space="preserve"> </w:t>
      </w:r>
      <w:r w:rsidR="005D79CB">
        <w:t>Or a ToS may misstate the law on an important consumer protection.</w:t>
      </w:r>
      <w:r w:rsidR="009E0094">
        <w:t xml:space="preserve"> </w:t>
      </w:r>
      <w:r w:rsidR="00B90608">
        <w:t xml:space="preserve">In </w:t>
      </w:r>
      <w:r w:rsidR="00FB17EA" w:rsidRPr="1F5E9E68">
        <w:rPr>
          <w:i/>
          <w:iCs/>
        </w:rPr>
        <w:t xml:space="preserve">Douez, </w:t>
      </w:r>
      <w:r w:rsidR="00FB17EA">
        <w:t>discussed above</w:t>
      </w:r>
      <w:r w:rsidR="00B90608">
        <w:t xml:space="preserve">, </w:t>
      </w:r>
      <w:r w:rsidR="00FB17EA">
        <w:t>the consumer was mistakenly led to believe that privacy protections in British Columbia were of no force or effect.</w:t>
      </w:r>
      <w:r w:rsidR="00FB17EA">
        <w:rPr>
          <w:rStyle w:val="EndnoteReference"/>
        </w:rPr>
        <w:endnoteReference w:id="329"/>
      </w:r>
      <w:r w:rsidR="00FB17EA">
        <w:t xml:space="preserve"> </w:t>
      </w:r>
      <w:r w:rsidR="00624BC1">
        <w:t>U</w:t>
      </w:r>
      <w:r w:rsidR="005D79CB">
        <w:t>nscrupulous (or unknowing) suppliers may</w:t>
      </w:r>
      <w:r>
        <w:t xml:space="preserve"> </w:t>
      </w:r>
      <w:r w:rsidR="006F588C">
        <w:t xml:space="preserve">also </w:t>
      </w:r>
      <w:r>
        <w:t>“</w:t>
      </w:r>
      <w:r w:rsidRPr="00A407EA">
        <w:t>hope to deter attempts to exercise legal rights when a recipient does read the terms but doesn’t realize that they are unenforceable.</w:t>
      </w:r>
      <w:r>
        <w:t>”</w:t>
      </w:r>
      <w:r>
        <w:rPr>
          <w:rStyle w:val="EndnoteReference"/>
        </w:rPr>
        <w:endnoteReference w:id="330"/>
      </w:r>
    </w:p>
    <w:p w14:paraId="04341EF8" w14:textId="5E94C956" w:rsidR="008C3A68" w:rsidRDefault="008C3A68" w:rsidP="00FB17EA">
      <w:pPr>
        <w:spacing w:after="0" w:line="240" w:lineRule="auto"/>
      </w:pPr>
    </w:p>
    <w:p w14:paraId="5C20BE16" w14:textId="200F0052" w:rsidR="008C3A68" w:rsidRPr="008546ED" w:rsidRDefault="008C3A68" w:rsidP="007A41A0">
      <w:pPr>
        <w:rPr>
          <w:b/>
          <w:bCs/>
          <w:i/>
          <w:iCs/>
        </w:rPr>
      </w:pPr>
      <w:r w:rsidRPr="008546ED">
        <w:rPr>
          <w:b/>
          <w:bCs/>
          <w:i/>
          <w:iCs/>
        </w:rPr>
        <w:t>Misrepresentation and Breaches of Trust</w:t>
      </w:r>
    </w:p>
    <w:p w14:paraId="7986E6B4" w14:textId="77777777" w:rsidR="004C43D1" w:rsidRDefault="004C43D1" w:rsidP="00FB17EA">
      <w:pPr>
        <w:spacing w:after="0" w:line="240" w:lineRule="auto"/>
      </w:pPr>
      <w:r>
        <w:t>Intentional acts to mislead consumers can amount to misrepresentation and breaches of trust.</w:t>
      </w:r>
    </w:p>
    <w:p w14:paraId="0CFCDFC2" w14:textId="76C47309" w:rsidR="008C3A68" w:rsidRPr="00A55ADF" w:rsidRDefault="004C43D1" w:rsidP="00FB17EA">
      <w:pPr>
        <w:spacing w:after="0" w:line="240" w:lineRule="auto"/>
      </w:pPr>
      <w:r>
        <w:t xml:space="preserve">The online streaming and communication tool </w:t>
      </w:r>
      <w:r w:rsidR="008C3A68">
        <w:t>Zoom recently attracted significant fines</w:t>
      </w:r>
      <w:r>
        <w:t xml:space="preserve"> in the United States</w:t>
      </w:r>
      <w:r w:rsidR="008C3A68">
        <w:t xml:space="preserve"> because their ToS and marketing assured users </w:t>
      </w:r>
      <w:r w:rsidR="006F588C">
        <w:t xml:space="preserve">that </w:t>
      </w:r>
      <w:r w:rsidR="008C3A68">
        <w:t xml:space="preserve">their sessions were </w:t>
      </w:r>
      <w:r>
        <w:t xml:space="preserve">protected by “end-to-end </w:t>
      </w:r>
      <w:r w:rsidR="008C3A68">
        <w:t>encrypt</w:t>
      </w:r>
      <w:r>
        <w:t>ion”</w:t>
      </w:r>
      <w:r w:rsidR="008C3A68">
        <w:t xml:space="preserve"> </w:t>
      </w:r>
      <w:r w:rsidR="006F588C">
        <w:t>(</w:t>
      </w:r>
      <w:r w:rsidR="008C3A68">
        <w:t>when they were not</w:t>
      </w:r>
      <w:r w:rsidR="006F588C">
        <w:t xml:space="preserve">) and </w:t>
      </w:r>
      <w:r w:rsidR="008C3A68">
        <w:t xml:space="preserve">that </w:t>
      </w:r>
      <w:r w:rsidR="006F588C">
        <w:t xml:space="preserve">their </w:t>
      </w:r>
      <w:r w:rsidR="008C3A68">
        <w:t xml:space="preserve">user profiling data was private </w:t>
      </w:r>
      <w:r>
        <w:t>(</w:t>
      </w:r>
      <w:r w:rsidR="006F588C">
        <w:t xml:space="preserve">when it was actually </w:t>
      </w:r>
      <w:r w:rsidR="008C3A68">
        <w:t>sent to Facebook and Google</w:t>
      </w:r>
      <w:r w:rsidR="006F588C">
        <w:t>)</w:t>
      </w:r>
      <w:r w:rsidR="008C3A68">
        <w:t>.</w:t>
      </w:r>
      <w:r w:rsidR="008C3A68">
        <w:rPr>
          <w:rStyle w:val="EndnoteReference"/>
        </w:rPr>
        <w:endnoteReference w:id="331"/>
      </w:r>
    </w:p>
    <w:p w14:paraId="2C25448C" w14:textId="77777777" w:rsidR="008A1F04" w:rsidRDefault="008A1F04" w:rsidP="00081BDE"/>
    <w:p w14:paraId="19448563" w14:textId="7A8C0E0C" w:rsidR="00081BDE" w:rsidRPr="008546ED" w:rsidRDefault="00081BDE" w:rsidP="007A41A0">
      <w:pPr>
        <w:rPr>
          <w:b/>
          <w:bCs/>
          <w:i/>
          <w:iCs/>
        </w:rPr>
      </w:pPr>
      <w:r w:rsidRPr="008546ED">
        <w:rPr>
          <w:b/>
          <w:bCs/>
          <w:i/>
          <w:iCs/>
        </w:rPr>
        <w:t>Dark Pattern</w:t>
      </w:r>
      <w:r w:rsidR="00B62614" w:rsidRPr="008546ED">
        <w:rPr>
          <w:b/>
          <w:bCs/>
          <w:i/>
          <w:iCs/>
        </w:rPr>
        <w:t>s</w:t>
      </w:r>
      <w:r w:rsidRPr="008546ED">
        <w:rPr>
          <w:b/>
          <w:bCs/>
          <w:i/>
          <w:iCs/>
        </w:rPr>
        <w:t xml:space="preserve"> and Network Effects</w:t>
      </w:r>
    </w:p>
    <w:p w14:paraId="50945AF1" w14:textId="43F7BB31" w:rsidR="00771CE2" w:rsidRDefault="00F92962" w:rsidP="007334A0">
      <w:r>
        <w:lastRenderedPageBreak/>
        <w:t xml:space="preserve">This paper has already </w:t>
      </w:r>
      <w:r w:rsidR="007334A0">
        <w:t>discuss</w:t>
      </w:r>
      <w:r>
        <w:t xml:space="preserve">ed several proposals to address </w:t>
      </w:r>
      <w:r w:rsidR="007334A0">
        <w:t>“dark pattern</w:t>
      </w:r>
      <w:r w:rsidR="006066EC">
        <w:t>s</w:t>
      </w:r>
      <w:r w:rsidR="007334A0">
        <w:t xml:space="preserve">” that </w:t>
      </w:r>
      <w:r w:rsidR="006F588C">
        <w:t xml:space="preserve">mislead or confuse </w:t>
      </w:r>
      <w:r w:rsidR="007334A0">
        <w:t xml:space="preserve">consumers into consenting to ToS without understanding what they are consenting to. </w:t>
      </w:r>
      <w:r w:rsidR="00B94114">
        <w:t xml:space="preserve">Dark patterns can thus contribute to unconscionable or deceptive practices.  </w:t>
      </w:r>
    </w:p>
    <w:p w14:paraId="2F8B6C17" w14:textId="5F0E6166" w:rsidR="00DC77F2" w:rsidRDefault="006066EC" w:rsidP="00771CE2">
      <w:r>
        <w:t xml:space="preserve">“Network effects” are </w:t>
      </w:r>
      <w:r w:rsidR="00DC77F2">
        <w:t xml:space="preserve">provisions in a </w:t>
      </w:r>
      <w:r>
        <w:t>ToS</w:t>
      </w:r>
      <w:r w:rsidR="00DC77F2">
        <w:t>, business practices</w:t>
      </w:r>
      <w:r>
        <w:t>,</w:t>
      </w:r>
      <w:r w:rsidR="00DC77F2">
        <w:t xml:space="preserve"> or technology that </w:t>
      </w:r>
      <w:r w:rsidR="00A8704A">
        <w:t xml:space="preserve">effectively </w:t>
      </w:r>
      <w:r w:rsidR="00771CE2">
        <w:t xml:space="preserve">bind consumers to a </w:t>
      </w:r>
      <w:r w:rsidR="00F92962">
        <w:t xml:space="preserve">specific </w:t>
      </w:r>
      <w:r w:rsidR="00DC77F2">
        <w:t xml:space="preserve">digital marketplace service or </w:t>
      </w:r>
      <w:r w:rsidR="00771CE2">
        <w:t>platform</w:t>
      </w:r>
      <w:r w:rsidR="00B94114">
        <w:t xml:space="preserve"> through a variety of practices that amount to “sunk costs” or “irreversible investment.” These</w:t>
      </w:r>
      <w:r w:rsidR="00A8704A">
        <w:t xml:space="preserve"> </w:t>
      </w:r>
      <w:r w:rsidR="00B94114">
        <w:t xml:space="preserve">impair </w:t>
      </w:r>
      <w:r w:rsidR="00771CE2">
        <w:t>the</w:t>
      </w:r>
      <w:r w:rsidR="00DC77F2">
        <w:t xml:space="preserve"> consumer</w:t>
      </w:r>
      <w:r>
        <w:t>’</w:t>
      </w:r>
      <w:r w:rsidR="00DC77F2">
        <w:t xml:space="preserve">s ability </w:t>
      </w:r>
      <w:r w:rsidR="00771CE2">
        <w:t xml:space="preserve">to </w:t>
      </w:r>
      <w:r w:rsidR="00DC77F2">
        <w:t>switch</w:t>
      </w:r>
      <w:r w:rsidR="00771CE2">
        <w:t xml:space="preserve"> to a competing platform</w:t>
      </w:r>
      <w:r w:rsidR="00F92962">
        <w:t xml:space="preserve"> or service provider</w:t>
      </w:r>
      <w:r w:rsidR="00B94114">
        <w:t xml:space="preserve"> and, by extension, limit consumer rights to </w:t>
      </w:r>
      <w:r w:rsidR="00DD3889">
        <w:t>cancel</w:t>
      </w:r>
      <w:r w:rsidR="00B94114">
        <w:t xml:space="preserve"> a contract </w:t>
      </w:r>
      <w:r w:rsidR="00DD3889">
        <w:t xml:space="preserve">and choose a different supplier </w:t>
      </w:r>
      <w:r w:rsidR="00B94114">
        <w:t xml:space="preserve">as </w:t>
      </w:r>
      <w:r w:rsidR="00DD3889">
        <w:t xml:space="preserve">both </w:t>
      </w:r>
      <w:r w:rsidR="00B94114">
        <w:t>a form of access to justice and market discipline</w:t>
      </w:r>
      <w:r w:rsidR="00771CE2">
        <w:t>.</w:t>
      </w:r>
    </w:p>
    <w:p w14:paraId="133F6F09" w14:textId="002CF22F" w:rsidR="00DC77F2" w:rsidRDefault="00771CE2" w:rsidP="00771CE2">
      <w:r>
        <w:t xml:space="preserve">Network effects include practices like </w:t>
      </w:r>
      <w:r w:rsidRPr="005B1870">
        <w:t>proprietary technology</w:t>
      </w:r>
      <w:r w:rsidR="006066EC">
        <w:t>;</w:t>
      </w:r>
      <w:r w:rsidRPr="005B1870">
        <w:t xml:space="preserve"> platform lock-in</w:t>
      </w:r>
      <w:r w:rsidR="006066EC">
        <w:t>;</w:t>
      </w:r>
      <w:r w:rsidRPr="005B1870">
        <w:t xml:space="preserve"> exclusive intellectual property</w:t>
      </w:r>
      <w:r w:rsidR="006066EC">
        <w:t>;</w:t>
      </w:r>
      <w:r w:rsidRPr="005B1870">
        <w:t xml:space="preserve"> lack of data portability</w:t>
      </w:r>
      <w:r w:rsidR="006066EC">
        <w:t>;</w:t>
      </w:r>
      <w:r w:rsidRPr="005B1870">
        <w:t xml:space="preserve"> and incentive programs like points, rewards, contests</w:t>
      </w:r>
      <w:r w:rsidR="006066EC">
        <w:t>,</w:t>
      </w:r>
      <w:r w:rsidRPr="005B1870">
        <w:t xml:space="preserve"> and discounts</w:t>
      </w:r>
      <w:r>
        <w:t>. These techniques make it less likely that consumers will exercise their option to leave a digital marketplace platform or service</w:t>
      </w:r>
      <w:r w:rsidR="00F92962">
        <w:t>.</w:t>
      </w:r>
    </w:p>
    <w:p w14:paraId="45921A7F" w14:textId="3DFC1B8A" w:rsidR="00DC77F2" w:rsidRDefault="00771CE2" w:rsidP="00081BDE">
      <w:r>
        <w:t xml:space="preserve">Legislative proposals in the United States take aim at “network effects” as a </w:t>
      </w:r>
      <w:r w:rsidR="0077663E">
        <w:t xml:space="preserve">matter </w:t>
      </w:r>
      <w:r>
        <w:t>of consumer coercion</w:t>
      </w:r>
      <w:r w:rsidR="00DC77F2">
        <w:t>, deception, and unconscionability</w:t>
      </w:r>
      <w:r>
        <w:t>.</w:t>
      </w:r>
      <w:r>
        <w:rPr>
          <w:rStyle w:val="EndnoteReference"/>
        </w:rPr>
        <w:endnoteReference w:id="332"/>
      </w:r>
      <w:r>
        <w:t xml:space="preserve"> </w:t>
      </w:r>
    </w:p>
    <w:p w14:paraId="0FB0560D" w14:textId="60198253" w:rsidR="00DC77F2" w:rsidRPr="008546ED" w:rsidRDefault="001C20AF" w:rsidP="00DC77F2">
      <w:pPr>
        <w:rPr>
          <w:i/>
          <w:iCs/>
        </w:rPr>
      </w:pPr>
      <w:r w:rsidRPr="008546ED">
        <w:rPr>
          <w:b/>
          <w:bCs/>
          <w:i/>
          <w:iCs/>
        </w:rPr>
        <w:t xml:space="preserve">Data Anonymization and De-identification </w:t>
      </w:r>
    </w:p>
    <w:p w14:paraId="72EB1AAF" w14:textId="5698D3AD" w:rsidR="003E6AB9" w:rsidRDefault="00081BDE" w:rsidP="00081BDE">
      <w:r>
        <w:t xml:space="preserve">A particularly controversial issue related to deception are representations that privacy is protected though measures like data anonymization and de-identification. </w:t>
      </w:r>
    </w:p>
    <w:p w14:paraId="380793CB" w14:textId="3D6DEC1F" w:rsidR="00081BDE" w:rsidRPr="009C4314" w:rsidRDefault="003E6AB9" w:rsidP="009C4314">
      <w:r w:rsidRPr="009C4314">
        <w:t xml:space="preserve">Many </w:t>
      </w:r>
      <w:r w:rsidR="00081BDE" w:rsidRPr="009C4314">
        <w:t xml:space="preserve">academics and data scientists </w:t>
      </w:r>
      <w:r w:rsidR="009C4314" w:rsidRPr="009C4314">
        <w:t xml:space="preserve">argue </w:t>
      </w:r>
      <w:r w:rsidRPr="009C4314">
        <w:t xml:space="preserve">these claims are </w:t>
      </w:r>
      <w:r w:rsidR="00081BDE" w:rsidRPr="009C4314">
        <w:t>misleading</w:t>
      </w:r>
      <w:r w:rsidR="009C4314" w:rsidRPr="009C4314">
        <w:t>. There are many studies demonstrating the relative ease of re-identification even on country-scale location datasets.</w:t>
      </w:r>
      <w:r w:rsidR="009C4314" w:rsidRPr="009C4314">
        <w:rPr>
          <w:rStyle w:val="EndnoteReference"/>
        </w:rPr>
        <w:endnoteReference w:id="333"/>
      </w:r>
      <w:r w:rsidR="009C4314" w:rsidRPr="009C4314">
        <w:t xml:space="preserve"> For example, one set of researchers demonstrated an ability to “uniquely identify 95% of </w:t>
      </w:r>
      <w:r w:rsidR="002D682E">
        <w:t xml:space="preserve">individuals in </w:t>
      </w:r>
      <w:r w:rsidR="009C4314" w:rsidRPr="009C4314">
        <w:t xml:space="preserve">a dataset of 1.5 million </w:t>
      </w:r>
      <w:r w:rsidR="002D682E">
        <w:t>people</w:t>
      </w:r>
      <w:r w:rsidR="009C4314" w:rsidRPr="009C4314">
        <w:t xml:space="preserve"> using four location points with timestamps.”</w:t>
      </w:r>
      <w:r w:rsidR="009C4314" w:rsidRPr="009C4314">
        <w:rPr>
          <w:rStyle w:val="EndnoteReference"/>
        </w:rPr>
        <w:endnoteReference w:id="334"/>
      </w:r>
      <w:r w:rsidR="009C4314" w:rsidRPr="009C4314">
        <w:t xml:space="preserve"> </w:t>
      </w:r>
    </w:p>
    <w:p w14:paraId="15BDAEFC" w14:textId="4B03EF54" w:rsidR="00081BDE" w:rsidRPr="009C4314" w:rsidRDefault="00081BDE" w:rsidP="00081BDE">
      <w:r w:rsidRPr="009C4314">
        <w:t>Regulator</w:t>
      </w:r>
      <w:r w:rsidR="009C4314">
        <w:t xml:space="preserve">s outside </w:t>
      </w:r>
      <w:r w:rsidRPr="009C4314">
        <w:t>of Canada are increasingly assertive in condemning these practices. For instance</w:t>
      </w:r>
      <w:r w:rsidR="009C4314">
        <w:t>, US</w:t>
      </w:r>
      <w:r w:rsidRPr="009C4314">
        <w:t xml:space="preserve"> F</w:t>
      </w:r>
      <w:r w:rsidR="009C4314">
        <w:t xml:space="preserve">ederal </w:t>
      </w:r>
      <w:r w:rsidRPr="009C4314">
        <w:t>T</w:t>
      </w:r>
      <w:r w:rsidR="009C4314">
        <w:t xml:space="preserve">rade </w:t>
      </w:r>
      <w:r w:rsidRPr="009C4314">
        <w:t>C</w:t>
      </w:r>
      <w:r w:rsidR="009C4314">
        <w:t>ommission</w:t>
      </w:r>
      <w:r w:rsidRPr="009C4314">
        <w:t xml:space="preserve"> has begun to crackdown on websites that claim data is anonymized when it is not, noting how:</w:t>
      </w:r>
    </w:p>
    <w:p w14:paraId="28EEC407" w14:textId="56C15FE7" w:rsidR="00081BDE" w:rsidRPr="009C4314" w:rsidRDefault="00081BDE" w:rsidP="001C20AF">
      <w:pPr>
        <w:pStyle w:val="Quote"/>
        <w:jc w:val="left"/>
        <w:rPr>
          <w:i/>
          <w:iCs/>
        </w:rPr>
      </w:pPr>
      <w:r w:rsidRPr="1F5E9E68">
        <w:rPr>
          <w:i/>
          <w:iCs/>
        </w:rPr>
        <w:t>Smartphones, connected cars, wearable fitness trackers, “smart home” products, and even the browser you’re reading this on are capable of directly observing or deriving sensitive information about users. Standing alone, these data points may pose an incalculable risk to personal privacy. Now consider the unprecedented intrusion when these connected devices and technology companies collect that data, combine it, and sell or monetize it. This isn’t the stuff of dystopian fiction. It’s a question consumers are asking right now.</w:t>
      </w:r>
      <w:r w:rsidRPr="1F5E9E68">
        <w:rPr>
          <w:rStyle w:val="EndnoteReference"/>
          <w:i/>
          <w:iCs/>
        </w:rPr>
        <w:endnoteReference w:id="335"/>
      </w:r>
      <w:r w:rsidRPr="1F5E9E68">
        <w:rPr>
          <w:i/>
          <w:iCs/>
        </w:rPr>
        <w:t xml:space="preserve"> </w:t>
      </w:r>
    </w:p>
    <w:p w14:paraId="6AE30925" w14:textId="77777777" w:rsidR="00081BDE" w:rsidRPr="009C4314" w:rsidRDefault="00081BDE" w:rsidP="009C4314">
      <w:pPr>
        <w:spacing w:after="0"/>
      </w:pPr>
    </w:p>
    <w:p w14:paraId="4BB4C78B" w14:textId="2680C50C" w:rsidR="005A3930" w:rsidRDefault="009C4314" w:rsidP="009C4314">
      <w:pPr>
        <w:spacing w:after="0"/>
      </w:pPr>
      <w:r>
        <w:t xml:space="preserve">The Government of Canada’s recently introduced </w:t>
      </w:r>
      <w:r w:rsidR="00081BDE" w:rsidRPr="009C4314">
        <w:t>Bill C-27 aims to address some of these issue</w:t>
      </w:r>
      <w:r w:rsidR="001C20AF">
        <w:t>s and has important implications for ToS in the digital marketplace.</w:t>
      </w:r>
      <w:r w:rsidR="00DD0549">
        <w:rPr>
          <w:rStyle w:val="EndnoteReference"/>
        </w:rPr>
        <w:endnoteReference w:id="336"/>
      </w:r>
      <w:r w:rsidR="001C20AF">
        <w:t xml:space="preserve"> </w:t>
      </w:r>
      <w:r w:rsidR="0077663E">
        <w:t xml:space="preserve">Bill C-27 </w:t>
      </w:r>
      <w:r w:rsidR="005A3930">
        <w:t xml:space="preserve">has </w:t>
      </w:r>
      <w:r w:rsidR="0077663E">
        <w:t xml:space="preserve">been criticized, </w:t>
      </w:r>
      <w:r w:rsidR="00DD0549">
        <w:t xml:space="preserve">however, </w:t>
      </w:r>
      <w:r w:rsidR="005A3930">
        <w:t xml:space="preserve">as legislative </w:t>
      </w:r>
      <w:r w:rsidR="00DD0549">
        <w:t>exceptions may continue to leave consumer</w:t>
      </w:r>
      <w:r w:rsidR="00A93E68">
        <w:t>s</w:t>
      </w:r>
      <w:r w:rsidR="00DD0549">
        <w:t xml:space="preserve"> exposed </w:t>
      </w:r>
      <w:r w:rsidR="005A3930">
        <w:t xml:space="preserve">to </w:t>
      </w:r>
      <w:r w:rsidR="00DD0549">
        <w:t>deceptive and unconscionab</w:t>
      </w:r>
      <w:r w:rsidR="005A3930">
        <w:t>le practices</w:t>
      </w:r>
      <w:r w:rsidR="00DD0549">
        <w:t>.</w:t>
      </w:r>
      <w:r w:rsidR="00DD0549" w:rsidRPr="00DD0549">
        <w:rPr>
          <w:rStyle w:val="EndnoteReference"/>
        </w:rPr>
        <w:t xml:space="preserve"> </w:t>
      </w:r>
      <w:r w:rsidR="00DD0549" w:rsidRPr="009C4314">
        <w:rPr>
          <w:rStyle w:val="EndnoteReference"/>
        </w:rPr>
        <w:endnoteReference w:id="337"/>
      </w:r>
    </w:p>
    <w:p w14:paraId="76A095E1" w14:textId="5CF9F2F1" w:rsidR="008B31CE" w:rsidRDefault="008B31CE" w:rsidP="007A41A0">
      <w:pPr>
        <w:spacing w:after="0"/>
      </w:pPr>
    </w:p>
    <w:p w14:paraId="7BE9FEC2" w14:textId="7CBD4039" w:rsidR="008E0D19" w:rsidRDefault="004A1CA0" w:rsidP="004A1CA0">
      <w:pPr>
        <w:pStyle w:val="Heading2"/>
      </w:pPr>
      <w:bookmarkStart w:id="97" w:name="_Toc138151870"/>
      <w:r>
        <w:t>10.3</w:t>
      </w:r>
      <w:r>
        <w:tab/>
      </w:r>
      <w:r w:rsidR="002C1F5D">
        <w:t>Judicial Consideration</w:t>
      </w:r>
      <w:bookmarkEnd w:id="97"/>
      <w:r w:rsidR="002C1F5D">
        <w:t xml:space="preserve"> </w:t>
      </w:r>
    </w:p>
    <w:p w14:paraId="3E73DAF3" w14:textId="12338D2B" w:rsidR="00405253" w:rsidRDefault="00405253" w:rsidP="00405253"/>
    <w:p w14:paraId="44083332" w14:textId="0D995560" w:rsidR="005A3930" w:rsidRDefault="00405253" w:rsidP="00786EAD">
      <w:r>
        <w:t xml:space="preserve">Courts </w:t>
      </w:r>
      <w:r w:rsidR="00A8704A">
        <w:t xml:space="preserve">and regulators </w:t>
      </w:r>
      <w:r>
        <w:t xml:space="preserve">in Canada and the US have </w:t>
      </w:r>
      <w:r w:rsidR="005A3930">
        <w:t xml:space="preserve">actively </w:t>
      </w:r>
      <w:r>
        <w:t>addres</w:t>
      </w:r>
      <w:r w:rsidR="005A3930">
        <w:t xml:space="preserve">sed </w:t>
      </w:r>
      <w:r w:rsidR="00A93E68">
        <w:t xml:space="preserve">deception and </w:t>
      </w:r>
      <w:r>
        <w:t xml:space="preserve">unconscionability in the digital marketplace. </w:t>
      </w:r>
    </w:p>
    <w:p w14:paraId="4B8A0960" w14:textId="28A1DD7C" w:rsidR="00405253" w:rsidRDefault="00A93E68" w:rsidP="00A93E68">
      <w:r>
        <w:lastRenderedPageBreak/>
        <w:t xml:space="preserve">The first </w:t>
      </w:r>
      <w:r w:rsidR="005A3930">
        <w:t xml:space="preserve">Canadian </w:t>
      </w:r>
      <w:r w:rsidR="000B0FAA">
        <w:t xml:space="preserve">court </w:t>
      </w:r>
      <w:r w:rsidR="2B3E8E25">
        <w:t xml:space="preserve">case </w:t>
      </w:r>
      <w:r w:rsidR="004B3533">
        <w:t>addressing deception</w:t>
      </w:r>
      <w:r w:rsidR="005A3930">
        <w:t xml:space="preserve"> and unconscionability in the context of </w:t>
      </w:r>
      <w:r>
        <w:t>a class action brought on behalf of Uber drivers in 2017.</w:t>
      </w:r>
      <w:r w:rsidRPr="00D1290E">
        <w:rPr>
          <w:rStyle w:val="EndnoteReference"/>
        </w:rPr>
        <w:endnoteReference w:id="338"/>
      </w:r>
      <w:r>
        <w:t xml:space="preserve"> </w:t>
      </w:r>
      <w:r w:rsidR="00405253" w:rsidRPr="00D1290E">
        <w:t xml:space="preserve">Mr. Heller, an Uber driver, </w:t>
      </w:r>
      <w:r>
        <w:t>sought</w:t>
      </w:r>
      <w:r w:rsidR="00405253" w:rsidRPr="00D1290E">
        <w:t xml:space="preserve"> to have drivers recognized as employees </w:t>
      </w:r>
      <w:r>
        <w:t>protected under the</w:t>
      </w:r>
      <w:r w:rsidR="00405253" w:rsidRPr="00D1290E">
        <w:t xml:space="preserve"> </w:t>
      </w:r>
      <w:r w:rsidR="00405253" w:rsidRPr="1F5E9E68">
        <w:rPr>
          <w:i/>
          <w:iCs/>
        </w:rPr>
        <w:t>Employment Standard Act.</w:t>
      </w:r>
      <w:r w:rsidR="00405253" w:rsidRPr="00F657A7">
        <w:rPr>
          <w:rStyle w:val="EndnoteReference"/>
        </w:rPr>
        <w:endnoteReference w:id="339"/>
      </w:r>
      <w:r w:rsidR="00405253" w:rsidRPr="1F5E9E68">
        <w:rPr>
          <w:i/>
          <w:iCs/>
        </w:rPr>
        <w:t xml:space="preserve"> </w:t>
      </w:r>
      <w:r w:rsidR="00405253" w:rsidRPr="00D1290E">
        <w:t xml:space="preserve">Uber </w:t>
      </w:r>
      <w:r w:rsidR="005A3930">
        <w:t xml:space="preserve">disagreed, </w:t>
      </w:r>
      <w:r>
        <w:t xml:space="preserve">relying on the ToS drivers sign </w:t>
      </w:r>
      <w:r w:rsidR="00405253" w:rsidRPr="00D1290E">
        <w:t>mandating all disputes be resolved in Netherlands using arbitration, under the laws of Netherlands</w:t>
      </w:r>
      <w:r w:rsidR="00405253">
        <w:t>.</w:t>
      </w:r>
      <w:r w:rsidR="00405253" w:rsidRPr="00D1290E">
        <w:rPr>
          <w:rStyle w:val="EndnoteReference"/>
        </w:rPr>
        <w:endnoteReference w:id="340"/>
      </w:r>
      <w:r>
        <w:t xml:space="preserve"> </w:t>
      </w:r>
      <w:r w:rsidRPr="00296109">
        <w:t xml:space="preserve">The </w:t>
      </w:r>
      <w:r>
        <w:t>Supreme Court of Canada</w:t>
      </w:r>
      <w:r w:rsidRPr="00296109">
        <w:t xml:space="preserve"> referred to the agreement </w:t>
      </w:r>
      <w:r>
        <w:t>“</w:t>
      </w:r>
      <w:r w:rsidRPr="00296109">
        <w:t>as a classic case of unconscionability</w:t>
      </w:r>
      <w:r>
        <w:t>” and allowed the class action to certify.</w:t>
      </w:r>
      <w:r>
        <w:rPr>
          <w:rStyle w:val="EndnoteReference"/>
        </w:rPr>
        <w:endnoteReference w:id="341"/>
      </w:r>
      <w:r>
        <w:t xml:space="preserve"> The </w:t>
      </w:r>
      <w:r w:rsidR="00A8704A">
        <w:t xml:space="preserve">court found that Uber’s </w:t>
      </w:r>
      <w:r>
        <w:t xml:space="preserve">unconscionability </w:t>
      </w:r>
      <w:r w:rsidR="00A8704A">
        <w:t xml:space="preserve">was based on </w:t>
      </w:r>
      <w:r>
        <w:t xml:space="preserve">two </w:t>
      </w:r>
      <w:r w:rsidR="00A8704A">
        <w:t>factors</w:t>
      </w:r>
      <w:r>
        <w:t>:</w:t>
      </w:r>
    </w:p>
    <w:p w14:paraId="0996950D" w14:textId="7B82AD68" w:rsidR="00405253" w:rsidRDefault="04AE9C7C" w:rsidP="008546ED">
      <w:pPr>
        <w:pStyle w:val="ListParagraph"/>
        <w:numPr>
          <w:ilvl w:val="0"/>
          <w:numId w:val="80"/>
        </w:numPr>
      </w:pPr>
      <w:r>
        <w:t xml:space="preserve">here </w:t>
      </w:r>
      <w:r w:rsidR="000B0FAA">
        <w:t xml:space="preserve">was </w:t>
      </w:r>
      <w:r>
        <w:t>u</w:t>
      </w:r>
      <w:r w:rsidR="00405253" w:rsidRPr="00D1290E">
        <w:t>nequal bargaining powers between the parties</w:t>
      </w:r>
      <w:r w:rsidR="00A93E68">
        <w:t>.</w:t>
      </w:r>
      <w:r w:rsidR="009E0094">
        <w:t xml:space="preserve"> </w:t>
      </w:r>
      <w:r w:rsidR="005A3930">
        <w:t>The court held that d</w:t>
      </w:r>
      <w:r w:rsidR="00A93E68">
        <w:t xml:space="preserve">rivers </w:t>
      </w:r>
      <w:r w:rsidR="00405253" w:rsidRPr="00D1290E">
        <w:t>could not negotiate terms,</w:t>
      </w:r>
      <w:r w:rsidR="005A3930">
        <w:t xml:space="preserve"> </w:t>
      </w:r>
      <w:r w:rsidR="00A8704A">
        <w:t xml:space="preserve">were </w:t>
      </w:r>
      <w:r w:rsidR="00405253" w:rsidRPr="00D1290E">
        <w:t xml:space="preserve">much less sophisticated than Uber, </w:t>
      </w:r>
      <w:r w:rsidR="00A93E68">
        <w:t xml:space="preserve">were </w:t>
      </w:r>
      <w:r w:rsidR="00405253" w:rsidRPr="00D1290E">
        <w:t xml:space="preserve">not informed of the high arbitration </w:t>
      </w:r>
      <w:r w:rsidR="004B3533" w:rsidRPr="00D1290E">
        <w:t>costs</w:t>
      </w:r>
      <w:r w:rsidR="004B3533">
        <w:t xml:space="preserve"> in</w:t>
      </w:r>
      <w:r w:rsidR="00A8704A">
        <w:t xml:space="preserve"> the Netherlands </w:t>
      </w:r>
      <w:r w:rsidR="00A93E68" w:rsidRPr="00D1290E">
        <w:t>and</w:t>
      </w:r>
      <w:r w:rsidR="00A93E68">
        <w:t xml:space="preserve"> could not </w:t>
      </w:r>
      <w:r w:rsidR="00405253" w:rsidRPr="00D1290E">
        <w:t xml:space="preserve">have understood the consequences of the </w:t>
      </w:r>
      <w:r w:rsidR="00A8704A">
        <w:t>ToS</w:t>
      </w:r>
      <w:r w:rsidR="00405253">
        <w:t>.</w:t>
      </w:r>
      <w:r w:rsidR="00405253" w:rsidRPr="00D1290E">
        <w:rPr>
          <w:rStyle w:val="EndnoteReference"/>
        </w:rPr>
        <w:endnoteReference w:id="342"/>
      </w:r>
    </w:p>
    <w:p w14:paraId="70E0B9C9" w14:textId="7498F9ED" w:rsidR="00405253" w:rsidRDefault="00A8704A" w:rsidP="008546ED">
      <w:pPr>
        <w:pStyle w:val="ListParagraph"/>
        <w:numPr>
          <w:ilvl w:val="0"/>
          <w:numId w:val="80"/>
        </w:numPr>
      </w:pPr>
      <w:r>
        <w:t xml:space="preserve">Uber’s </w:t>
      </w:r>
      <w:r w:rsidR="00A93E68">
        <w:t xml:space="preserve">ToS </w:t>
      </w:r>
      <w:r>
        <w:t xml:space="preserve">were </w:t>
      </w:r>
      <w:r w:rsidR="00A93E68">
        <w:t xml:space="preserve">deceptive </w:t>
      </w:r>
      <w:r>
        <w:t xml:space="preserve">for two reasons: First, because </w:t>
      </w:r>
      <w:r w:rsidR="00A93E68">
        <w:t xml:space="preserve">the high arbitration costs </w:t>
      </w:r>
      <w:r>
        <w:t xml:space="preserve">specified in the ToS </w:t>
      </w:r>
      <w:r w:rsidR="00405253" w:rsidRPr="00D1290E">
        <w:t xml:space="preserve">could not </w:t>
      </w:r>
      <w:r>
        <w:t xml:space="preserve">have been </w:t>
      </w:r>
      <w:r w:rsidR="00405253" w:rsidRPr="00D1290E">
        <w:t xml:space="preserve">reasonably expected </w:t>
      </w:r>
      <w:r w:rsidR="00A93E68">
        <w:t xml:space="preserve">by </w:t>
      </w:r>
      <w:r>
        <w:t xml:space="preserve">Uber </w:t>
      </w:r>
      <w:r w:rsidR="00A93E68">
        <w:t>drivers</w:t>
      </w:r>
      <w:r>
        <w:t xml:space="preserve">.  Second, </w:t>
      </w:r>
      <w:r w:rsidR="00A93E68">
        <w:t xml:space="preserve">because </w:t>
      </w:r>
      <w:r>
        <w:t xml:space="preserve">the high costs effectively </w:t>
      </w:r>
      <w:r w:rsidR="00405253" w:rsidRPr="00D1290E">
        <w:t xml:space="preserve">nullified the substantive rights of the drivers </w:t>
      </w:r>
      <w:r w:rsidR="004B2BBC">
        <w:t xml:space="preserve">to </w:t>
      </w:r>
      <w:r>
        <w:t xml:space="preserve">access </w:t>
      </w:r>
      <w:r w:rsidR="004B2BBC">
        <w:t>dispute resolution.</w:t>
      </w:r>
      <w:r w:rsidR="00405253" w:rsidRPr="00D1290E">
        <w:rPr>
          <w:rStyle w:val="EndnoteReference"/>
        </w:rPr>
        <w:endnoteReference w:id="343"/>
      </w:r>
    </w:p>
    <w:p w14:paraId="6AE0C33F" w14:textId="479098FE" w:rsidR="00405253" w:rsidRDefault="00405253" w:rsidP="00400F85">
      <w:r>
        <w:t>A second Canadian case</w:t>
      </w:r>
      <w:r w:rsidR="00400F85">
        <w:t xml:space="preserve"> on deception and unconscionability is </w:t>
      </w:r>
      <w:r w:rsidRPr="1F5E9E68">
        <w:rPr>
          <w:i/>
          <w:iCs/>
        </w:rPr>
        <w:t>Douez v Facebook</w:t>
      </w:r>
      <w:r>
        <w:t>.</w:t>
      </w:r>
      <w:r w:rsidR="009E0094">
        <w:t xml:space="preserve"> </w:t>
      </w:r>
      <w:r w:rsidR="005A3930">
        <w:t xml:space="preserve">In this case, the </w:t>
      </w:r>
      <w:r w:rsidRPr="00D1290E">
        <w:t xml:space="preserve">Court determined that an otherwise valid and enforceable forum selection clause, which required disputes be resolved in California, was unenforceable because Ms. Douez had a strong </w:t>
      </w:r>
      <w:r w:rsidR="005A3930">
        <w:t xml:space="preserve">argument </w:t>
      </w:r>
      <w:r w:rsidRPr="00D1290E">
        <w:t>against its enforcement</w:t>
      </w:r>
      <w:r w:rsidR="005A3930" w:rsidRPr="00D1290E">
        <w:rPr>
          <w:rStyle w:val="EndnoteReference"/>
        </w:rPr>
        <w:endnoteReference w:id="344"/>
      </w:r>
      <w:r w:rsidR="005A3930">
        <w:t>, including</w:t>
      </w:r>
      <w:r>
        <w:t xml:space="preserve"> </w:t>
      </w:r>
      <w:r w:rsidRPr="00D1290E">
        <w:t xml:space="preserve">“unequal bargaining power”, the </w:t>
      </w:r>
      <w:r w:rsidR="005A3930">
        <w:t xml:space="preserve">BC </w:t>
      </w:r>
      <w:r w:rsidRPr="00D1290E">
        <w:t>courts’ interest in deciding quasi-constitutional</w:t>
      </w:r>
      <w:r>
        <w:t xml:space="preserve"> privacy and jurisdictional</w:t>
      </w:r>
      <w:r w:rsidRPr="00D1290E">
        <w:t xml:space="preserve"> rights in dispute</w:t>
      </w:r>
      <w:r w:rsidR="005A3930">
        <w:t xml:space="preserve">, the BC </w:t>
      </w:r>
      <w:r w:rsidRPr="00D1290E">
        <w:t>courts’ better ability to interpret local laws and public policy, and the relative convenience of proceedings in British Columbia</w:t>
      </w:r>
      <w:r>
        <w:t>.</w:t>
      </w:r>
      <w:r w:rsidRPr="00D1290E">
        <w:rPr>
          <w:rStyle w:val="EndnoteReference"/>
        </w:rPr>
        <w:endnoteReference w:id="345"/>
      </w:r>
      <w:r>
        <w:t xml:space="preserve"> </w:t>
      </w:r>
    </w:p>
    <w:p w14:paraId="5DD301E9" w14:textId="336220B7" w:rsidR="00405253" w:rsidRPr="00A432A9" w:rsidRDefault="005A3930" w:rsidP="00405253">
      <w:r>
        <w:t>For deception and unconscionability purposes, t</w:t>
      </w:r>
      <w:r w:rsidR="00405253" w:rsidRPr="00D1290E">
        <w:t>he significance of</w:t>
      </w:r>
      <w:r>
        <w:t xml:space="preserve"> </w:t>
      </w:r>
      <w:r w:rsidRPr="1F5E9E68">
        <w:rPr>
          <w:i/>
          <w:iCs/>
        </w:rPr>
        <w:t xml:space="preserve">Douez </w:t>
      </w:r>
      <w:r w:rsidR="00405253" w:rsidRPr="00D1290E">
        <w:t xml:space="preserve">is its consideration of </w:t>
      </w:r>
      <w:r>
        <w:t xml:space="preserve">the </w:t>
      </w:r>
      <w:r w:rsidR="00405253" w:rsidRPr="00D1290E">
        <w:t xml:space="preserve">online </w:t>
      </w:r>
      <w:r w:rsidR="00400F85">
        <w:t xml:space="preserve">“market context” </w:t>
      </w:r>
      <w:r w:rsidR="00A8704A">
        <w:t xml:space="preserve">of </w:t>
      </w:r>
      <w:r>
        <w:t>a Facebook customer</w:t>
      </w:r>
      <w:r w:rsidR="00A8704A">
        <w:t xml:space="preserve">, including </w:t>
      </w:r>
      <w:r w:rsidR="00405253">
        <w:t xml:space="preserve">network effects, the limited practicality of “consumer choice” to regulate </w:t>
      </w:r>
      <w:r w:rsidR="00A8704A">
        <w:t xml:space="preserve">Facebook’s </w:t>
      </w:r>
      <w:r w:rsidR="00405253">
        <w:t>behaviour, and unenforceable terms.</w:t>
      </w:r>
      <w:r w:rsidR="00961746" w:rsidRPr="00D1290E">
        <w:rPr>
          <w:rStyle w:val="EndnoteReference"/>
        </w:rPr>
        <w:endnoteReference w:id="346"/>
      </w:r>
    </w:p>
    <w:p w14:paraId="6AEDC885" w14:textId="48A69A59" w:rsidR="00D34A02" w:rsidRDefault="00A8704A" w:rsidP="00D34A02">
      <w:pPr>
        <w:spacing w:after="0"/>
      </w:pPr>
      <w:r>
        <w:t xml:space="preserve">American regulators have gone much further.  As discussed earlier, the FTC recently </w:t>
      </w:r>
      <w:r w:rsidR="00961746">
        <w:t xml:space="preserve">ordered </w:t>
      </w:r>
      <w:r>
        <w:t>Epic,</w:t>
      </w:r>
      <w:r w:rsidR="003F3FD2">
        <w:t xml:space="preserve"> developer of the game Fortnite, </w:t>
      </w:r>
      <w:r>
        <w:t xml:space="preserve">to pay </w:t>
      </w:r>
      <w:r w:rsidR="00D34A02" w:rsidRPr="006A6F86">
        <w:t>fine</w:t>
      </w:r>
      <w:r w:rsidR="007060CA">
        <w:t>s</w:t>
      </w:r>
      <w:r w:rsidR="00D34A02" w:rsidRPr="006A6F86">
        <w:t xml:space="preserve"> of </w:t>
      </w:r>
      <w:r w:rsidR="007060CA">
        <w:t xml:space="preserve">$275 million and </w:t>
      </w:r>
      <w:r w:rsidR="00D34A02" w:rsidRPr="006A6F86">
        <w:t xml:space="preserve">$245 </w:t>
      </w:r>
      <w:r w:rsidR="007060CA">
        <w:t>m</w:t>
      </w:r>
      <w:r w:rsidR="00D34A02" w:rsidRPr="006A6F86">
        <w:t xml:space="preserve">illion </w:t>
      </w:r>
      <w:r w:rsidR="00961746">
        <w:t xml:space="preserve">respectively </w:t>
      </w:r>
      <w:r w:rsidR="00D34A02" w:rsidRPr="006A6F86">
        <w:t xml:space="preserve">for </w:t>
      </w:r>
      <w:r w:rsidR="007060CA">
        <w:t xml:space="preserve">ToS and </w:t>
      </w:r>
      <w:r w:rsidR="00D34A02" w:rsidRPr="006A6F86">
        <w:t>dark pattern</w:t>
      </w:r>
      <w:r w:rsidR="007060CA">
        <w:t xml:space="preserve"> </w:t>
      </w:r>
      <w:r>
        <w:t xml:space="preserve">and </w:t>
      </w:r>
      <w:r w:rsidRPr="006A6F86">
        <w:t>“unconscionable”</w:t>
      </w:r>
      <w:r>
        <w:t xml:space="preserve"> </w:t>
      </w:r>
      <w:r w:rsidR="007060CA">
        <w:t>practices</w:t>
      </w:r>
      <w:r w:rsidR="00D34A02" w:rsidRPr="006A6F86">
        <w:t>.</w:t>
      </w:r>
      <w:r w:rsidR="00D34A02">
        <w:rPr>
          <w:rStyle w:val="EndnoteReference"/>
        </w:rPr>
        <w:endnoteReference w:id="347"/>
      </w:r>
      <w:r w:rsidR="00D34A02">
        <w:t xml:space="preserve"> </w:t>
      </w:r>
      <w:r>
        <w:t xml:space="preserve">More specifically, the </w:t>
      </w:r>
      <w:r w:rsidR="00961746">
        <w:t xml:space="preserve">FTC investigation </w:t>
      </w:r>
      <w:r w:rsidR="00705330">
        <w:t xml:space="preserve">criticized </w:t>
      </w:r>
      <w:r w:rsidR="007060CA">
        <w:t>the intentional use of</w:t>
      </w:r>
      <w:r w:rsidR="00D34A02">
        <w:t>:</w:t>
      </w:r>
    </w:p>
    <w:p w14:paraId="3BF4773B" w14:textId="77777777" w:rsidR="00A5055F" w:rsidRDefault="00A5055F" w:rsidP="00D34A02">
      <w:pPr>
        <w:spacing w:after="0"/>
      </w:pPr>
    </w:p>
    <w:p w14:paraId="05993184" w14:textId="06A3D74B" w:rsidR="007060CA" w:rsidRDefault="00961746" w:rsidP="00470F77">
      <w:pPr>
        <w:pStyle w:val="ListParagraph"/>
        <w:numPr>
          <w:ilvl w:val="0"/>
          <w:numId w:val="46"/>
        </w:numPr>
        <w:spacing w:after="0"/>
      </w:pPr>
      <w:r>
        <w:t>Count</w:t>
      </w:r>
      <w:r w:rsidR="007060CA">
        <w:t>erintuitive, inconsistent, and confusing button configuration that led players to incur unwanted charges</w:t>
      </w:r>
      <w:r w:rsidR="29AB53AA">
        <w:t>.</w:t>
      </w:r>
    </w:p>
    <w:p w14:paraId="5CFBB5CB" w14:textId="1253A8B7" w:rsidR="007060CA" w:rsidRDefault="00961746" w:rsidP="00470F77">
      <w:pPr>
        <w:pStyle w:val="ListParagraph"/>
        <w:numPr>
          <w:ilvl w:val="0"/>
          <w:numId w:val="46"/>
        </w:numPr>
        <w:spacing w:after="0"/>
      </w:pPr>
      <w:r>
        <w:t xml:space="preserve">Making it easy for children to make purchases without requiring any parental </w:t>
      </w:r>
      <w:r w:rsidR="007060CA">
        <w:t>consent.</w:t>
      </w:r>
    </w:p>
    <w:p w14:paraId="7641533F" w14:textId="65E629F1" w:rsidR="00D34A02" w:rsidRDefault="00961746" w:rsidP="00470F77">
      <w:pPr>
        <w:pStyle w:val="ListParagraph"/>
        <w:numPr>
          <w:ilvl w:val="0"/>
          <w:numId w:val="46"/>
        </w:numPr>
        <w:spacing w:after="0"/>
      </w:pPr>
      <w:r>
        <w:t xml:space="preserve">Blocking or deleting </w:t>
      </w:r>
      <w:r w:rsidR="007060CA" w:rsidRPr="007060CA">
        <w:t>the accounts of customers who disputed unauthorized charges with their credit card companies.</w:t>
      </w:r>
    </w:p>
    <w:p w14:paraId="7B358120" w14:textId="30808BAF" w:rsidR="007060CA" w:rsidRDefault="007060CA" w:rsidP="00470F77">
      <w:pPr>
        <w:pStyle w:val="ListParagraph"/>
        <w:numPr>
          <w:ilvl w:val="0"/>
          <w:numId w:val="46"/>
        </w:numPr>
        <w:spacing w:after="0"/>
      </w:pPr>
      <w:r>
        <w:t>Blocked access to other purchased content.</w:t>
      </w:r>
    </w:p>
    <w:p w14:paraId="2C2FFA07" w14:textId="6B2DC0FE" w:rsidR="007060CA" w:rsidRDefault="00961746" w:rsidP="00705330">
      <w:pPr>
        <w:pStyle w:val="ListParagraph"/>
        <w:numPr>
          <w:ilvl w:val="0"/>
          <w:numId w:val="46"/>
        </w:numPr>
        <w:spacing w:after="0"/>
      </w:pPr>
      <w:r>
        <w:t>F</w:t>
      </w:r>
      <w:r w:rsidR="007060CA" w:rsidRPr="007060CA">
        <w:t xml:space="preserve">ailing to </w:t>
      </w:r>
      <w:r w:rsidR="007060CA">
        <w:t>n</w:t>
      </w:r>
      <w:r w:rsidR="007060CA" w:rsidRPr="007060CA">
        <w:t xml:space="preserve">otify </w:t>
      </w:r>
      <w:r w:rsidR="007060CA">
        <w:t>p</w:t>
      </w:r>
      <w:r w:rsidR="007060CA" w:rsidRPr="007060CA">
        <w:t>arents</w:t>
      </w:r>
      <w:r w:rsidR="007060CA">
        <w:t xml:space="preserve"> or </w:t>
      </w:r>
      <w:r w:rsidR="00705330">
        <w:t xml:space="preserve">to </w:t>
      </w:r>
      <w:r w:rsidR="007060CA">
        <w:t xml:space="preserve">obtain consent </w:t>
      </w:r>
      <w:r w:rsidR="00705330">
        <w:t xml:space="preserve">for </w:t>
      </w:r>
      <w:r w:rsidR="007060CA">
        <w:t>practices that could harm children.</w:t>
      </w:r>
      <w:r w:rsidR="007060CA" w:rsidRPr="007060CA">
        <w:rPr>
          <w:rStyle w:val="EndnoteReference"/>
        </w:rPr>
        <w:t xml:space="preserve"> </w:t>
      </w:r>
      <w:r w:rsidR="007060CA">
        <w:rPr>
          <w:rStyle w:val="EndnoteReference"/>
        </w:rPr>
        <w:endnoteReference w:id="348"/>
      </w:r>
    </w:p>
    <w:p w14:paraId="352E93CA" w14:textId="77777777" w:rsidR="00D34A02" w:rsidRDefault="00D34A02" w:rsidP="00D34A02">
      <w:pPr>
        <w:spacing w:after="0"/>
      </w:pPr>
    </w:p>
    <w:p w14:paraId="784D187A" w14:textId="77777777" w:rsidR="00516AFF" w:rsidRDefault="00516AFF" w:rsidP="00D34A02">
      <w:pPr>
        <w:spacing w:after="0"/>
      </w:pPr>
    </w:p>
    <w:p w14:paraId="60992FFF" w14:textId="77777777" w:rsidR="00516AFF" w:rsidRDefault="00516AFF" w:rsidP="00D34A02">
      <w:pPr>
        <w:spacing w:after="0"/>
      </w:pPr>
    </w:p>
    <w:p w14:paraId="37C43939" w14:textId="77777777" w:rsidR="00516AFF" w:rsidRDefault="00516AFF" w:rsidP="00D34A02">
      <w:pPr>
        <w:spacing w:after="0"/>
      </w:pPr>
    </w:p>
    <w:p w14:paraId="71A66B8B" w14:textId="09B75E00" w:rsidR="005116B7" w:rsidRDefault="004A1CA0" w:rsidP="005116B7">
      <w:pPr>
        <w:pStyle w:val="Heading2"/>
      </w:pPr>
      <w:bookmarkStart w:id="98" w:name="_Toc138151871"/>
      <w:r>
        <w:lastRenderedPageBreak/>
        <w:t>10.4</w:t>
      </w:r>
      <w:r>
        <w:tab/>
      </w:r>
      <w:r w:rsidR="008B31CE">
        <w:t>Law Reform Options</w:t>
      </w:r>
      <w:r w:rsidR="005116B7">
        <w:t>: Prohibit Deceptive and Unconscionable</w:t>
      </w:r>
      <w:r w:rsidR="008E1FE5">
        <w:t xml:space="preserve"> Practices in the Digital Marketplace</w:t>
      </w:r>
      <w:bookmarkEnd w:id="98"/>
    </w:p>
    <w:p w14:paraId="52EA7A54" w14:textId="77777777" w:rsidR="005116B7" w:rsidRDefault="005116B7" w:rsidP="00961746">
      <w:pPr>
        <w:spacing w:after="0"/>
      </w:pPr>
    </w:p>
    <w:p w14:paraId="651AE834" w14:textId="5318B870" w:rsidR="00961746" w:rsidRDefault="00961746" w:rsidP="00961746">
      <w:pPr>
        <w:spacing w:after="0"/>
      </w:pPr>
      <w:r>
        <w:t>Given the range</w:t>
      </w:r>
      <w:r w:rsidR="000B0FAA">
        <w:t>, pace,</w:t>
      </w:r>
      <w:r>
        <w:t xml:space="preserve"> and </w:t>
      </w:r>
      <w:bookmarkStart w:id="99" w:name="_Hlk137111347"/>
      <w:r w:rsidR="005D250E">
        <w:t>ingenuity of</w:t>
      </w:r>
      <w:bookmarkEnd w:id="99"/>
      <w:r>
        <w:t xml:space="preserve"> potentially deception and unconscionability practices, it is tempting to simply rely on the existing </w:t>
      </w:r>
      <w:r w:rsidR="00B90593">
        <w:t xml:space="preserve">principled </w:t>
      </w:r>
      <w:r>
        <w:t xml:space="preserve">provisions in the CPA to govern these practices, relying on litigants to challenge disputed practices on a case-by-case basis. </w:t>
      </w:r>
    </w:p>
    <w:p w14:paraId="5C3FE9E3" w14:textId="77777777" w:rsidR="00961746" w:rsidRDefault="00961746" w:rsidP="00961746">
      <w:pPr>
        <w:spacing w:after="0"/>
      </w:pPr>
    </w:p>
    <w:p w14:paraId="4AAC56EA" w14:textId="6E8FA783" w:rsidR="00261FED" w:rsidRDefault="00961746" w:rsidP="00261FED">
      <w:pPr>
        <w:spacing w:after="0"/>
      </w:pPr>
      <w:r>
        <w:t>The LCO agrees that the CPA’s general provisions prohibiting deception and unconscionability practices are important consumer protections.</w:t>
      </w:r>
      <w:r w:rsidR="009E0094">
        <w:t xml:space="preserve"> </w:t>
      </w:r>
      <w:r w:rsidR="0056678E">
        <w:t xml:space="preserve">That said, there are many reasons to believe </w:t>
      </w:r>
      <w:r>
        <w:t xml:space="preserve">that </w:t>
      </w:r>
      <w:r w:rsidR="0056678E">
        <w:t xml:space="preserve">the CPA existing </w:t>
      </w:r>
      <w:r w:rsidR="00261FED">
        <w:t xml:space="preserve">provisions </w:t>
      </w:r>
      <w:r w:rsidR="0056678E">
        <w:t>are unlikely to be effective in the digital marketplace.</w:t>
      </w:r>
      <w:r w:rsidR="00174CA3">
        <w:t xml:space="preserve"> </w:t>
      </w:r>
      <w:r>
        <w:t xml:space="preserve">Most obviously, “regulation by litigation” </w:t>
      </w:r>
      <w:r w:rsidR="0056678E">
        <w:t xml:space="preserve">of complex technology and deceptive online business practices creates many access to justice challenges. Regulation by litigation </w:t>
      </w:r>
      <w:r>
        <w:t xml:space="preserve">can </w:t>
      </w:r>
      <w:r w:rsidR="0056678E">
        <w:t xml:space="preserve">also </w:t>
      </w:r>
      <w:r>
        <w:t>be costly</w:t>
      </w:r>
      <w:r w:rsidR="00CD044B">
        <w:t xml:space="preserve">, </w:t>
      </w:r>
      <w:r>
        <w:t>slow</w:t>
      </w:r>
      <w:r w:rsidR="0056678E">
        <w:t>,</w:t>
      </w:r>
      <w:r w:rsidR="00CD044B">
        <w:t xml:space="preserve"> and result in inconsistent and piecemeal </w:t>
      </w:r>
      <w:r w:rsidR="00F74C07">
        <w:t>interpretation of</w:t>
      </w:r>
      <w:r w:rsidR="0056678E">
        <w:t xml:space="preserve"> inappropriate business practices.</w:t>
      </w:r>
      <w:r w:rsidR="00174CA3">
        <w:t xml:space="preserve"> </w:t>
      </w:r>
      <w:r w:rsidR="0056678E">
        <w:t xml:space="preserve">Finally, </w:t>
      </w:r>
      <w:r>
        <w:t xml:space="preserve">“regulation by litigation” will likely result in legal uncertainty for consumers and business, uneven consumer protections, and an uneven playing field </w:t>
      </w:r>
      <w:r w:rsidR="0056678E">
        <w:t xml:space="preserve">for Ontario’s </w:t>
      </w:r>
      <w:r>
        <w:t>businesses.</w:t>
      </w:r>
    </w:p>
    <w:p w14:paraId="78175DD8" w14:textId="77777777" w:rsidR="00261FED" w:rsidRDefault="00261FED" w:rsidP="007A41A0">
      <w:pPr>
        <w:spacing w:after="0"/>
      </w:pPr>
    </w:p>
    <w:p w14:paraId="61C9352F" w14:textId="6B438EBE" w:rsidR="002C1F5D" w:rsidRDefault="00BD222A" w:rsidP="002C1F5D">
      <w:pPr>
        <w:spacing w:after="0"/>
      </w:pPr>
      <w:r>
        <w:t xml:space="preserve">A </w:t>
      </w:r>
      <w:r w:rsidR="002C1F5D">
        <w:t xml:space="preserve">better approach </w:t>
      </w:r>
      <w:r>
        <w:t xml:space="preserve">may </w:t>
      </w:r>
      <w:r w:rsidR="002C1F5D">
        <w:t>be for the provincial government to explicitly identify and prohibit a range of unfair and deceptive practices</w:t>
      </w:r>
      <w:r>
        <w:t xml:space="preserve"> that have been identified in the digital marketplace</w:t>
      </w:r>
      <w:r w:rsidR="002C1F5D">
        <w:t xml:space="preserve">. This approach </w:t>
      </w:r>
      <w:r>
        <w:t xml:space="preserve">could </w:t>
      </w:r>
      <w:r w:rsidR="002C1F5D">
        <w:t xml:space="preserve">provide </w:t>
      </w:r>
      <w:r w:rsidR="004729F5">
        <w:t xml:space="preserve">both </w:t>
      </w:r>
      <w:r w:rsidR="002C1F5D">
        <w:t>more clarity for consumers</w:t>
      </w:r>
      <w:r w:rsidR="004729F5">
        <w:t>/</w:t>
      </w:r>
      <w:r w:rsidR="002C1F5D">
        <w:t>businesses and establish baseline standard</w:t>
      </w:r>
      <w:r w:rsidR="004729F5">
        <w:t>s</w:t>
      </w:r>
      <w:r w:rsidR="002C1F5D">
        <w:t xml:space="preserve"> for fair competition among businesses.</w:t>
      </w:r>
      <w:r w:rsidR="009E0094">
        <w:t xml:space="preserve"> </w:t>
      </w:r>
    </w:p>
    <w:p w14:paraId="5D1F590A" w14:textId="77777777" w:rsidR="002C1F5D" w:rsidRDefault="002C1F5D" w:rsidP="007A41A0">
      <w:pPr>
        <w:spacing w:after="0"/>
      </w:pPr>
    </w:p>
    <w:p w14:paraId="3630AE2B" w14:textId="19C804F7" w:rsidR="004729F5" w:rsidRDefault="00D247FB" w:rsidP="00D247FB">
      <w:r>
        <w:t xml:space="preserve">The 2023 Ontario CPA </w:t>
      </w:r>
      <w:r w:rsidR="004729F5">
        <w:t>C</w:t>
      </w:r>
      <w:r>
        <w:t xml:space="preserve">onsultation </w:t>
      </w:r>
      <w:r w:rsidR="004729F5">
        <w:t xml:space="preserve">Paper acknowledges the need to update the CPA’s deception and unconscionability provisions. The paper </w:t>
      </w:r>
      <w:r>
        <w:t xml:space="preserve">proposes to </w:t>
      </w:r>
    </w:p>
    <w:p w14:paraId="3D6C5A33" w14:textId="007EBFBD" w:rsidR="004729F5" w:rsidRPr="008546ED" w:rsidRDefault="004729F5" w:rsidP="008546ED">
      <w:pPr>
        <w:ind w:left="720"/>
        <w:rPr>
          <w:i/>
          <w:iCs/>
        </w:rPr>
      </w:pPr>
      <w:r w:rsidRPr="008546ED">
        <w:rPr>
          <w:i/>
          <w:iCs/>
        </w:rPr>
        <w:t>[set]</w:t>
      </w:r>
      <w:r w:rsidR="00D247FB" w:rsidRPr="008546ED">
        <w:rPr>
          <w:i/>
          <w:iCs/>
        </w:rPr>
        <w:t xml:space="preserve"> out a list of examples of prohibited unconscionable conduct, which would update and replace the current list of examples of unconscionable representations… [and] better address practices that have emerged since the CPA came into effect.</w:t>
      </w:r>
      <w:r w:rsidR="00D247FB" w:rsidRPr="008546ED">
        <w:rPr>
          <w:rStyle w:val="EndnoteReference"/>
          <w:i/>
          <w:iCs/>
        </w:rPr>
        <w:endnoteReference w:id="349"/>
      </w:r>
      <w:r w:rsidR="002C1F5D" w:rsidRPr="008546ED">
        <w:rPr>
          <w:i/>
          <w:iCs/>
        </w:rPr>
        <w:t xml:space="preserve"> </w:t>
      </w:r>
    </w:p>
    <w:p w14:paraId="0F105739" w14:textId="38253269" w:rsidR="00D247FB" w:rsidRDefault="004729F5" w:rsidP="00D247FB">
      <w:r>
        <w:t>T</w:t>
      </w:r>
      <w:r w:rsidR="00D247FB">
        <w:t>he proposed “illustrative legislation language”</w:t>
      </w:r>
      <w:r>
        <w:t>, however,</w:t>
      </w:r>
      <w:r w:rsidR="00D247FB">
        <w:t xml:space="preserve"> simply reiterates existing unconscionable examples in the CPA</w:t>
      </w:r>
      <w:r w:rsidR="389BCBB2">
        <w:t>,</w:t>
      </w:r>
      <w:r w:rsidR="00D247FB">
        <w:t xml:space="preserve"> while adding the one new term </w:t>
      </w:r>
      <w:r>
        <w:t xml:space="preserve">to address </w:t>
      </w:r>
      <w:r w:rsidR="00D247FB">
        <w:t>potentially predatory</w:t>
      </w:r>
      <w:r w:rsidR="00174CA3">
        <w:t xml:space="preserve"> </w:t>
      </w:r>
      <w:r w:rsidR="00D247FB">
        <w:t>“contract-breaking services.”</w:t>
      </w:r>
      <w:r w:rsidR="00D247FB">
        <w:rPr>
          <w:rStyle w:val="EndnoteReference"/>
        </w:rPr>
        <w:endnoteReference w:id="350"/>
      </w:r>
    </w:p>
    <w:p w14:paraId="72482873" w14:textId="1A9D1F26" w:rsidR="00CD7B6C" w:rsidRDefault="004729F5" w:rsidP="008546ED">
      <w:r>
        <w:t xml:space="preserve">An alternative approach would be for the CPA to </w:t>
      </w:r>
      <w:r w:rsidR="00D247FB">
        <w:t xml:space="preserve">enumerate a range of deceptive and unconscionable practices that </w:t>
      </w:r>
      <w:r>
        <w:t xml:space="preserve">have </w:t>
      </w:r>
      <w:r w:rsidR="00D247FB">
        <w:t>emerge</w:t>
      </w:r>
      <w:r>
        <w:t>d</w:t>
      </w:r>
      <w:r w:rsidR="00D247FB">
        <w:t xml:space="preserve"> in the digital marketplace.</w:t>
      </w:r>
      <w:r w:rsidR="009E0094">
        <w:t xml:space="preserve"> </w:t>
      </w:r>
    </w:p>
    <w:p w14:paraId="00B28388" w14:textId="7C74D6AC" w:rsidR="004729F5" w:rsidRDefault="004729F5" w:rsidP="00D247FB">
      <w:r>
        <w:t xml:space="preserve">This approach would be consistent with emerging international practices and reforms.  For example, </w:t>
      </w:r>
      <w:r w:rsidR="00D247FB" w:rsidRPr="006874F6">
        <w:t xml:space="preserve">the EU </w:t>
      </w:r>
      <w:r>
        <w:t xml:space="preserve">have adopted many reforms that </w:t>
      </w:r>
      <w:r w:rsidR="00D247FB" w:rsidRPr="006874F6">
        <w:t>specifically enumerate deceptive and unconscionable practices</w:t>
      </w:r>
      <w:r w:rsidR="006874F6" w:rsidRPr="006874F6">
        <w:t xml:space="preserve">. </w:t>
      </w:r>
      <w:r>
        <w:t xml:space="preserve"> Most notably, </w:t>
      </w:r>
      <w:r w:rsidR="006874F6" w:rsidRPr="006874F6">
        <w:t>the EU’s 2021 Unfair Commercial Practices Directive (UCPD) defines an array of practices related to</w:t>
      </w:r>
    </w:p>
    <w:p w14:paraId="7696F2AD" w14:textId="77777777" w:rsidR="004729F5" w:rsidRPr="00750FA2" w:rsidRDefault="004729F5" w:rsidP="004729F5">
      <w:pPr>
        <w:spacing w:after="0" w:line="240" w:lineRule="auto"/>
        <w:rPr>
          <w:highlight w:val="lightGray"/>
        </w:rPr>
      </w:pPr>
    </w:p>
    <w:p w14:paraId="17E8D93A" w14:textId="77777777" w:rsidR="004729F5" w:rsidRPr="006E2961" w:rsidRDefault="004729F5" w:rsidP="004729F5">
      <w:pPr>
        <w:pStyle w:val="ListParagraph"/>
        <w:numPr>
          <w:ilvl w:val="0"/>
          <w:numId w:val="12"/>
        </w:numPr>
        <w:spacing w:after="0" w:line="240" w:lineRule="auto"/>
      </w:pPr>
      <w:r w:rsidRPr="006E2961">
        <w:t>Misleading information and misleading omissions</w:t>
      </w:r>
    </w:p>
    <w:p w14:paraId="5AE23BA5" w14:textId="77777777" w:rsidR="004729F5" w:rsidRPr="006E2961" w:rsidRDefault="004729F5" w:rsidP="004729F5">
      <w:pPr>
        <w:pStyle w:val="ListParagraph"/>
        <w:numPr>
          <w:ilvl w:val="0"/>
          <w:numId w:val="12"/>
        </w:numPr>
        <w:spacing w:after="0" w:line="240" w:lineRule="auto"/>
      </w:pPr>
      <w:r w:rsidRPr="006E2961">
        <w:t>Hidden marketing / failure to identify commercial intent</w:t>
      </w:r>
    </w:p>
    <w:p w14:paraId="3416FDE9" w14:textId="77777777" w:rsidR="004729F5" w:rsidRPr="006E2961" w:rsidRDefault="004729F5" w:rsidP="004729F5">
      <w:pPr>
        <w:pStyle w:val="ListParagraph"/>
        <w:numPr>
          <w:ilvl w:val="0"/>
          <w:numId w:val="12"/>
        </w:numPr>
        <w:spacing w:after="0" w:line="240" w:lineRule="auto"/>
      </w:pPr>
      <w:r w:rsidRPr="006E2961">
        <w:t>Material information provided in an unclear manner</w:t>
      </w:r>
    </w:p>
    <w:p w14:paraId="7117ACBB" w14:textId="77777777" w:rsidR="004729F5" w:rsidRPr="006E2961" w:rsidRDefault="004729F5" w:rsidP="004729F5">
      <w:pPr>
        <w:pStyle w:val="ListParagraph"/>
        <w:numPr>
          <w:ilvl w:val="0"/>
          <w:numId w:val="12"/>
        </w:numPr>
        <w:spacing w:after="0" w:line="240" w:lineRule="auto"/>
      </w:pPr>
      <w:r w:rsidRPr="006E2961">
        <w:t>Use of the claim ‘free’</w:t>
      </w:r>
    </w:p>
    <w:p w14:paraId="344A8103" w14:textId="77777777" w:rsidR="004729F5" w:rsidRPr="006E2961" w:rsidRDefault="004729F5" w:rsidP="004729F5">
      <w:pPr>
        <w:pStyle w:val="ListParagraph"/>
        <w:numPr>
          <w:ilvl w:val="0"/>
          <w:numId w:val="12"/>
        </w:numPr>
        <w:spacing w:after="0" w:line="240" w:lineRule="auto"/>
      </w:pPr>
      <w:r w:rsidRPr="006E2961">
        <w:t>Free trials and subscription traps</w:t>
      </w:r>
    </w:p>
    <w:p w14:paraId="29442C54" w14:textId="77777777" w:rsidR="004729F5" w:rsidRPr="006E2961" w:rsidRDefault="004729F5" w:rsidP="004729F5">
      <w:pPr>
        <w:pStyle w:val="ListParagraph"/>
        <w:numPr>
          <w:ilvl w:val="0"/>
          <w:numId w:val="12"/>
        </w:numPr>
        <w:spacing w:after="0" w:line="240" w:lineRule="auto"/>
      </w:pPr>
      <w:r w:rsidRPr="006E2961">
        <w:t>Influencer marketing transparency</w:t>
      </w:r>
    </w:p>
    <w:p w14:paraId="37655CFF" w14:textId="77777777" w:rsidR="004729F5" w:rsidRPr="006E2961" w:rsidRDefault="004729F5" w:rsidP="004729F5">
      <w:pPr>
        <w:pStyle w:val="ListParagraph"/>
        <w:numPr>
          <w:ilvl w:val="0"/>
          <w:numId w:val="12"/>
        </w:numPr>
        <w:spacing w:after="0" w:line="240" w:lineRule="auto"/>
      </w:pPr>
      <w:r w:rsidRPr="006E2961">
        <w:lastRenderedPageBreak/>
        <w:t>User reviews</w:t>
      </w:r>
    </w:p>
    <w:p w14:paraId="46AD6B3E" w14:textId="77777777" w:rsidR="004729F5" w:rsidRPr="006E2961" w:rsidRDefault="004729F5" w:rsidP="004729F5">
      <w:pPr>
        <w:pStyle w:val="ListParagraph"/>
        <w:numPr>
          <w:ilvl w:val="0"/>
          <w:numId w:val="12"/>
        </w:numPr>
        <w:spacing w:after="0" w:line="240" w:lineRule="auto"/>
      </w:pPr>
      <w:r w:rsidRPr="006E2961">
        <w:t>Data-driven and algorithmic personalisation of content</w:t>
      </w:r>
    </w:p>
    <w:p w14:paraId="05F803BE" w14:textId="77777777" w:rsidR="004729F5" w:rsidRPr="006E2961" w:rsidRDefault="004729F5" w:rsidP="004729F5">
      <w:pPr>
        <w:pStyle w:val="ListParagraph"/>
        <w:numPr>
          <w:ilvl w:val="0"/>
          <w:numId w:val="12"/>
        </w:numPr>
        <w:spacing w:after="0" w:line="240" w:lineRule="auto"/>
      </w:pPr>
      <w:r w:rsidRPr="006E2961">
        <w:t>Dark pattern design of user interfaces</w:t>
      </w:r>
    </w:p>
    <w:p w14:paraId="16B437D0" w14:textId="77777777" w:rsidR="004729F5" w:rsidRPr="006E2961" w:rsidRDefault="004729F5" w:rsidP="004729F5">
      <w:pPr>
        <w:pStyle w:val="ListParagraph"/>
        <w:numPr>
          <w:ilvl w:val="0"/>
          <w:numId w:val="12"/>
        </w:numPr>
        <w:spacing w:after="0" w:line="240" w:lineRule="auto"/>
      </w:pPr>
      <w:r w:rsidRPr="006E2961">
        <w:t>Consumer lock-in to proprietary platforms and formats</w:t>
      </w:r>
    </w:p>
    <w:p w14:paraId="1ACDEB59" w14:textId="77777777" w:rsidR="004729F5" w:rsidRPr="006E2961" w:rsidRDefault="004729F5" w:rsidP="004729F5">
      <w:pPr>
        <w:pStyle w:val="ListParagraph"/>
        <w:numPr>
          <w:ilvl w:val="0"/>
          <w:numId w:val="12"/>
        </w:numPr>
        <w:spacing w:after="0" w:line="240" w:lineRule="auto"/>
      </w:pPr>
      <w:r w:rsidRPr="006E2961">
        <w:t>Gaming practices including sale of virtual items, in-game marketing, and digital currencies.</w:t>
      </w:r>
      <w:r w:rsidRPr="006E2961">
        <w:rPr>
          <w:rStyle w:val="EndnoteReference"/>
        </w:rPr>
        <w:endnoteReference w:id="351"/>
      </w:r>
    </w:p>
    <w:p w14:paraId="744140CE" w14:textId="77777777" w:rsidR="004729F5" w:rsidRDefault="004729F5" w:rsidP="00D247FB"/>
    <w:p w14:paraId="5E4CC76B" w14:textId="26A7138B" w:rsidR="00CD7B6C" w:rsidRDefault="00E122FB" w:rsidP="00D247FB">
      <w:r>
        <w:t>I</w:t>
      </w:r>
      <w:r w:rsidR="004729F5">
        <w:t xml:space="preserve">n this manner, the EU's UCPD </w:t>
      </w:r>
      <w:r w:rsidR="00D247FB" w:rsidRPr="006874F6">
        <w:t>effectively create</w:t>
      </w:r>
      <w:r w:rsidR="004729F5">
        <w:t>s</w:t>
      </w:r>
      <w:r w:rsidR="00D247FB" w:rsidRPr="006874F6">
        <w:t xml:space="preserve"> new “standard terms”</w:t>
      </w:r>
      <w:r w:rsidR="004729F5">
        <w:t xml:space="preserve"> that better protect consumers, </w:t>
      </w:r>
      <w:r w:rsidR="00D247FB" w:rsidRPr="006874F6">
        <w:t xml:space="preserve">clarify </w:t>
      </w:r>
      <w:r w:rsidR="004729F5">
        <w:t xml:space="preserve">business </w:t>
      </w:r>
      <w:r w:rsidR="00D247FB" w:rsidRPr="006874F6">
        <w:t>obligations</w:t>
      </w:r>
      <w:r w:rsidR="002C1F5D" w:rsidRPr="006874F6">
        <w:t xml:space="preserve">, </w:t>
      </w:r>
      <w:r w:rsidR="00D247FB" w:rsidRPr="006874F6">
        <w:t>and improve access to justice.</w:t>
      </w:r>
    </w:p>
    <w:p w14:paraId="3DE94E94" w14:textId="6AD2E5D1" w:rsidR="00442825" w:rsidRPr="00642BBF" w:rsidRDefault="004729F5" w:rsidP="00442825">
      <w:r>
        <w:t xml:space="preserve">A similar reform in Ontario would update the CPA </w:t>
      </w:r>
      <w:r w:rsidR="00442825">
        <w:t>to include a modern</w:t>
      </w:r>
      <w:r w:rsidR="000B0FAA">
        <w:t>, non-exhaustive</w:t>
      </w:r>
      <w:r w:rsidR="00442825">
        <w:t xml:space="preserve"> list of unconscionable practices in the online or digital marketplace. </w:t>
      </w:r>
    </w:p>
    <w:p w14:paraId="265A65DF" w14:textId="66FC5B56" w:rsidR="00C24E75" w:rsidRPr="00C24E75" w:rsidRDefault="00C24E75" w:rsidP="00C24E75">
      <w:pPr>
        <w:spacing w:after="0" w:line="256" w:lineRule="auto"/>
        <w:rPr>
          <w:rFonts w:ascii="Calibri" w:eastAsia="Calibri" w:hAnsi="Calibri" w:cs="Times New Roman"/>
          <w:b/>
          <w:highlight w:val="lightGray"/>
        </w:rPr>
      </w:pPr>
      <w:r w:rsidRPr="00C24E75">
        <w:rPr>
          <w:rFonts w:ascii="Calibri" w:eastAsia="Calibri" w:hAnsi="Calibri" w:cs="Times New Roman"/>
          <w:b/>
          <w:highlight w:val="lightGray"/>
        </w:rPr>
        <w:t>SIDEBAR: Consultation Questions to Modernize Deception and Unconscionability in the Digital Marketplace</w:t>
      </w:r>
    </w:p>
    <w:p w14:paraId="7502D04F" w14:textId="77777777" w:rsidR="00C24E75" w:rsidRPr="00C24E75" w:rsidRDefault="00C24E75" w:rsidP="00C24E75">
      <w:pPr>
        <w:spacing w:after="0" w:line="256" w:lineRule="auto"/>
        <w:rPr>
          <w:rFonts w:ascii="Calibri" w:eastAsia="Calibri" w:hAnsi="Calibri" w:cs="Times New Roman"/>
          <w:highlight w:val="lightGray"/>
        </w:rPr>
      </w:pPr>
    </w:p>
    <w:p w14:paraId="07FE5EAA" w14:textId="77777777" w:rsidR="00C24E75" w:rsidRPr="00C24E75" w:rsidRDefault="00C24E75" w:rsidP="00C24E75">
      <w:pPr>
        <w:spacing w:after="0" w:line="256" w:lineRule="auto"/>
        <w:ind w:left="1440" w:hanging="1440"/>
        <w:rPr>
          <w:rFonts w:ascii="Calibri" w:eastAsia="Calibri" w:hAnsi="Calibri" w:cs="Times New Roman"/>
          <w:i/>
          <w:iCs/>
          <w:highlight w:val="lightGray"/>
        </w:rPr>
      </w:pPr>
      <w:r w:rsidRPr="00C24E75">
        <w:rPr>
          <w:rFonts w:ascii="Calibri" w:eastAsia="Calibri" w:hAnsi="Calibri" w:cs="Times New Roman"/>
          <w:i/>
          <w:iCs/>
          <w:szCs w:val="21"/>
          <w:highlight w:val="lightGray"/>
        </w:rPr>
        <w:t xml:space="preserve">Question 13: </w:t>
      </w:r>
      <w:r w:rsidRPr="00C24E75">
        <w:rPr>
          <w:rFonts w:ascii="Calibri" w:eastAsia="Calibri" w:hAnsi="Calibri" w:cs="Times New Roman"/>
          <w:i/>
          <w:iCs/>
          <w:szCs w:val="21"/>
          <w:highlight w:val="lightGray"/>
        </w:rPr>
        <w:tab/>
      </w:r>
      <w:r w:rsidRPr="00C24E75">
        <w:rPr>
          <w:rFonts w:ascii="Calibri" w:eastAsia="Calibri" w:hAnsi="Calibri" w:cs="Times New Roman"/>
          <w:i/>
          <w:iCs/>
          <w:highlight w:val="lightGray"/>
        </w:rPr>
        <w:t xml:space="preserve">Should the CPA be amended to provide more consumer protections against </w:t>
      </w:r>
      <w:r w:rsidRPr="00C24E75">
        <w:rPr>
          <w:rFonts w:ascii="Calibri" w:eastAsia="Calibri" w:hAnsi="Calibri" w:cs="Times New Roman"/>
          <w:i/>
          <w:iCs/>
          <w:szCs w:val="21"/>
          <w:highlight w:val="lightGray"/>
        </w:rPr>
        <w:t xml:space="preserve">deceptive and unconscionable practices in the digital marketplace? </w:t>
      </w:r>
      <w:r w:rsidRPr="00C24E75">
        <w:rPr>
          <w:rFonts w:ascii="Calibri" w:eastAsia="Calibri" w:hAnsi="Calibri" w:cs="Times New Roman"/>
          <w:i/>
          <w:iCs/>
          <w:highlight w:val="lightGray"/>
        </w:rPr>
        <w:t xml:space="preserve">If so, how would these </w:t>
      </w:r>
      <w:r w:rsidRPr="00C24E75">
        <w:rPr>
          <w:rFonts w:ascii="Calibri" w:eastAsia="Calibri" w:hAnsi="Calibri" w:cs="Times New Roman"/>
          <w:i/>
          <w:iCs/>
          <w:szCs w:val="21"/>
          <w:highlight w:val="lightGray"/>
        </w:rPr>
        <w:t xml:space="preserve">practices </w:t>
      </w:r>
      <w:r w:rsidRPr="00C24E75">
        <w:rPr>
          <w:rFonts w:ascii="Calibri" w:eastAsia="Calibri" w:hAnsi="Calibri" w:cs="Times New Roman"/>
          <w:i/>
          <w:iCs/>
          <w:highlight w:val="lightGray"/>
        </w:rPr>
        <w:t xml:space="preserve">be defined in the CPA?  </w:t>
      </w:r>
    </w:p>
    <w:p w14:paraId="44824BE4" w14:textId="77777777" w:rsidR="00C24E75" w:rsidRPr="00C24E75" w:rsidRDefault="00C24E75" w:rsidP="00C24E75">
      <w:pPr>
        <w:spacing w:after="0" w:line="256" w:lineRule="auto"/>
        <w:ind w:left="1440" w:hanging="1440"/>
        <w:rPr>
          <w:rFonts w:ascii="Calibri" w:eastAsia="Calibri" w:hAnsi="Calibri" w:cs="Times New Roman"/>
          <w:i/>
          <w:iCs/>
          <w:szCs w:val="21"/>
          <w:highlight w:val="lightGray"/>
        </w:rPr>
      </w:pPr>
    </w:p>
    <w:p w14:paraId="55A64324" w14:textId="77777777" w:rsidR="00C24E75" w:rsidRPr="00C24E75" w:rsidRDefault="00C24E75" w:rsidP="00C24E75">
      <w:pPr>
        <w:spacing w:after="0" w:line="256" w:lineRule="auto"/>
        <w:ind w:left="1440" w:hanging="1440"/>
        <w:rPr>
          <w:rFonts w:ascii="Calibri" w:eastAsia="Calibri" w:hAnsi="Calibri" w:cs="Times New Roman"/>
          <w:i/>
          <w:iCs/>
          <w:szCs w:val="21"/>
          <w:highlight w:val="lightGray"/>
        </w:rPr>
      </w:pPr>
      <w:r w:rsidRPr="00C24E75">
        <w:rPr>
          <w:rFonts w:ascii="Calibri" w:eastAsia="Calibri" w:hAnsi="Calibri" w:cs="Times New Roman"/>
          <w:i/>
          <w:iCs/>
          <w:szCs w:val="21"/>
          <w:highlight w:val="lightGray"/>
        </w:rPr>
        <w:t>Question 14:</w:t>
      </w:r>
      <w:r w:rsidRPr="00C24E75">
        <w:rPr>
          <w:rFonts w:ascii="Calibri" w:eastAsia="Calibri" w:hAnsi="Calibri" w:cs="Times New Roman"/>
          <w:i/>
          <w:iCs/>
          <w:highlight w:val="lightGray"/>
        </w:rPr>
        <w:tab/>
        <w:t xml:space="preserve">In addition to a statutory definition, should the CPA be amended to include a list of online </w:t>
      </w:r>
      <w:r w:rsidRPr="00C24E75">
        <w:rPr>
          <w:rFonts w:ascii="Calibri" w:eastAsia="Calibri" w:hAnsi="Calibri" w:cs="Times New Roman"/>
          <w:i/>
          <w:iCs/>
          <w:szCs w:val="21"/>
          <w:highlight w:val="lightGray"/>
        </w:rPr>
        <w:t>deceptive and unconscionable practices that should be prohibited or proscribed?  If so, which practices should be identified?</w:t>
      </w:r>
    </w:p>
    <w:p w14:paraId="666AA9B2" w14:textId="77777777" w:rsidR="00C24E75" w:rsidRPr="00C24E75" w:rsidRDefault="00C24E75" w:rsidP="00C24E75">
      <w:pPr>
        <w:spacing w:after="0" w:line="240" w:lineRule="auto"/>
        <w:ind w:left="1440" w:hanging="1440"/>
        <w:rPr>
          <w:rFonts w:ascii="Calibri" w:eastAsia="Calibri" w:hAnsi="Calibri" w:cs="Times New Roman"/>
          <w:i/>
          <w:iCs/>
          <w:szCs w:val="21"/>
          <w:highlight w:val="lightGray"/>
        </w:rPr>
      </w:pPr>
    </w:p>
    <w:p w14:paraId="24FD07E7" w14:textId="77777777" w:rsidR="00C24E75" w:rsidRPr="00497C4C" w:rsidRDefault="00C24E75" w:rsidP="00C24E75">
      <w:pPr>
        <w:spacing w:after="0" w:line="240" w:lineRule="auto"/>
        <w:ind w:left="1440" w:hanging="1440"/>
        <w:rPr>
          <w:rFonts w:ascii="Calibri" w:eastAsia="Calibri" w:hAnsi="Calibri" w:cs="Times New Roman"/>
          <w:i/>
          <w:iCs/>
          <w:szCs w:val="21"/>
        </w:rPr>
      </w:pPr>
      <w:r w:rsidRPr="00C24E75">
        <w:rPr>
          <w:rFonts w:ascii="Calibri" w:eastAsia="Calibri" w:hAnsi="Calibri" w:cs="Times New Roman"/>
          <w:i/>
          <w:iCs/>
          <w:szCs w:val="21"/>
          <w:highlight w:val="lightGray"/>
        </w:rPr>
        <w:t xml:space="preserve">Question 15: </w:t>
      </w:r>
      <w:r w:rsidRPr="00C24E75">
        <w:rPr>
          <w:rFonts w:ascii="Calibri" w:eastAsia="Calibri" w:hAnsi="Calibri" w:cs="Times New Roman"/>
          <w:i/>
          <w:iCs/>
          <w:szCs w:val="21"/>
          <w:highlight w:val="lightGray"/>
        </w:rPr>
        <w:tab/>
        <w:t>Regulation of deceptive practices in the digital marketplace potentially affects jurisdiction within Canada and internationally.  Should these rules be harmonized?  If so, what does or doesn’t need harmonization?</w:t>
      </w:r>
    </w:p>
    <w:p w14:paraId="25CD3AA3" w14:textId="496E3049" w:rsidR="00224B25" w:rsidRDefault="00224B25">
      <w:r>
        <w:br w:type="page"/>
      </w:r>
    </w:p>
    <w:p w14:paraId="32C61052" w14:textId="38ADEA7B" w:rsidR="00081BDE" w:rsidRPr="00C97296" w:rsidRDefault="00BD5800" w:rsidP="00470F77">
      <w:pPr>
        <w:pStyle w:val="Heading1"/>
        <w:numPr>
          <w:ilvl w:val="0"/>
          <w:numId w:val="65"/>
        </w:numPr>
      </w:pPr>
      <w:bookmarkStart w:id="100" w:name="_Toc138151872"/>
      <w:r w:rsidRPr="00BD5800">
        <w:lastRenderedPageBreak/>
        <w:t xml:space="preserve">Improving </w:t>
      </w:r>
      <w:r w:rsidR="00B71F53">
        <w:t>Access to Justice:</w:t>
      </w:r>
      <w:r w:rsidR="009E0094">
        <w:t xml:space="preserve"> </w:t>
      </w:r>
      <w:r w:rsidR="00B71F53">
        <w:t>Dispute Resolution,</w:t>
      </w:r>
      <w:r w:rsidR="0024420E">
        <w:t xml:space="preserve"> Remedies,</w:t>
      </w:r>
      <w:r w:rsidR="00B71F53">
        <w:t xml:space="preserve"> Oversight, and </w:t>
      </w:r>
      <w:r w:rsidRPr="00BD5800">
        <w:t>Enforcement</w:t>
      </w:r>
      <w:bookmarkEnd w:id="100"/>
      <w:r w:rsidRPr="00BD5800">
        <w:t xml:space="preserve"> </w:t>
      </w:r>
    </w:p>
    <w:p w14:paraId="2808D7A5" w14:textId="77777777" w:rsidR="00490052" w:rsidRDefault="00490052" w:rsidP="00081BDE"/>
    <w:p w14:paraId="32FA0482" w14:textId="1E34D080" w:rsidR="00EF337A" w:rsidRDefault="00B71F53" w:rsidP="00B71F53">
      <w:r>
        <w:t>Access to justice is a longstanding concern for the LCO.</w:t>
      </w:r>
      <w:r w:rsidR="009E0094">
        <w:t xml:space="preserve"> </w:t>
      </w:r>
      <w:r>
        <w:t xml:space="preserve">As a result, we have placed particular emphasis on whether, or how, Ontario's consumers have meaningful access to dispute </w:t>
      </w:r>
      <w:r w:rsidR="0024420E">
        <w:t>resolution procedures</w:t>
      </w:r>
      <w:r w:rsidR="008C45BD">
        <w:t xml:space="preserve"> </w:t>
      </w:r>
      <w:r w:rsidR="0024420E">
        <w:t>/</w:t>
      </w:r>
      <w:r w:rsidR="008C45BD">
        <w:t xml:space="preserve"> </w:t>
      </w:r>
      <w:r w:rsidR="0024420E">
        <w:t>remedies and whether consumer oversight and enforcement processes are adequate</w:t>
      </w:r>
      <w:r w:rsidR="008C45BD">
        <w:t xml:space="preserve"> to the particular problems consumers face in the digital marketplace.</w:t>
      </w:r>
    </w:p>
    <w:p w14:paraId="161A8DA9" w14:textId="2FE0CF67" w:rsidR="00161287" w:rsidRDefault="00161287" w:rsidP="00161287">
      <w:r>
        <w:t xml:space="preserve">The challenge is that many consumers use digital marketplace services for minor or routine transactions, or for small amounts. These activities are often disproportionate with the considerable difficulty and potential expense of pursuing access to justice through existing mechanisms. </w:t>
      </w:r>
    </w:p>
    <w:p w14:paraId="6886B181" w14:textId="3B130342" w:rsidR="00626496" w:rsidRDefault="00161287" w:rsidP="00626496">
      <w:r>
        <w:t xml:space="preserve">The net effect is to undermine the </w:t>
      </w:r>
      <w:r w:rsidR="00B122AE">
        <w:t>fundamental accountability mechanism</w:t>
      </w:r>
      <w:r>
        <w:t xml:space="preserve"> of consumer protection law</w:t>
      </w:r>
      <w:r w:rsidR="00A44977">
        <w:t>: effective consumer redress</w:t>
      </w:r>
      <w:r>
        <w:t xml:space="preserve">. </w:t>
      </w:r>
      <w:r w:rsidR="008019B7">
        <w:t xml:space="preserve">Leading </w:t>
      </w:r>
      <w:r w:rsidR="003232F7">
        <w:t xml:space="preserve">Canadian contracts scholar Margaret Jane Radin </w:t>
      </w:r>
      <w:r w:rsidR="008019B7">
        <w:t xml:space="preserve">has written that the success of </w:t>
      </w:r>
      <w:r w:rsidR="003232F7">
        <w:t xml:space="preserve">consumer contract </w:t>
      </w:r>
      <w:r w:rsidR="008019B7">
        <w:t xml:space="preserve">law depends on </w:t>
      </w:r>
      <w:r w:rsidR="003232F7">
        <w:t>“a visible avenue for redress of grievances in cases where the bargain fails, otherwise the trust that the ideal of contract imagines would be weakened and perhaps collapse.”</w:t>
      </w:r>
      <w:r w:rsidR="003232F7">
        <w:rPr>
          <w:rStyle w:val="EndnoteReference"/>
        </w:rPr>
        <w:endnoteReference w:id="352"/>
      </w:r>
      <w:r w:rsidR="00626496" w:rsidRPr="00626496">
        <w:t xml:space="preserve"> </w:t>
      </w:r>
    </w:p>
    <w:p w14:paraId="4E43A8E8" w14:textId="0C452558" w:rsidR="00626496" w:rsidRDefault="00626496" w:rsidP="00626496">
      <w:r>
        <w:t>The OECD has similarly noted that:</w:t>
      </w:r>
    </w:p>
    <w:p w14:paraId="4C9C8589" w14:textId="77777777" w:rsidR="008D0BF0" w:rsidRDefault="00626496" w:rsidP="008D0BF0">
      <w:pPr>
        <w:pStyle w:val="Quote"/>
        <w:jc w:val="left"/>
      </w:pPr>
      <w:r w:rsidRPr="00D835CC">
        <w:t>…the availability of effective dispute resolution and redress mechanisms can increase consumer confidence and trust in the online and offline marketplace, encourage fair business practices, and promote cross-border commerce, including electronic and mobile commerce.</w:t>
      </w:r>
      <w:r w:rsidRPr="00D835CC">
        <w:rPr>
          <w:rStyle w:val="EndnoteReference"/>
        </w:rPr>
        <w:endnoteReference w:id="353"/>
      </w:r>
    </w:p>
    <w:p w14:paraId="472BB76E" w14:textId="77777777" w:rsidR="008D0BF0" w:rsidRDefault="008D0BF0" w:rsidP="008D0BF0">
      <w:pPr>
        <w:pStyle w:val="Quote"/>
        <w:ind w:left="0"/>
        <w:jc w:val="left"/>
      </w:pPr>
    </w:p>
    <w:p w14:paraId="0D2DB039" w14:textId="77CE7A03" w:rsidR="00D835CC" w:rsidRDefault="003232F7" w:rsidP="008D0BF0">
      <w:pPr>
        <w:pStyle w:val="Quote"/>
        <w:ind w:left="0"/>
        <w:jc w:val="left"/>
      </w:pPr>
      <w:r>
        <w:t xml:space="preserve">Redress is crucial because contract law is a form of private governance. Where disputes arise, or </w:t>
      </w:r>
      <w:r w:rsidR="008019B7">
        <w:t xml:space="preserve">where </w:t>
      </w:r>
      <w:r>
        <w:t>negotiating position</w:t>
      </w:r>
      <w:r w:rsidR="008019B7">
        <w:t>s</w:t>
      </w:r>
      <w:r>
        <w:t xml:space="preserve"> </w:t>
      </w:r>
      <w:r w:rsidR="008019B7">
        <w:t xml:space="preserve">are </w:t>
      </w:r>
      <w:r>
        <w:t xml:space="preserve">unbalanced and prone to exploitation, efficient and accessible forms of redress are needed to keep </w:t>
      </w:r>
      <w:r w:rsidR="00EF337A">
        <w:t xml:space="preserve">consumer transactions </w:t>
      </w:r>
      <w:r>
        <w:t xml:space="preserve">from </w:t>
      </w:r>
      <w:r w:rsidR="008019B7">
        <w:t xml:space="preserve">becoming </w:t>
      </w:r>
      <w:r w:rsidR="00EF337A">
        <w:t xml:space="preserve">so </w:t>
      </w:r>
      <w:r>
        <w:t xml:space="preserve">one-sided </w:t>
      </w:r>
      <w:r w:rsidR="00EF337A">
        <w:t xml:space="preserve">they are </w:t>
      </w:r>
      <w:r>
        <w:t xml:space="preserve">neither fair to the consumer nor </w:t>
      </w:r>
      <w:r w:rsidR="320D9DCD">
        <w:t xml:space="preserve">are they </w:t>
      </w:r>
      <w:r>
        <w:t xml:space="preserve">in the public interest </w:t>
      </w:r>
      <w:r w:rsidR="00EF337A">
        <w:t xml:space="preserve">of </w:t>
      </w:r>
      <w:r>
        <w:t>a balanced and trustworthy marketplace.</w:t>
      </w:r>
      <w:r w:rsidR="00856B3C">
        <w:t xml:space="preserve"> </w:t>
      </w:r>
      <w:r w:rsidR="00D835CC">
        <w:t>The access to justice needs o</w:t>
      </w:r>
      <w:r w:rsidR="008C45BD">
        <w:t>f</w:t>
      </w:r>
      <w:r w:rsidR="00D835CC">
        <w:t xml:space="preserve"> consumers in the digital marketplace ha</w:t>
      </w:r>
      <w:r w:rsidR="000B0FAA">
        <w:t>ve</w:t>
      </w:r>
      <w:r w:rsidR="00D835CC">
        <w:t xml:space="preserve"> become critical. Consumer complaints routinely top Canadian surveys of legal needs. For instance, the </w:t>
      </w:r>
      <w:r w:rsidR="008C45BD">
        <w:t xml:space="preserve">2014 </w:t>
      </w:r>
      <w:r w:rsidR="00D835CC">
        <w:t xml:space="preserve">Canadian Forum on Civil Justice </w:t>
      </w:r>
      <w:r w:rsidR="0047259D">
        <w:t xml:space="preserve">(CFCJ) </w:t>
      </w:r>
      <w:r w:rsidR="008C45BD">
        <w:t>survey identified consumer issues as the most common type of legal problem Canadians experience, outpacing all other categories including family law, housing, police action, and criminal law.</w:t>
      </w:r>
      <w:r w:rsidR="008C45BD">
        <w:rPr>
          <w:rStyle w:val="EndnoteReference"/>
        </w:rPr>
        <w:endnoteReference w:id="354"/>
      </w:r>
    </w:p>
    <w:p w14:paraId="00F30DBC" w14:textId="77777777" w:rsidR="008D0BF0" w:rsidRPr="008D0BF0" w:rsidRDefault="008D0BF0" w:rsidP="008D0BF0"/>
    <w:p w14:paraId="0FB50ED6" w14:textId="16410649" w:rsidR="00EE5EC0" w:rsidRPr="0047259D" w:rsidRDefault="00EE5EC0" w:rsidP="003232F7">
      <w:pPr>
        <w:rPr>
          <w:b/>
          <w:bCs/>
          <w:highlight w:val="lightGray"/>
        </w:rPr>
      </w:pPr>
      <w:r w:rsidRPr="0047259D">
        <w:rPr>
          <w:b/>
          <w:bCs/>
          <w:highlight w:val="lightGray"/>
        </w:rPr>
        <w:t>SIDEBAR: Profile of Consumer Access to Justice Needs</w:t>
      </w:r>
    </w:p>
    <w:p w14:paraId="579AE001" w14:textId="10F2E70C" w:rsidR="00EE5EC0" w:rsidRPr="0047259D" w:rsidRDefault="00EE5EC0" w:rsidP="00470F77">
      <w:pPr>
        <w:pStyle w:val="ListParagraph"/>
        <w:numPr>
          <w:ilvl w:val="0"/>
          <w:numId w:val="78"/>
        </w:numPr>
        <w:rPr>
          <w:highlight w:val="lightGray"/>
        </w:rPr>
      </w:pPr>
      <w:r w:rsidRPr="1F5E9E68">
        <w:rPr>
          <w:highlight w:val="lightGray"/>
        </w:rPr>
        <w:t>Most Canadian</w:t>
      </w:r>
      <w:r w:rsidR="2F38E9D4" w:rsidRPr="1F5E9E68">
        <w:rPr>
          <w:highlight w:val="lightGray"/>
        </w:rPr>
        <w:t>s</w:t>
      </w:r>
      <w:r w:rsidRPr="1F5E9E68">
        <w:rPr>
          <w:highlight w:val="lightGray"/>
        </w:rPr>
        <w:t xml:space="preserve"> who experience a consumer problem take one or more steps to try and resolve them (96.5%) and contact the other party to do so (83%), whereas very few </w:t>
      </w:r>
      <w:r w:rsidR="003D2AD4" w:rsidRPr="1F5E9E68">
        <w:rPr>
          <w:highlight w:val="lightGray"/>
        </w:rPr>
        <w:t xml:space="preserve">contact a lawyer (7.9%). </w:t>
      </w:r>
    </w:p>
    <w:p w14:paraId="14FAC0C2" w14:textId="17A310AD" w:rsidR="00EE5EC0" w:rsidRPr="0047259D" w:rsidRDefault="003D2AD4" w:rsidP="00470F77">
      <w:pPr>
        <w:pStyle w:val="ListParagraph"/>
        <w:numPr>
          <w:ilvl w:val="0"/>
          <w:numId w:val="78"/>
        </w:numPr>
        <w:rPr>
          <w:highlight w:val="lightGray"/>
        </w:rPr>
      </w:pPr>
      <w:r w:rsidRPr="0047259D">
        <w:rPr>
          <w:highlight w:val="lightGray"/>
        </w:rPr>
        <w:t>Only 47.5% of Canadian with a resolved consumer problem evaluate the resolution of that problem as being fair</w:t>
      </w:r>
    </w:p>
    <w:p w14:paraId="65C38261" w14:textId="3820FFE6" w:rsidR="003D2AD4" w:rsidRPr="0047259D" w:rsidRDefault="003D2AD4" w:rsidP="00470F77">
      <w:pPr>
        <w:pStyle w:val="ListParagraph"/>
        <w:numPr>
          <w:ilvl w:val="0"/>
          <w:numId w:val="78"/>
        </w:numPr>
        <w:rPr>
          <w:highlight w:val="lightGray"/>
        </w:rPr>
      </w:pPr>
      <w:r w:rsidRPr="0047259D">
        <w:rPr>
          <w:highlight w:val="lightGray"/>
        </w:rPr>
        <w:t>Some 29.3% of Canadian report difficulty carrying on with normal life after experiencing a consumer problem</w:t>
      </w:r>
    </w:p>
    <w:p w14:paraId="6505E003" w14:textId="3ACC01CD" w:rsidR="0047259D" w:rsidRPr="0047259D" w:rsidRDefault="0047259D" w:rsidP="00470F77">
      <w:pPr>
        <w:pStyle w:val="ListParagraph"/>
        <w:numPr>
          <w:ilvl w:val="0"/>
          <w:numId w:val="78"/>
        </w:numPr>
        <w:rPr>
          <w:highlight w:val="lightGray"/>
        </w:rPr>
      </w:pPr>
      <w:r w:rsidRPr="0047259D">
        <w:rPr>
          <w:highlight w:val="lightGray"/>
        </w:rPr>
        <w:t>Very few individuals access the formal legal system to resolve their issues even though their problems were considered “legal” and the largest single legal problem Canadians face.</w:t>
      </w:r>
      <w:r w:rsidRPr="0047259D">
        <w:rPr>
          <w:rStyle w:val="EndnoteReference"/>
          <w:highlight w:val="lightGray"/>
        </w:rPr>
        <w:endnoteReference w:id="355"/>
      </w:r>
    </w:p>
    <w:p w14:paraId="4A3363BE" w14:textId="03A54E18" w:rsidR="004E7E8A" w:rsidRPr="007A41A0" w:rsidRDefault="0039076E" w:rsidP="003232F7">
      <w:pPr>
        <w:rPr>
          <w:b/>
          <w:bCs/>
        </w:rPr>
      </w:pPr>
      <w:r>
        <w:lastRenderedPageBreak/>
        <w:t>The CFCJ study is consistent with legal needs surveys in other jurisdictions.</w:t>
      </w:r>
      <w:r w:rsidR="009E0094">
        <w:t xml:space="preserve"> </w:t>
      </w:r>
      <w:r>
        <w:t>For example, i</w:t>
      </w:r>
      <w:r w:rsidR="004E7E8A" w:rsidRPr="002915F2">
        <w:t xml:space="preserve">n 2021 the </w:t>
      </w:r>
      <w:r>
        <w:t xml:space="preserve">OECD </w:t>
      </w:r>
      <w:r w:rsidR="004E7E8A" w:rsidRPr="002915F2">
        <w:t>surveyed 28 countries and 15 leading companies about consumer complaints in the digital marketplace</w:t>
      </w:r>
      <w:r>
        <w:t xml:space="preserve">. </w:t>
      </w:r>
      <w:r w:rsidR="00D835CC">
        <w:t>The l</w:t>
      </w:r>
      <w:r>
        <w:t xml:space="preserve">eading issues </w:t>
      </w:r>
      <w:r w:rsidR="00D835CC">
        <w:t xml:space="preserve">were strongly related to ToS practices, including </w:t>
      </w:r>
      <w:r w:rsidR="004E7E8A" w:rsidRPr="002915F2">
        <w:t>“unfair terms and conditions</w:t>
      </w:r>
      <w:r w:rsidR="00D835CC">
        <w:t>,</w:t>
      </w:r>
      <w:r w:rsidR="004E7E8A" w:rsidRPr="002915F2">
        <w:t>” “dispute resolution or lack thereof</w:t>
      </w:r>
      <w:r w:rsidR="00D835CC">
        <w:t>,</w:t>
      </w:r>
      <w:r w:rsidR="004E7E8A" w:rsidRPr="002915F2">
        <w:t>”</w:t>
      </w:r>
      <w:r w:rsidR="00D835CC">
        <w:t xml:space="preserve"> </w:t>
      </w:r>
      <w:r w:rsidR="004E7E8A" w:rsidRPr="002915F2">
        <w:t>and “misleading marketing practices</w:t>
      </w:r>
      <w:r w:rsidR="00D835CC">
        <w:t>.</w:t>
      </w:r>
      <w:r w:rsidR="004E7E8A" w:rsidRPr="002915F2">
        <w:t>”</w:t>
      </w:r>
      <w:r w:rsidR="004E7E8A" w:rsidRPr="002915F2">
        <w:rPr>
          <w:rStyle w:val="EndnoteReference"/>
        </w:rPr>
        <w:endnoteReference w:id="356"/>
      </w:r>
    </w:p>
    <w:p w14:paraId="245C26BF" w14:textId="75D5157A" w:rsidR="00362558" w:rsidRDefault="004E7E8A" w:rsidP="00EF337A">
      <w:r>
        <w:t>Th</w:t>
      </w:r>
      <w:r w:rsidR="0039076E">
        <w:t xml:space="preserve">e </w:t>
      </w:r>
      <w:r w:rsidR="00EF337A">
        <w:t xml:space="preserve">CFCJ and </w:t>
      </w:r>
      <w:r w:rsidR="0039076E">
        <w:t>OECD stud</w:t>
      </w:r>
      <w:r w:rsidR="00EF337A">
        <w:t xml:space="preserve">ies </w:t>
      </w:r>
      <w:r w:rsidR="0039076E">
        <w:t xml:space="preserve">and others </w:t>
      </w:r>
      <w:r>
        <w:t xml:space="preserve">suggest </w:t>
      </w:r>
      <w:r w:rsidR="00272FD8">
        <w:t xml:space="preserve">several </w:t>
      </w:r>
      <w:r w:rsidR="004A3D7B">
        <w:t xml:space="preserve">reasons why </w:t>
      </w:r>
      <w:r w:rsidR="00272FD8">
        <w:t xml:space="preserve">access to justice </w:t>
      </w:r>
      <w:r w:rsidR="004A3D7B">
        <w:t xml:space="preserve">is </w:t>
      </w:r>
      <w:r w:rsidR="00272FD8">
        <w:t xml:space="preserve">difficult and often impractical in the digital </w:t>
      </w:r>
      <w:r w:rsidR="00272FD8" w:rsidRPr="00E36D17">
        <w:t>marketplace</w:t>
      </w:r>
      <w:r w:rsidR="00613255">
        <w:t>.</w:t>
      </w:r>
    </w:p>
    <w:p w14:paraId="765C5BF3" w14:textId="5C3527A7" w:rsidR="00EF337A" w:rsidRDefault="00EF337A" w:rsidP="007A41A0">
      <w:r>
        <w:t>First, d</w:t>
      </w:r>
      <w:r w:rsidR="00EE15C7">
        <w:t xml:space="preserve">isputes </w:t>
      </w:r>
      <w:r>
        <w:t>“involving consumers acting individually often concern low value products and transactions, which may discourage consumers from seeking redress.”</w:t>
      </w:r>
      <w:r>
        <w:rPr>
          <w:rStyle w:val="EndnoteReference"/>
        </w:rPr>
        <w:endnoteReference w:id="357"/>
      </w:r>
      <w:r w:rsidR="009E0094">
        <w:t xml:space="preserve"> </w:t>
      </w:r>
      <w:r>
        <w:t>In other words, consumers often have little financial incentive to complain or litigate even the most legitimate disputes. These negative incentives are exacerbated in the digital marketplace given the prevalence of complex ToS, dark patterns, and unclear dispute resolution procedures.</w:t>
      </w:r>
    </w:p>
    <w:p w14:paraId="5938444A" w14:textId="56D9A72B" w:rsidR="009F7E97" w:rsidRDefault="00EF337A" w:rsidP="007A41A0">
      <w:r>
        <w:t xml:space="preserve">Second, </w:t>
      </w:r>
      <w:r w:rsidR="009F7E97">
        <w:t xml:space="preserve">ToS </w:t>
      </w:r>
      <w:r w:rsidR="00362558">
        <w:t>contract</w:t>
      </w:r>
      <w:r w:rsidR="004B47DC">
        <w:t>s</w:t>
      </w:r>
      <w:r w:rsidR="00362558">
        <w:t xml:space="preserve"> are p</w:t>
      </w:r>
      <w:r w:rsidR="00E36D17" w:rsidRPr="00E36D17">
        <w:t>rivate regulat</w:t>
      </w:r>
      <w:r w:rsidR="00362558">
        <w:t>ory instruments.</w:t>
      </w:r>
      <w:r w:rsidR="009E0094">
        <w:t xml:space="preserve"> </w:t>
      </w:r>
      <w:r>
        <w:t xml:space="preserve">ToS can </w:t>
      </w:r>
      <w:r w:rsidR="00362558">
        <w:t>be opaque</w:t>
      </w:r>
      <w:r>
        <w:t xml:space="preserve">; they </w:t>
      </w:r>
      <w:r w:rsidR="00362558">
        <w:t>are unlikely to be neutral</w:t>
      </w:r>
      <w:r>
        <w:t xml:space="preserve">; there may be little </w:t>
      </w:r>
      <w:r w:rsidR="0024420E">
        <w:t>public</w:t>
      </w:r>
      <w:r w:rsidR="004B47DC">
        <w:t xml:space="preserve"> </w:t>
      </w:r>
      <w:r>
        <w:t>oversight;</w:t>
      </w:r>
      <w:r w:rsidR="004B47DC">
        <w:t xml:space="preserve"> </w:t>
      </w:r>
      <w:r w:rsidR="003C2667">
        <w:t xml:space="preserve">and </w:t>
      </w:r>
      <w:r>
        <w:t xml:space="preserve">they </w:t>
      </w:r>
      <w:r w:rsidR="003C2667">
        <w:t xml:space="preserve">may </w:t>
      </w:r>
      <w:r>
        <w:t xml:space="preserve">compel </w:t>
      </w:r>
      <w:r w:rsidR="003C2667">
        <w:t xml:space="preserve">dispute resolution </w:t>
      </w:r>
      <w:r>
        <w:t xml:space="preserve">processes </w:t>
      </w:r>
      <w:r w:rsidR="003C2667">
        <w:t xml:space="preserve">that </w:t>
      </w:r>
      <w:r>
        <w:t xml:space="preserve">are </w:t>
      </w:r>
      <w:r w:rsidR="003C2667">
        <w:t>weighed in favor of the supplier</w:t>
      </w:r>
      <w:r w:rsidR="000F2EDB">
        <w:t>.</w:t>
      </w:r>
    </w:p>
    <w:p w14:paraId="0C2D46B4" w14:textId="4DFD771A" w:rsidR="00EF337A" w:rsidRDefault="00EF337A">
      <w:r>
        <w:t xml:space="preserve">Third, ToS are likely to be long and complex legal documents </w:t>
      </w:r>
      <w:r w:rsidR="003C1AE3">
        <w:t xml:space="preserve">that even the most sophisticated and well-resourced consumers would find difficult to challenge. </w:t>
      </w:r>
    </w:p>
    <w:p w14:paraId="6CF2BDE8" w14:textId="1BAE2F2D" w:rsidR="003C1AE3" w:rsidRDefault="003C1AE3">
      <w:r>
        <w:t xml:space="preserve">Fourth, online or technological deception and unconscionability practices (such as dark patterns) are likely to be very difficult to litigate, relying on complex and expensive evidential and legal analysis. </w:t>
      </w:r>
    </w:p>
    <w:p w14:paraId="4A063FB7" w14:textId="4B3ABE77" w:rsidR="00E36D17" w:rsidRDefault="009F7E97">
      <w:r>
        <w:t xml:space="preserve">Finally, there is the </w:t>
      </w:r>
      <w:r w:rsidR="006145BF">
        <w:t xml:space="preserve">challenge of jurisdiction. </w:t>
      </w:r>
      <w:r w:rsidR="00E36D17">
        <w:t xml:space="preserve">In the offline context, businesses </w:t>
      </w:r>
      <w:r>
        <w:t xml:space="preserve">will </w:t>
      </w:r>
      <w:r w:rsidR="00E36D17">
        <w:t xml:space="preserve">have a physical presence within the borders of a defined geographic region. With </w:t>
      </w:r>
      <w:r>
        <w:t xml:space="preserve">an online service, however, </w:t>
      </w:r>
      <w:r w:rsidR="00E36D17">
        <w:t xml:space="preserve">a company </w:t>
      </w:r>
      <w:r>
        <w:t xml:space="preserve">may be </w:t>
      </w:r>
      <w:r w:rsidR="00E36D17">
        <w:t xml:space="preserve">legally </w:t>
      </w:r>
      <w:r>
        <w:t xml:space="preserve">registered </w:t>
      </w:r>
      <w:r w:rsidR="00E36D17">
        <w:t xml:space="preserve">in one country, </w:t>
      </w:r>
      <w:r>
        <w:t xml:space="preserve">be located </w:t>
      </w:r>
      <w:r w:rsidR="00E36D17">
        <w:t>in another</w:t>
      </w:r>
      <w:r>
        <w:t xml:space="preserve">, and provide services to consumers in a </w:t>
      </w:r>
      <w:r w:rsidR="00E36D17">
        <w:t>third.</w:t>
      </w:r>
      <w:r w:rsidR="009E0094">
        <w:t xml:space="preserve"> </w:t>
      </w:r>
    </w:p>
    <w:p w14:paraId="6CDCD95B" w14:textId="57AFB14B" w:rsidR="00200DD7" w:rsidRDefault="00200DD7" w:rsidP="00200DD7">
      <w:pPr>
        <w:spacing w:after="0"/>
        <w:rPr>
          <w:lang w:val="en-US"/>
        </w:rPr>
      </w:pPr>
      <w:r>
        <w:rPr>
          <w:lang w:val="en-US"/>
        </w:rPr>
        <w:t>The effect of these factors is that Ontario consumers are likely to find it very difficult to challenge digital ToS or otherwise enforce their CPA rights in the digital marketplace.</w:t>
      </w:r>
    </w:p>
    <w:p w14:paraId="36A8B887" w14:textId="77777777" w:rsidR="00E54193" w:rsidRDefault="00E54193" w:rsidP="00200DD7">
      <w:pPr>
        <w:spacing w:after="0"/>
        <w:rPr>
          <w:lang w:val="en-US"/>
        </w:rPr>
      </w:pPr>
    </w:p>
    <w:p w14:paraId="4822416A" w14:textId="29B21F2D" w:rsidR="00E54193" w:rsidRDefault="00E54193" w:rsidP="00E54193">
      <w:pPr>
        <w:spacing w:after="0" w:line="240" w:lineRule="auto"/>
      </w:pPr>
      <w:r>
        <w:t>The following subsections discuss a series of proposals that may improve access to justice for transactions in the digital marketplace. These include:</w:t>
      </w:r>
    </w:p>
    <w:p w14:paraId="653460FD" w14:textId="77777777" w:rsidR="00E54193" w:rsidRDefault="00E54193" w:rsidP="00E54193">
      <w:pPr>
        <w:spacing w:after="0" w:line="240" w:lineRule="auto"/>
      </w:pPr>
    </w:p>
    <w:p w14:paraId="44014B67" w14:textId="77777777" w:rsidR="00E54193" w:rsidRDefault="00E54193" w:rsidP="00E54193">
      <w:pPr>
        <w:pStyle w:val="ListParagraph"/>
        <w:numPr>
          <w:ilvl w:val="0"/>
          <w:numId w:val="66"/>
        </w:numPr>
        <w:spacing w:after="0" w:line="240" w:lineRule="auto"/>
      </w:pPr>
      <w:r>
        <w:t>Outlining current and proposed access to justice and dispute resolution mechanisms under the CPA</w:t>
      </w:r>
    </w:p>
    <w:p w14:paraId="5E54B373" w14:textId="0567BD6E" w:rsidR="00E27C22" w:rsidRDefault="00E27C22" w:rsidP="00E27C22">
      <w:pPr>
        <w:pStyle w:val="ListParagraph"/>
        <w:numPr>
          <w:ilvl w:val="0"/>
          <w:numId w:val="66"/>
        </w:numPr>
        <w:spacing w:after="0" w:line="240" w:lineRule="auto"/>
      </w:pPr>
      <w:r>
        <w:t>Measures to ensure courts and government are equipped to resolve consumer disputes in the digital marketplace</w:t>
      </w:r>
    </w:p>
    <w:p w14:paraId="72751FFC" w14:textId="4091D578" w:rsidR="00E27C22" w:rsidRDefault="00E27C22" w:rsidP="00E27C22">
      <w:pPr>
        <w:pStyle w:val="ListParagraph"/>
        <w:numPr>
          <w:ilvl w:val="0"/>
          <w:numId w:val="66"/>
        </w:numPr>
        <w:spacing w:after="0" w:line="240" w:lineRule="auto"/>
      </w:pPr>
      <w:r>
        <w:t>Clarifying jurisdiction over transactions in Ontario</w:t>
      </w:r>
    </w:p>
    <w:p w14:paraId="12590541" w14:textId="1731B159" w:rsidR="00E27C22" w:rsidRDefault="00E27C22" w:rsidP="00E27C22">
      <w:pPr>
        <w:pStyle w:val="ListParagraph"/>
        <w:numPr>
          <w:ilvl w:val="0"/>
          <w:numId w:val="66"/>
        </w:numPr>
        <w:spacing w:after="0" w:line="240" w:lineRule="auto"/>
      </w:pPr>
      <w:r>
        <w:t>Stronger protections against reprisal</w:t>
      </w:r>
    </w:p>
    <w:p w14:paraId="7C2B4814" w14:textId="08769079" w:rsidR="00E27C22" w:rsidRDefault="00E27C22" w:rsidP="00E27C22">
      <w:pPr>
        <w:pStyle w:val="ListParagraph"/>
        <w:numPr>
          <w:ilvl w:val="0"/>
          <w:numId w:val="66"/>
        </w:numPr>
        <w:spacing w:after="0" w:line="240" w:lineRule="auto"/>
      </w:pPr>
      <w:r>
        <w:t>Establishing minimum standards for ministry complaints and informal dispute resolution</w:t>
      </w:r>
    </w:p>
    <w:p w14:paraId="237933AF" w14:textId="42F1AB5C" w:rsidR="00E27C22" w:rsidRDefault="00E27C22" w:rsidP="00E27C22">
      <w:pPr>
        <w:pStyle w:val="ListParagraph"/>
        <w:numPr>
          <w:ilvl w:val="0"/>
          <w:numId w:val="66"/>
        </w:numPr>
        <w:spacing w:after="0" w:line="240" w:lineRule="auto"/>
      </w:pPr>
      <w:r>
        <w:t>Improving consumer rights advocacy and litigation assistance</w:t>
      </w:r>
    </w:p>
    <w:p w14:paraId="7BC08355" w14:textId="64487940" w:rsidR="00E27C22" w:rsidRDefault="00E27C22" w:rsidP="00E27C22">
      <w:pPr>
        <w:pStyle w:val="ListParagraph"/>
        <w:numPr>
          <w:ilvl w:val="0"/>
          <w:numId w:val="66"/>
        </w:numPr>
        <w:spacing w:after="0" w:line="240" w:lineRule="auto"/>
      </w:pPr>
      <w:r>
        <w:t>Building more proactive means for systemic investigation, redress, and legislative enforcement</w:t>
      </w:r>
    </w:p>
    <w:p w14:paraId="237B4E04" w14:textId="206D2EB1" w:rsidR="00E27C22" w:rsidRDefault="00E27C22" w:rsidP="00E27C22">
      <w:pPr>
        <w:pStyle w:val="ListParagraph"/>
        <w:numPr>
          <w:ilvl w:val="0"/>
          <w:numId w:val="66"/>
        </w:numPr>
        <w:spacing w:after="0" w:line="240" w:lineRule="auto"/>
      </w:pPr>
      <w:r>
        <w:t>Facilitating better consumer enforcement and policy-making through improved data collection and a machine readable ToS registry</w:t>
      </w:r>
    </w:p>
    <w:p w14:paraId="215EAD12" w14:textId="54B1CB30" w:rsidR="00E54193" w:rsidRPr="00E54193" w:rsidRDefault="00E27C22" w:rsidP="00E27C22">
      <w:pPr>
        <w:pStyle w:val="ListParagraph"/>
        <w:numPr>
          <w:ilvl w:val="0"/>
          <w:numId w:val="66"/>
        </w:numPr>
        <w:spacing w:after="0" w:line="240" w:lineRule="auto"/>
      </w:pPr>
      <w:r>
        <w:t>Considering consumer damages for disgorgement.</w:t>
      </w:r>
    </w:p>
    <w:p w14:paraId="413EEE3D" w14:textId="77777777" w:rsidR="00200DD7" w:rsidRDefault="00200DD7"/>
    <w:p w14:paraId="5108D824" w14:textId="087E158A" w:rsidR="00272FD8" w:rsidRDefault="009A5337" w:rsidP="009A5337">
      <w:pPr>
        <w:pStyle w:val="Heading2"/>
      </w:pPr>
      <w:bookmarkStart w:id="101" w:name="_Toc138151873"/>
      <w:r>
        <w:lastRenderedPageBreak/>
        <w:t>11.1</w:t>
      </w:r>
      <w:r>
        <w:tab/>
      </w:r>
      <w:r w:rsidR="00843220">
        <w:t>The CPA and Proposed Amendments</w:t>
      </w:r>
      <w:bookmarkEnd w:id="101"/>
    </w:p>
    <w:p w14:paraId="7DA3BC9E" w14:textId="77777777" w:rsidR="003232F7" w:rsidRDefault="003232F7" w:rsidP="006145BF">
      <w:pPr>
        <w:spacing w:after="0"/>
      </w:pPr>
    </w:p>
    <w:p w14:paraId="0A177EE3" w14:textId="0FA7954E" w:rsidR="006145BF" w:rsidRDefault="00885BEC" w:rsidP="006145BF">
      <w:pPr>
        <w:spacing w:after="0"/>
        <w:rPr>
          <w:lang w:val="en-US"/>
        </w:rPr>
      </w:pPr>
      <w:r>
        <w:rPr>
          <w:lang w:val="en-US"/>
        </w:rPr>
        <w:t xml:space="preserve">Access to justice is </w:t>
      </w:r>
      <w:r w:rsidR="0024420E">
        <w:rPr>
          <w:lang w:val="en-US"/>
        </w:rPr>
        <w:t xml:space="preserve">facilitated </w:t>
      </w:r>
      <w:r>
        <w:rPr>
          <w:lang w:val="en-US"/>
        </w:rPr>
        <w:t xml:space="preserve">in the CPA through two main mechanisms: </w:t>
      </w:r>
      <w:r w:rsidR="007D72B9">
        <w:rPr>
          <w:lang w:val="en-US"/>
        </w:rPr>
        <w:t xml:space="preserve">1) </w:t>
      </w:r>
      <w:r>
        <w:rPr>
          <w:lang w:val="en-US"/>
        </w:rPr>
        <w:t>c</w:t>
      </w:r>
      <w:r w:rsidR="006145BF">
        <w:rPr>
          <w:lang w:val="en-US"/>
        </w:rPr>
        <w:t xml:space="preserve">onsumers </w:t>
      </w:r>
      <w:r>
        <w:rPr>
          <w:lang w:val="en-US"/>
        </w:rPr>
        <w:t>can</w:t>
      </w:r>
      <w:r w:rsidR="006145BF">
        <w:rPr>
          <w:lang w:val="en-US"/>
        </w:rPr>
        <w:t xml:space="preserve"> file complaints to the </w:t>
      </w:r>
      <w:r w:rsidR="006145BF" w:rsidRPr="00352ED2">
        <w:rPr>
          <w:lang w:val="en-US"/>
        </w:rPr>
        <w:t>Ministry of Public and Business Service Delivery</w:t>
      </w:r>
      <w:r w:rsidR="007D72B9">
        <w:rPr>
          <w:lang w:val="en-US"/>
        </w:rPr>
        <w:t>,</w:t>
      </w:r>
      <w:r w:rsidR="006145BF">
        <w:rPr>
          <w:lang w:val="en-US"/>
        </w:rPr>
        <w:t xml:space="preserve"> or </w:t>
      </w:r>
      <w:r w:rsidR="007D72B9">
        <w:rPr>
          <w:lang w:val="en-US"/>
        </w:rPr>
        <w:t xml:space="preserve">2) consumers can </w:t>
      </w:r>
      <w:r w:rsidR="006145BF">
        <w:rPr>
          <w:lang w:val="en-US"/>
        </w:rPr>
        <w:t xml:space="preserve">enforce rights through </w:t>
      </w:r>
      <w:r>
        <w:rPr>
          <w:lang w:val="en-US"/>
        </w:rPr>
        <w:t>the Ontario Superior Court of Justice</w:t>
      </w:r>
      <w:r w:rsidR="00613255">
        <w:rPr>
          <w:lang w:val="en-US"/>
        </w:rPr>
        <w:t xml:space="preserve"> or Small Claims Court</w:t>
      </w:r>
      <w:r>
        <w:rPr>
          <w:lang w:val="en-US"/>
        </w:rPr>
        <w:t>.</w:t>
      </w:r>
    </w:p>
    <w:p w14:paraId="426B7925" w14:textId="77777777" w:rsidR="006145BF" w:rsidRDefault="006145BF" w:rsidP="006145BF">
      <w:pPr>
        <w:spacing w:after="0"/>
        <w:rPr>
          <w:lang w:val="en-US"/>
        </w:rPr>
      </w:pPr>
    </w:p>
    <w:p w14:paraId="30136080" w14:textId="2B3AE571" w:rsidR="006145BF" w:rsidRDefault="006145BF" w:rsidP="006145BF">
      <w:pPr>
        <w:spacing w:after="0"/>
        <w:rPr>
          <w:lang w:val="en-US"/>
        </w:rPr>
      </w:pPr>
      <w:r>
        <w:rPr>
          <w:lang w:val="en-US"/>
        </w:rPr>
        <w:t xml:space="preserve">Complaints to the Ministry can </w:t>
      </w:r>
      <w:r w:rsidR="0024420E">
        <w:rPr>
          <w:lang w:val="en-US"/>
        </w:rPr>
        <w:t>result in an escalating series of actions, including</w:t>
      </w:r>
      <w:r>
        <w:rPr>
          <w:lang w:val="en-US"/>
        </w:rPr>
        <w:t>:</w:t>
      </w:r>
    </w:p>
    <w:p w14:paraId="7269E317" w14:textId="77777777" w:rsidR="006145BF" w:rsidRDefault="006145BF" w:rsidP="006145BF">
      <w:pPr>
        <w:spacing w:after="0"/>
        <w:rPr>
          <w:lang w:val="en-US"/>
        </w:rPr>
      </w:pPr>
    </w:p>
    <w:p w14:paraId="6339EC54" w14:textId="0AA5D166" w:rsidR="006145BF" w:rsidRDefault="000B0FAA" w:rsidP="00470F77">
      <w:pPr>
        <w:pStyle w:val="ListParagraph"/>
        <w:numPr>
          <w:ilvl w:val="0"/>
          <w:numId w:val="31"/>
        </w:numPr>
        <w:spacing w:after="0"/>
        <w:rPr>
          <w:lang w:val="en-US"/>
        </w:rPr>
      </w:pPr>
      <w:r>
        <w:rPr>
          <w:lang w:val="en-US"/>
        </w:rPr>
        <w:t>T</w:t>
      </w:r>
      <w:r w:rsidR="000123E1">
        <w:rPr>
          <w:lang w:val="en-US"/>
        </w:rPr>
        <w:t>he Ministry declining to review the complaint</w:t>
      </w:r>
    </w:p>
    <w:p w14:paraId="402C3FD6" w14:textId="165EF512" w:rsidR="006145BF" w:rsidRDefault="000B0FAA" w:rsidP="00470F77">
      <w:pPr>
        <w:pStyle w:val="ListParagraph"/>
        <w:numPr>
          <w:ilvl w:val="0"/>
          <w:numId w:val="31"/>
        </w:numPr>
        <w:spacing w:after="0"/>
        <w:rPr>
          <w:lang w:val="en-US"/>
        </w:rPr>
      </w:pPr>
      <w:r>
        <w:rPr>
          <w:lang w:val="en-US"/>
        </w:rPr>
        <w:t>I</w:t>
      </w:r>
      <w:r w:rsidR="0024420E">
        <w:rPr>
          <w:lang w:val="en-US"/>
        </w:rPr>
        <w:t>nform</w:t>
      </w:r>
      <w:r w:rsidR="006145BF">
        <w:rPr>
          <w:lang w:val="en-US"/>
        </w:rPr>
        <w:t>al resolution</w:t>
      </w:r>
      <w:r w:rsidR="000123E1">
        <w:rPr>
          <w:lang w:val="en-US"/>
        </w:rPr>
        <w:t xml:space="preserve"> of the complaint, with or without Ministry involvement</w:t>
      </w:r>
    </w:p>
    <w:p w14:paraId="44C8B65B" w14:textId="10ABC097" w:rsidR="000B5AC8" w:rsidRDefault="000B5AC8" w:rsidP="00470F77">
      <w:pPr>
        <w:pStyle w:val="ListParagraph"/>
        <w:numPr>
          <w:ilvl w:val="0"/>
          <w:numId w:val="31"/>
        </w:numPr>
        <w:spacing w:after="0"/>
        <w:rPr>
          <w:lang w:val="en-US"/>
        </w:rPr>
      </w:pPr>
      <w:r w:rsidRPr="005B42AC">
        <w:rPr>
          <w:lang w:val="en-US"/>
        </w:rPr>
        <w:t xml:space="preserve">Adding the business to the </w:t>
      </w:r>
      <w:r>
        <w:rPr>
          <w:lang w:val="en-US"/>
        </w:rPr>
        <w:t>Ministry’s “</w:t>
      </w:r>
      <w:r w:rsidRPr="005B42AC">
        <w:rPr>
          <w:lang w:val="en-US"/>
        </w:rPr>
        <w:t>consumer beware list</w:t>
      </w:r>
      <w:r w:rsidR="00471A4A">
        <w:rPr>
          <w:lang w:val="en-US"/>
        </w:rPr>
        <w:t>”</w:t>
      </w:r>
      <w:r>
        <w:rPr>
          <w:lang w:val="en-US"/>
        </w:rPr>
        <w:t xml:space="preserve"> </w:t>
      </w:r>
    </w:p>
    <w:p w14:paraId="7C99CF1A" w14:textId="53EC8429" w:rsidR="006145BF" w:rsidRPr="005B42AC" w:rsidRDefault="000B0FAA" w:rsidP="00470F77">
      <w:pPr>
        <w:pStyle w:val="ListParagraph"/>
        <w:numPr>
          <w:ilvl w:val="0"/>
          <w:numId w:val="31"/>
        </w:numPr>
        <w:spacing w:after="0"/>
        <w:rPr>
          <w:lang w:val="en-US"/>
        </w:rPr>
      </w:pPr>
      <w:r>
        <w:rPr>
          <w:lang w:val="en-US"/>
        </w:rPr>
        <w:t>M</w:t>
      </w:r>
      <w:r w:rsidR="0024420E" w:rsidRPr="005B42AC">
        <w:rPr>
          <w:lang w:val="en-US"/>
        </w:rPr>
        <w:t>ediation</w:t>
      </w:r>
      <w:r w:rsidR="000123E1">
        <w:rPr>
          <w:lang w:val="en-US"/>
        </w:rPr>
        <w:t>, with or without the involvement of the Ministry</w:t>
      </w:r>
    </w:p>
    <w:p w14:paraId="33AB1AE6" w14:textId="24A74746" w:rsidR="006145BF" w:rsidRPr="005B42AC" w:rsidRDefault="000123E1" w:rsidP="00470F77">
      <w:pPr>
        <w:pStyle w:val="ListParagraph"/>
        <w:numPr>
          <w:ilvl w:val="0"/>
          <w:numId w:val="31"/>
        </w:numPr>
        <w:spacing w:after="0"/>
        <w:rPr>
          <w:lang w:val="en-US"/>
        </w:rPr>
      </w:pPr>
      <w:r>
        <w:rPr>
          <w:lang w:val="en-US"/>
        </w:rPr>
        <w:t>Ministry efforts to e</w:t>
      </w:r>
      <w:r w:rsidR="0024420E" w:rsidRPr="005B42AC">
        <w:rPr>
          <w:lang w:val="en-US"/>
        </w:rPr>
        <w:t>ducat</w:t>
      </w:r>
      <w:r>
        <w:rPr>
          <w:lang w:val="en-US"/>
        </w:rPr>
        <w:t>e</w:t>
      </w:r>
      <w:r w:rsidR="0024420E" w:rsidRPr="005B42AC">
        <w:rPr>
          <w:lang w:val="en-US"/>
        </w:rPr>
        <w:t xml:space="preserve"> </w:t>
      </w:r>
      <w:r w:rsidR="006145BF" w:rsidRPr="005B42AC">
        <w:rPr>
          <w:lang w:val="en-US"/>
        </w:rPr>
        <w:t>the business and consumer</w:t>
      </w:r>
    </w:p>
    <w:p w14:paraId="4633A62C" w14:textId="2B0866BC" w:rsidR="006145BF" w:rsidRPr="005B42AC" w:rsidRDefault="0024420E" w:rsidP="00470F77">
      <w:pPr>
        <w:pStyle w:val="ListParagraph"/>
        <w:numPr>
          <w:ilvl w:val="0"/>
          <w:numId w:val="31"/>
        </w:numPr>
        <w:spacing w:after="0"/>
        <w:rPr>
          <w:lang w:val="en-US"/>
        </w:rPr>
      </w:pPr>
      <w:r w:rsidRPr="005B42AC">
        <w:rPr>
          <w:lang w:val="en-US"/>
        </w:rPr>
        <w:t>Administrative action</w:t>
      </w:r>
      <w:r w:rsidR="000123E1">
        <w:rPr>
          <w:lang w:val="en-US"/>
        </w:rPr>
        <w:t>s by the Ministry</w:t>
      </w:r>
      <w:r w:rsidR="006145BF">
        <w:rPr>
          <w:lang w:val="en-US"/>
        </w:rPr>
        <w:t xml:space="preserve"> including </w:t>
      </w:r>
      <w:r w:rsidR="006145BF" w:rsidRPr="00F92681">
        <w:rPr>
          <w:lang w:val="en-US"/>
        </w:rPr>
        <w:t>written warnings</w:t>
      </w:r>
      <w:r w:rsidR="006145BF">
        <w:rPr>
          <w:lang w:val="en-US"/>
        </w:rPr>
        <w:t xml:space="preserve">, </w:t>
      </w:r>
      <w:r w:rsidR="006145BF" w:rsidRPr="00F92681">
        <w:rPr>
          <w:lang w:val="en-US"/>
        </w:rPr>
        <w:t>imposing terms and conditions on</w:t>
      </w:r>
      <w:r w:rsidR="000123E1">
        <w:rPr>
          <w:lang w:val="en-US"/>
        </w:rPr>
        <w:t xml:space="preserve"> business</w:t>
      </w:r>
      <w:r w:rsidR="006145BF" w:rsidRPr="00F92681">
        <w:rPr>
          <w:lang w:val="en-US"/>
        </w:rPr>
        <w:t xml:space="preserve"> </w:t>
      </w:r>
      <w:r w:rsidR="000123E1" w:rsidRPr="00F92681">
        <w:rPr>
          <w:lang w:val="en-US"/>
        </w:rPr>
        <w:t>licenses</w:t>
      </w:r>
      <w:r w:rsidR="006145BF" w:rsidRPr="00F92681">
        <w:rPr>
          <w:lang w:val="en-US"/>
        </w:rPr>
        <w:t xml:space="preserve"> and registrations</w:t>
      </w:r>
      <w:r w:rsidR="006145BF">
        <w:rPr>
          <w:lang w:val="en-US"/>
        </w:rPr>
        <w:t xml:space="preserve">, and </w:t>
      </w:r>
      <w:r w:rsidR="006145BF" w:rsidRPr="00F92681">
        <w:rPr>
          <w:lang w:val="en-US"/>
        </w:rPr>
        <w:t xml:space="preserve">suspending or revoking </w:t>
      </w:r>
      <w:r w:rsidR="000123E1" w:rsidRPr="00F92681">
        <w:rPr>
          <w:lang w:val="en-US"/>
        </w:rPr>
        <w:t>licenses</w:t>
      </w:r>
      <w:r w:rsidR="006145BF" w:rsidRPr="00F92681">
        <w:rPr>
          <w:lang w:val="en-US"/>
        </w:rPr>
        <w:t xml:space="preserve"> or registrations</w:t>
      </w:r>
    </w:p>
    <w:p w14:paraId="467ABDCD" w14:textId="0A5EA559" w:rsidR="006145BF" w:rsidRPr="005B42AC" w:rsidRDefault="00D7707D" w:rsidP="00470F77">
      <w:pPr>
        <w:pStyle w:val="ListParagraph"/>
        <w:numPr>
          <w:ilvl w:val="0"/>
          <w:numId w:val="31"/>
        </w:numPr>
        <w:spacing w:after="0"/>
        <w:rPr>
          <w:lang w:val="en-US"/>
        </w:rPr>
      </w:pPr>
      <w:r>
        <w:rPr>
          <w:lang w:val="en-US"/>
        </w:rPr>
        <w:t>Ministry issued c</w:t>
      </w:r>
      <w:r w:rsidR="0024420E" w:rsidRPr="005B42AC">
        <w:rPr>
          <w:lang w:val="en-US"/>
        </w:rPr>
        <w:t>ompliance order</w:t>
      </w:r>
      <w:r w:rsidR="006145BF">
        <w:rPr>
          <w:lang w:val="en-US"/>
        </w:rPr>
        <w:t xml:space="preserve"> (potentially tr</w:t>
      </w:r>
      <w:r w:rsidR="0024420E">
        <w:rPr>
          <w:lang w:val="en-US"/>
        </w:rPr>
        <w:t xml:space="preserve">iggering a hearing before the </w:t>
      </w:r>
      <w:r>
        <w:rPr>
          <w:lang w:val="en-US"/>
        </w:rPr>
        <w:t>License</w:t>
      </w:r>
      <w:r w:rsidR="0024420E">
        <w:rPr>
          <w:lang w:val="en-US"/>
        </w:rPr>
        <w:t xml:space="preserve"> </w:t>
      </w:r>
      <w:r>
        <w:rPr>
          <w:lang w:val="en-US"/>
        </w:rPr>
        <w:t>A</w:t>
      </w:r>
      <w:r w:rsidR="0024420E">
        <w:rPr>
          <w:lang w:val="en-US"/>
        </w:rPr>
        <w:t xml:space="preserve">ppeal </w:t>
      </w:r>
      <w:r>
        <w:rPr>
          <w:lang w:val="en-US"/>
        </w:rPr>
        <w:t>T</w:t>
      </w:r>
      <w:r w:rsidR="0024420E">
        <w:rPr>
          <w:lang w:val="en-US"/>
        </w:rPr>
        <w:t>ribunal)</w:t>
      </w:r>
    </w:p>
    <w:p w14:paraId="67D3C57E" w14:textId="68B8EB54" w:rsidR="006145BF" w:rsidRPr="000B5AC8" w:rsidRDefault="0024420E" w:rsidP="000B5AC8">
      <w:pPr>
        <w:pStyle w:val="ListParagraph"/>
        <w:numPr>
          <w:ilvl w:val="0"/>
          <w:numId w:val="31"/>
        </w:numPr>
        <w:spacing w:after="0"/>
        <w:rPr>
          <w:lang w:val="en-US"/>
        </w:rPr>
      </w:pPr>
      <w:r w:rsidRPr="000B5AC8">
        <w:rPr>
          <w:lang w:val="en-US"/>
        </w:rPr>
        <w:t>Investigation and prosecution</w:t>
      </w:r>
      <w:r w:rsidR="00D7707D" w:rsidRPr="000B5AC8">
        <w:rPr>
          <w:lang w:val="en-US"/>
        </w:rPr>
        <w:t xml:space="preserve"> by the Ministry</w:t>
      </w:r>
      <w:r w:rsidR="006145BF" w:rsidRPr="00F74C07">
        <w:rPr>
          <w:lang w:val="en-US"/>
        </w:rPr>
        <w:t>, including examining documentation and accessing electronic records, and potentially resulting in fines of up to $50,000 for individuals and $250,000 for corporations</w:t>
      </w:r>
      <w:r w:rsidR="006145BF" w:rsidRPr="00E05AE5">
        <w:rPr>
          <w:lang w:val="en-US"/>
        </w:rPr>
        <w:t xml:space="preserve"> (if found guilty)</w:t>
      </w:r>
      <w:r w:rsidR="000B5AC8" w:rsidRPr="007F76F8">
        <w:rPr>
          <w:lang w:val="en-US"/>
        </w:rPr>
        <w:t>.</w:t>
      </w:r>
      <w:r w:rsidR="000B5AC8">
        <w:rPr>
          <w:rStyle w:val="EndnoteReference"/>
          <w:lang w:val="en-US"/>
        </w:rPr>
        <w:endnoteReference w:id="358"/>
      </w:r>
    </w:p>
    <w:p w14:paraId="424C5D66" w14:textId="77777777" w:rsidR="006145BF" w:rsidRDefault="006145BF" w:rsidP="006145BF">
      <w:pPr>
        <w:spacing w:after="0"/>
        <w:rPr>
          <w:lang w:val="en-US"/>
        </w:rPr>
      </w:pPr>
    </w:p>
    <w:p w14:paraId="21B29017" w14:textId="01F4FA89" w:rsidR="006145BF" w:rsidRDefault="00D7707D" w:rsidP="006145BF">
      <w:pPr>
        <w:spacing w:after="0"/>
        <w:rPr>
          <w:lang w:val="en-US"/>
        </w:rPr>
      </w:pPr>
      <w:r>
        <w:rPr>
          <w:lang w:val="en-US"/>
        </w:rPr>
        <w:t xml:space="preserve">Consumers relying on this process </w:t>
      </w:r>
      <w:r w:rsidR="006145BF" w:rsidRPr="005B42AC">
        <w:rPr>
          <w:lang w:val="en-US"/>
        </w:rPr>
        <w:t xml:space="preserve">are limited to refunds of monies already paid or the cancellation of an </w:t>
      </w:r>
      <w:r w:rsidR="000B0FAA" w:rsidRPr="005B42AC">
        <w:rPr>
          <w:lang w:val="en-US"/>
        </w:rPr>
        <w:t>agreement</w:t>
      </w:r>
      <w:r w:rsidR="000B0FAA">
        <w:rPr>
          <w:lang w:val="en-US"/>
        </w:rPr>
        <w:t xml:space="preserve"> unless</w:t>
      </w:r>
      <w:r w:rsidR="006145BF">
        <w:rPr>
          <w:lang w:val="en-US"/>
        </w:rPr>
        <w:t xml:space="preserve"> suppliers </w:t>
      </w:r>
      <w:r w:rsidR="00A720B6">
        <w:rPr>
          <w:lang w:val="en-US"/>
        </w:rPr>
        <w:t>voluntarily</w:t>
      </w:r>
      <w:r w:rsidR="006145BF">
        <w:rPr>
          <w:lang w:val="en-US"/>
        </w:rPr>
        <w:t xml:space="preserve"> offer compensation.</w:t>
      </w:r>
      <w:r>
        <w:rPr>
          <w:lang w:val="en-US"/>
        </w:rPr>
        <w:t xml:space="preserve"> </w:t>
      </w:r>
      <w:r w:rsidR="006145BF">
        <w:rPr>
          <w:lang w:val="en-US"/>
        </w:rPr>
        <w:t xml:space="preserve">Enforcement of other rights and damages </w:t>
      </w:r>
      <w:r w:rsidR="004C4456">
        <w:rPr>
          <w:lang w:val="en-US"/>
        </w:rPr>
        <w:t xml:space="preserve">(including </w:t>
      </w:r>
      <w:r w:rsidR="004C4456" w:rsidRPr="004C4456">
        <w:rPr>
          <w:lang w:val="en-US"/>
        </w:rPr>
        <w:t>exemplary and punitive damages</w:t>
      </w:r>
      <w:r w:rsidR="004C4456">
        <w:rPr>
          <w:lang w:val="en-US"/>
        </w:rPr>
        <w:t xml:space="preserve">) </w:t>
      </w:r>
      <w:r w:rsidR="006145BF">
        <w:rPr>
          <w:lang w:val="en-US"/>
        </w:rPr>
        <w:t>requires an application to court</w:t>
      </w:r>
      <w:r w:rsidR="270B958A">
        <w:rPr>
          <w:lang w:val="en-US"/>
        </w:rPr>
        <w:t xml:space="preserve"> –</w:t>
      </w:r>
      <w:r w:rsidR="006145BF">
        <w:rPr>
          <w:lang w:val="en-US"/>
        </w:rPr>
        <w:t xml:space="preserve"> a complex, expensive and potentially risky </w:t>
      </w:r>
      <w:r w:rsidR="000B0FAA">
        <w:rPr>
          <w:lang w:val="en-US"/>
        </w:rPr>
        <w:t>exercise</w:t>
      </w:r>
      <w:r w:rsidR="006145BF">
        <w:rPr>
          <w:lang w:val="en-US"/>
        </w:rPr>
        <w:t xml:space="preserve">. A search of caselaw suggests </w:t>
      </w:r>
      <w:r w:rsidR="004A3D7B">
        <w:rPr>
          <w:lang w:val="en-US"/>
        </w:rPr>
        <w:t xml:space="preserve">these actions are rare, </w:t>
      </w:r>
      <w:r w:rsidR="006145BF">
        <w:rPr>
          <w:lang w:val="en-US"/>
        </w:rPr>
        <w:t>with only a few dozen cases reported in the last three years.</w:t>
      </w:r>
      <w:r w:rsidR="00885BEC">
        <w:rPr>
          <w:rStyle w:val="EndnoteReference"/>
          <w:lang w:val="en-US"/>
        </w:rPr>
        <w:endnoteReference w:id="359"/>
      </w:r>
      <w:r w:rsidR="009E0094">
        <w:rPr>
          <w:lang w:val="en-US"/>
        </w:rPr>
        <w:t xml:space="preserve"> </w:t>
      </w:r>
    </w:p>
    <w:p w14:paraId="5A4E7887" w14:textId="61D9F00C" w:rsidR="006145BF" w:rsidRDefault="006145BF" w:rsidP="006145BF">
      <w:pPr>
        <w:spacing w:after="0"/>
        <w:rPr>
          <w:lang w:val="en-US"/>
        </w:rPr>
      </w:pPr>
    </w:p>
    <w:p w14:paraId="429CC4CC" w14:textId="1D7CC889" w:rsidR="008E3AF0" w:rsidRDefault="008E3AF0" w:rsidP="008E3AF0">
      <w:pPr>
        <w:spacing w:after="0"/>
      </w:pPr>
      <w:r>
        <w:t>The 2023 Ontario CPA Consultation includes three provisions addressing access to justice issues, including proposals</w:t>
      </w:r>
      <w:r w:rsidR="00A44977">
        <w:t>. These would:</w:t>
      </w:r>
      <w:r>
        <w:t xml:space="preserve"> </w:t>
      </w:r>
    </w:p>
    <w:p w14:paraId="1336940A" w14:textId="77777777" w:rsidR="008E3AF0" w:rsidRPr="00411EF0" w:rsidRDefault="008E3AF0" w:rsidP="008E3AF0">
      <w:pPr>
        <w:spacing w:after="0"/>
        <w:rPr>
          <w:lang w:val="en-US"/>
        </w:rPr>
      </w:pPr>
    </w:p>
    <w:p w14:paraId="2FD9F383" w14:textId="51D1F02E" w:rsidR="008E3AF0" w:rsidRDefault="008E3AF0" w:rsidP="00470F77">
      <w:pPr>
        <w:pStyle w:val="ListParagraph"/>
        <w:numPr>
          <w:ilvl w:val="0"/>
          <w:numId w:val="47"/>
        </w:numPr>
      </w:pPr>
      <w:r>
        <w:t>Clarify that consumers have one year to rescind a contract after an unfair practice takes place (as opposed to the existing right to rescind within one year of commencing the contract).</w:t>
      </w:r>
      <w:r w:rsidRPr="008E3AF0">
        <w:rPr>
          <w:rStyle w:val="EndnoteReference"/>
        </w:rPr>
        <w:t xml:space="preserve"> </w:t>
      </w:r>
      <w:r>
        <w:rPr>
          <w:rStyle w:val="EndnoteReference"/>
        </w:rPr>
        <w:endnoteReference w:id="360"/>
      </w:r>
    </w:p>
    <w:p w14:paraId="575FC50D" w14:textId="11042093" w:rsidR="008E3AF0" w:rsidRDefault="008E3AF0" w:rsidP="00470F77">
      <w:pPr>
        <w:pStyle w:val="ListParagraph"/>
        <w:numPr>
          <w:ilvl w:val="0"/>
          <w:numId w:val="47"/>
        </w:numPr>
      </w:pPr>
      <w:r>
        <w:t xml:space="preserve">Explicitly </w:t>
      </w:r>
      <w:r w:rsidR="00A44977">
        <w:t xml:space="preserve">prohibit </w:t>
      </w:r>
      <w:r>
        <w:t xml:space="preserve">businesses from including terms in a contract that appear to waive express </w:t>
      </w:r>
      <w:r w:rsidR="000B0FAA">
        <w:t xml:space="preserve">CPA </w:t>
      </w:r>
      <w:r>
        <w:t xml:space="preserve">rights </w:t>
      </w:r>
      <w:r w:rsidR="000B0FAA">
        <w:t xml:space="preserve">and </w:t>
      </w:r>
      <w:r>
        <w:t xml:space="preserve">adding a new </w:t>
      </w:r>
      <w:r w:rsidR="00917CB8">
        <w:t xml:space="preserve">provision </w:t>
      </w:r>
      <w:r>
        <w:t>prohibit</w:t>
      </w:r>
      <w:r w:rsidR="00917CB8">
        <w:t>ing</w:t>
      </w:r>
      <w:r>
        <w:t xml:space="preserve"> terms that </w:t>
      </w:r>
      <w:r w:rsidRPr="006770BB">
        <w:t xml:space="preserve">infringe on consumers’ rights to make fair public reviews </w:t>
      </w:r>
      <w:r>
        <w:t>of a business or service.</w:t>
      </w:r>
      <w:r>
        <w:rPr>
          <w:rStyle w:val="EndnoteReference"/>
        </w:rPr>
        <w:endnoteReference w:id="361"/>
      </w:r>
    </w:p>
    <w:p w14:paraId="1017631C" w14:textId="6662734D" w:rsidR="008E3AF0" w:rsidRDefault="008E3AF0" w:rsidP="00470F77">
      <w:pPr>
        <w:pStyle w:val="ListParagraph"/>
        <w:numPr>
          <w:ilvl w:val="0"/>
          <w:numId w:val="47"/>
        </w:numPr>
      </w:pPr>
      <w:r>
        <w:t>Extend the power of the Minister to issue compliance orders under the CPA to cover any business that facilitates another business’ contravention (covering intermediaries such as online platforms and billing services).</w:t>
      </w:r>
      <w:r w:rsidRPr="008E3AF0">
        <w:rPr>
          <w:rStyle w:val="EndnoteReference"/>
        </w:rPr>
        <w:t xml:space="preserve"> </w:t>
      </w:r>
      <w:r>
        <w:rPr>
          <w:rStyle w:val="EndnoteReference"/>
        </w:rPr>
        <w:endnoteReference w:id="362"/>
      </w:r>
    </w:p>
    <w:p w14:paraId="4C06DEAF" w14:textId="76AFDCE3" w:rsidR="008E3AF0" w:rsidRDefault="008E3AF0" w:rsidP="008E3AF0">
      <w:r>
        <w:t xml:space="preserve">The LCO commends these proposals, especially the proposal that expands the authority of the Minister to issue orders for business intermediaries. </w:t>
      </w:r>
    </w:p>
    <w:p w14:paraId="58925933" w14:textId="7F49508A" w:rsidR="003232F7" w:rsidRDefault="00AE4580" w:rsidP="001373AD">
      <w:pPr>
        <w:rPr>
          <w:lang w:val="en-US"/>
        </w:rPr>
      </w:pPr>
      <w:r>
        <w:rPr>
          <w:lang w:val="en-US"/>
        </w:rPr>
        <w:t>As expanded below, there is evidence that more could be done to ensure consumer redress is effective in the digital marketplace.</w:t>
      </w:r>
    </w:p>
    <w:p w14:paraId="250566E3" w14:textId="7D27F1FC" w:rsidR="00764A2A" w:rsidRDefault="009A5337" w:rsidP="009A5337">
      <w:pPr>
        <w:pStyle w:val="Heading2"/>
        <w:rPr>
          <w:lang w:val="en-US"/>
        </w:rPr>
      </w:pPr>
      <w:bookmarkStart w:id="102" w:name="_Toc138151874"/>
      <w:r>
        <w:rPr>
          <w:lang w:val="en-US"/>
        </w:rPr>
        <w:lastRenderedPageBreak/>
        <w:t>11.2</w:t>
      </w:r>
      <w:r>
        <w:rPr>
          <w:lang w:val="en-US"/>
        </w:rPr>
        <w:tab/>
      </w:r>
      <w:r w:rsidR="00764A2A">
        <w:rPr>
          <w:lang w:val="en-US"/>
        </w:rPr>
        <w:t>Law Reform Options</w:t>
      </w:r>
      <w:bookmarkEnd w:id="102"/>
    </w:p>
    <w:p w14:paraId="78C190C5" w14:textId="77777777" w:rsidR="008E3AF0" w:rsidRDefault="008E3AF0" w:rsidP="008E3AF0"/>
    <w:p w14:paraId="718B5C9B" w14:textId="6007DC7E" w:rsidR="008E3AF0" w:rsidRPr="00EE6692" w:rsidRDefault="008E3AF0" w:rsidP="008E3AF0">
      <w:r>
        <w:t xml:space="preserve">LCO </w:t>
      </w:r>
      <w:r w:rsidR="00200DD7">
        <w:t xml:space="preserve">research reveals a </w:t>
      </w:r>
      <w:r w:rsidRPr="00EE6692">
        <w:t xml:space="preserve">range of </w:t>
      </w:r>
      <w:r w:rsidR="00200DD7">
        <w:t xml:space="preserve">potential </w:t>
      </w:r>
      <w:r w:rsidRPr="00EE6692">
        <w:t xml:space="preserve">new tools </w:t>
      </w:r>
      <w:r w:rsidR="00200DD7">
        <w:t xml:space="preserve">that could improve </w:t>
      </w:r>
      <w:r w:rsidRPr="00EE6692">
        <w:t>meaningful, expeditious, and efficient access to justice for consumers</w:t>
      </w:r>
      <w:r w:rsidR="001D09DC">
        <w:t xml:space="preserve"> in the digital marketplace</w:t>
      </w:r>
      <w:r w:rsidR="00200DD7">
        <w:t>.</w:t>
      </w:r>
      <w:r w:rsidR="009E0094">
        <w:t xml:space="preserve"> </w:t>
      </w:r>
      <w:r w:rsidR="00200DD7">
        <w:t xml:space="preserve"> This section discusses a range of options</w:t>
      </w:r>
      <w:r w:rsidR="001D09DC">
        <w:t>, including</w:t>
      </w:r>
      <w:r w:rsidR="00200DD7">
        <w:t>:</w:t>
      </w:r>
      <w:r w:rsidRPr="00EE6692">
        <w:t xml:space="preserve"> </w:t>
      </w:r>
    </w:p>
    <w:p w14:paraId="438D8725" w14:textId="77777777" w:rsidR="00F71AA5" w:rsidRDefault="00F71AA5" w:rsidP="00F71AA5">
      <w:pPr>
        <w:pStyle w:val="ListParagraph"/>
        <w:numPr>
          <w:ilvl w:val="0"/>
          <w:numId w:val="48"/>
        </w:numPr>
      </w:pPr>
      <w:r>
        <w:t>Measures to ensure courts and government are equipped to resolve consumer disputes in the digital marketplace</w:t>
      </w:r>
    </w:p>
    <w:p w14:paraId="27866591" w14:textId="77777777" w:rsidR="00F71AA5" w:rsidRDefault="00F71AA5" w:rsidP="00F71AA5">
      <w:pPr>
        <w:pStyle w:val="ListParagraph"/>
        <w:numPr>
          <w:ilvl w:val="0"/>
          <w:numId w:val="48"/>
        </w:numPr>
      </w:pPr>
      <w:r>
        <w:t>Clarifying jurisdiction over transactions in Ontario</w:t>
      </w:r>
    </w:p>
    <w:p w14:paraId="69F33E52" w14:textId="77777777" w:rsidR="00F71AA5" w:rsidRDefault="00F71AA5" w:rsidP="00F71AA5">
      <w:pPr>
        <w:pStyle w:val="ListParagraph"/>
        <w:numPr>
          <w:ilvl w:val="0"/>
          <w:numId w:val="48"/>
        </w:numPr>
      </w:pPr>
      <w:r>
        <w:t>Stronger protections against reprisal</w:t>
      </w:r>
    </w:p>
    <w:p w14:paraId="33AAB70B" w14:textId="77777777" w:rsidR="00F71AA5" w:rsidRDefault="00F71AA5" w:rsidP="00F71AA5">
      <w:pPr>
        <w:pStyle w:val="ListParagraph"/>
        <w:numPr>
          <w:ilvl w:val="0"/>
          <w:numId w:val="48"/>
        </w:numPr>
      </w:pPr>
      <w:r>
        <w:t>Establishing minimum standards for ministry complaints and informal dispute resolution</w:t>
      </w:r>
    </w:p>
    <w:p w14:paraId="373CE003" w14:textId="77777777" w:rsidR="00F71AA5" w:rsidRDefault="00F71AA5" w:rsidP="00F71AA5">
      <w:pPr>
        <w:pStyle w:val="ListParagraph"/>
        <w:numPr>
          <w:ilvl w:val="0"/>
          <w:numId w:val="48"/>
        </w:numPr>
      </w:pPr>
      <w:r>
        <w:t>Improving consumer rights advocacy and litigation assistance</w:t>
      </w:r>
    </w:p>
    <w:p w14:paraId="356AA3B7" w14:textId="77777777" w:rsidR="00F71AA5" w:rsidRDefault="00F71AA5" w:rsidP="00F71AA5">
      <w:pPr>
        <w:pStyle w:val="ListParagraph"/>
        <w:numPr>
          <w:ilvl w:val="0"/>
          <w:numId w:val="48"/>
        </w:numPr>
      </w:pPr>
      <w:r>
        <w:t>Building more proactive means for systemic investigation, redress, and legislative enforcement</w:t>
      </w:r>
    </w:p>
    <w:p w14:paraId="5717680A" w14:textId="77777777" w:rsidR="00F71AA5" w:rsidRDefault="00F71AA5" w:rsidP="00F71AA5">
      <w:pPr>
        <w:pStyle w:val="ListParagraph"/>
        <w:numPr>
          <w:ilvl w:val="0"/>
          <w:numId w:val="48"/>
        </w:numPr>
      </w:pPr>
      <w:r>
        <w:t>Facilitating better consumer enforcement and policy-making through improved data collection and a machine readable ToS registry</w:t>
      </w:r>
    </w:p>
    <w:p w14:paraId="6A1FDEDF" w14:textId="37FF2931" w:rsidR="00991E08" w:rsidRDefault="00F71AA5" w:rsidP="00F71AA5">
      <w:pPr>
        <w:pStyle w:val="ListParagraph"/>
        <w:numPr>
          <w:ilvl w:val="0"/>
          <w:numId w:val="48"/>
        </w:numPr>
      </w:pPr>
      <w:r>
        <w:t>Considering consumer damages for disgorgement.</w:t>
      </w:r>
    </w:p>
    <w:p w14:paraId="3B3D6ED9" w14:textId="77777777" w:rsidR="008A33CF" w:rsidRPr="008A33CF" w:rsidRDefault="008A33CF" w:rsidP="008A33CF">
      <w:pPr>
        <w:pStyle w:val="ListParagraph"/>
      </w:pPr>
    </w:p>
    <w:p w14:paraId="7F177AA2" w14:textId="7EF97ECE" w:rsidR="00C47D9A" w:rsidRDefault="00F34AB4" w:rsidP="00303494">
      <w:pPr>
        <w:pStyle w:val="Heading3"/>
      </w:pPr>
      <w:bookmarkStart w:id="103" w:name="_Toc138151875"/>
      <w:r>
        <w:t>11.</w:t>
      </w:r>
      <w:r w:rsidR="00303494">
        <w:t>2.1</w:t>
      </w:r>
      <w:r w:rsidR="00303494">
        <w:tab/>
      </w:r>
      <w:r w:rsidR="00CB2AAA">
        <w:t xml:space="preserve">Measures to </w:t>
      </w:r>
      <w:r w:rsidR="00C47D9A">
        <w:t xml:space="preserve">Ensure Courts </w:t>
      </w:r>
      <w:r w:rsidR="00674234">
        <w:t xml:space="preserve">and Government </w:t>
      </w:r>
      <w:r w:rsidR="00C47D9A">
        <w:t xml:space="preserve">are Equipped to Resolve </w:t>
      </w:r>
      <w:r w:rsidR="003D484D">
        <w:t xml:space="preserve">Consumer </w:t>
      </w:r>
      <w:r w:rsidR="00C47D9A">
        <w:t>Disputes</w:t>
      </w:r>
      <w:r w:rsidR="003D484D">
        <w:t xml:space="preserve"> in the Digital Marketplace</w:t>
      </w:r>
      <w:bookmarkEnd w:id="103"/>
    </w:p>
    <w:p w14:paraId="42092EC7" w14:textId="77777777" w:rsidR="00C47D9A" w:rsidRDefault="00C47D9A" w:rsidP="00C47D9A"/>
    <w:p w14:paraId="182BCA17" w14:textId="77777777" w:rsidR="001305E1" w:rsidRDefault="001305E1" w:rsidP="001305E1">
      <w:r>
        <w:t>At present, most consumer rights disputes rely on either complaints to the Ministry or courts to resolve matters of contractual interpretation.</w:t>
      </w:r>
    </w:p>
    <w:p w14:paraId="3FAE4931" w14:textId="1EA349D6" w:rsidR="00C47D9A" w:rsidRDefault="00C47D9A" w:rsidP="00C47D9A">
      <w:r>
        <w:t xml:space="preserve">Canadian contract scholars write how </w:t>
      </w:r>
      <w:r w:rsidR="002D1156">
        <w:t xml:space="preserve">resort to the courts </w:t>
      </w:r>
      <w:r w:rsidR="00C027D0">
        <w:t>is</w:t>
      </w:r>
      <w:r>
        <w:t xml:space="preserve"> uniquely ineffective </w:t>
      </w:r>
      <w:r w:rsidR="002D1156">
        <w:t xml:space="preserve">for most consumers. </w:t>
      </w:r>
      <w:r w:rsidR="00991E08">
        <w:t xml:space="preserve">Professor </w:t>
      </w:r>
      <w:r>
        <w:t>Radin finds that:</w:t>
      </w:r>
    </w:p>
    <w:p w14:paraId="1C3AA974" w14:textId="1F11CA0F" w:rsidR="00C47D9A" w:rsidRPr="008546ED" w:rsidRDefault="00C47D9A" w:rsidP="007A41A0">
      <w:pPr>
        <w:pStyle w:val="Quote"/>
        <w:jc w:val="left"/>
        <w:rPr>
          <w:i/>
          <w:iCs/>
        </w:rPr>
      </w:pPr>
      <w:r w:rsidRPr="008546ED">
        <w:rPr>
          <w:i/>
          <w:iCs/>
        </w:rPr>
        <w:t>One simple conclusion to be drawn from the overview of how traditional judicial oversight doctrines are faring with boilerplate rights deletion schemes is that current doctrines are not formulated so as to address the mass-market nature of the issues raised by boilerplate, nor do they address the need for consistency in how these schemes are treated in the courts.</w:t>
      </w:r>
      <w:r w:rsidRPr="008546ED">
        <w:rPr>
          <w:rStyle w:val="EndnoteReference"/>
          <w:i/>
          <w:iCs/>
        </w:rPr>
        <w:endnoteReference w:id="363"/>
      </w:r>
    </w:p>
    <w:p w14:paraId="7E023F7C" w14:textId="77777777" w:rsidR="001305E1" w:rsidRDefault="008A33CF" w:rsidP="001305E1">
      <w:r>
        <w:br/>
      </w:r>
      <w:r w:rsidR="001305E1">
        <w:t>Radin’s concern is multifold.</w:t>
      </w:r>
    </w:p>
    <w:p w14:paraId="4596AE46" w14:textId="68F87567" w:rsidR="001305E1" w:rsidRDefault="001305E1" w:rsidP="008546ED">
      <w:bookmarkStart w:id="104" w:name="_Hlk137111797"/>
      <w:r>
        <w:t>First, she writes that courts will have difficulty applying doctrines of unconscionability, deception, notice, and consumer “expectation” vs consumer “exploitation</w:t>
      </w:r>
      <w:r w:rsidR="000E21CD">
        <w:t>.</w:t>
      </w:r>
      <w:r>
        <w:t>”</w:t>
      </w:r>
      <w:r>
        <w:rPr>
          <w:rStyle w:val="EndnoteReference"/>
        </w:rPr>
        <w:endnoteReference w:id="364"/>
      </w:r>
      <w:r w:rsidR="000E21CD">
        <w:t xml:space="preserve"> What Radin is referring to is the difficulty in adapting common law principles</w:t>
      </w:r>
      <w:r w:rsidR="00EE1825">
        <w:t xml:space="preserve"> on a case by case basis</w:t>
      </w:r>
      <w:r w:rsidR="000E21CD">
        <w:t xml:space="preserve"> to the wide array of new practices in the digital marketplace.</w:t>
      </w:r>
      <w:bookmarkEnd w:id="104"/>
    </w:p>
    <w:p w14:paraId="40A898A8" w14:textId="5371C04D" w:rsidR="001305E1" w:rsidRPr="00CE46F2" w:rsidRDefault="001305E1" w:rsidP="001305E1">
      <w:r>
        <w:t>Second, while common law courts have a broad power to find that certain kinds of unconscionable terms violate a public interest policy issue, Radin asserts that most courts today are conservative in using that power.</w:t>
      </w:r>
      <w:r>
        <w:rPr>
          <w:rStyle w:val="EndnoteReference"/>
        </w:rPr>
        <w:endnoteReference w:id="365"/>
      </w:r>
    </w:p>
    <w:p w14:paraId="6EDFCD93" w14:textId="52D1FCD3" w:rsidR="5C93AEBA" w:rsidRDefault="5C93AEBA">
      <w:r>
        <w:t xml:space="preserve">LCO research suggests that the systemic failure to address the mass-market nature of the issues raised by boilerplate and improve judicial consistency is to provide courts and administrative decision-makers </w:t>
      </w:r>
      <w:r>
        <w:lastRenderedPageBreak/>
        <w:t>with clearer guidance on prohibited practices, legal requirements, and relevant consumer protection principles</w:t>
      </w:r>
      <w:r w:rsidR="00F91735">
        <w:t xml:space="preserve"> as they operate in the digital marketplace</w:t>
      </w:r>
      <w:r>
        <w:t>.</w:t>
      </w:r>
    </w:p>
    <w:p w14:paraId="7D6C52B8" w14:textId="372159FF" w:rsidR="00C47D9A" w:rsidRDefault="00802ABE" w:rsidP="00C47D9A">
      <w:r>
        <w:t xml:space="preserve">Many of the proposals discussed </w:t>
      </w:r>
      <w:r w:rsidR="4DFF62D7">
        <w:t xml:space="preserve">in </w:t>
      </w:r>
      <w:r>
        <w:t>this paper so far would provide such guidance.</w:t>
      </w:r>
      <w:r w:rsidR="009E0094">
        <w:t xml:space="preserve"> </w:t>
      </w:r>
      <w:r>
        <w:t xml:space="preserve">For example, our proposed requirements for the “key information” that could be disclosed and potentially prohibited deception and unconscionability practices would go a long way to establishing a transparent </w:t>
      </w:r>
      <w:r w:rsidR="00C5508A">
        <w:t xml:space="preserve">and consistent </w:t>
      </w:r>
      <w:r>
        <w:t>legal governance framework that could be used by courts to resolve consumer protection matters.</w:t>
      </w:r>
    </w:p>
    <w:p w14:paraId="1AF019DF" w14:textId="77777777" w:rsidR="001305E1" w:rsidRPr="00C47D9A" w:rsidRDefault="001305E1" w:rsidP="00C47D9A"/>
    <w:p w14:paraId="5A2F1601" w14:textId="4B149990" w:rsidR="00764A2A" w:rsidRDefault="00F34AB4" w:rsidP="00303494">
      <w:pPr>
        <w:pStyle w:val="Heading3"/>
      </w:pPr>
      <w:bookmarkStart w:id="105" w:name="_Toc138151876"/>
      <w:r>
        <w:t>11.</w:t>
      </w:r>
      <w:r w:rsidR="00303494">
        <w:t>2.2</w:t>
      </w:r>
      <w:r>
        <w:tab/>
      </w:r>
      <w:r w:rsidR="00764A2A">
        <w:t>Clarify Jurisdiction over Transactions in Ontario</w:t>
      </w:r>
      <w:bookmarkEnd w:id="105"/>
    </w:p>
    <w:p w14:paraId="62D6D993" w14:textId="2AED2A6B" w:rsidR="00DB4A36" w:rsidRDefault="00DB4A36" w:rsidP="001373AD"/>
    <w:p w14:paraId="1B16270F" w14:textId="2AC40C1D" w:rsidR="004143C8" w:rsidRPr="004143C8" w:rsidRDefault="004143C8" w:rsidP="004143C8">
      <w:pPr>
        <w:rPr>
          <w:lang w:val="en-US"/>
        </w:rPr>
      </w:pPr>
      <w:r w:rsidRPr="004143C8">
        <w:rPr>
          <w:lang w:val="en-US"/>
        </w:rPr>
        <w:t xml:space="preserve">The CPA asserts a very broad jurisdiction over consumer activities. </w:t>
      </w:r>
    </w:p>
    <w:p w14:paraId="3BE53155" w14:textId="77777777" w:rsidR="004143C8" w:rsidRPr="004143C8" w:rsidRDefault="004143C8" w:rsidP="004143C8">
      <w:pPr>
        <w:rPr>
          <w:lang w:val="en-US"/>
        </w:rPr>
      </w:pPr>
      <w:r w:rsidRPr="004143C8">
        <w:rPr>
          <w:lang w:val="en-US"/>
        </w:rPr>
        <w:t>The CPA states that it governs all consumer transactions “if the consumer or the person engaging in the transaction with the consumer is located in Ontario when the transaction takes place.”</w:t>
      </w:r>
      <w:r w:rsidRPr="1F5E9E68">
        <w:rPr>
          <w:rStyle w:val="EndnoteReference"/>
          <w:rFonts w:cs="Times New Roman"/>
          <w:lang w:val="en-US"/>
        </w:rPr>
        <w:endnoteReference w:id="366"/>
      </w:r>
      <w:r w:rsidRPr="004143C8">
        <w:rPr>
          <w:lang w:val="en-US"/>
        </w:rPr>
        <w:t xml:space="preserve">  </w:t>
      </w:r>
    </w:p>
    <w:p w14:paraId="545FB211" w14:textId="36A84D98" w:rsidR="00016B96" w:rsidRPr="004143C8" w:rsidRDefault="004143C8" w:rsidP="00764A2A">
      <w:r>
        <w:t>Notwithstanding this</w:t>
      </w:r>
      <w:r w:rsidR="00917CB8">
        <w:t xml:space="preserve"> provision</w:t>
      </w:r>
      <w:r>
        <w:t xml:space="preserve">, there are several practical problems that </w:t>
      </w:r>
      <w:r w:rsidR="00917CB8">
        <w:t xml:space="preserve">may </w:t>
      </w:r>
      <w:r>
        <w:t xml:space="preserve">inhibit access to </w:t>
      </w:r>
      <w:r w:rsidR="006E2F3F">
        <w:t>justice and</w:t>
      </w:r>
      <w:r>
        <w:t xml:space="preserve"> compliance with the CPA</w:t>
      </w:r>
      <w:r w:rsidR="00917CB8">
        <w:t>:</w:t>
      </w:r>
      <w:r>
        <w:t xml:space="preserve"> </w:t>
      </w:r>
    </w:p>
    <w:p w14:paraId="71A907EF" w14:textId="3453BD3B" w:rsidR="00764A2A" w:rsidRPr="004143C8" w:rsidRDefault="00764A2A" w:rsidP="00764A2A">
      <w:r w:rsidRPr="004143C8">
        <w:t xml:space="preserve">First, a digital marketplace entity may use </w:t>
      </w:r>
      <w:r w:rsidR="004A3D7B">
        <w:t xml:space="preserve">the same </w:t>
      </w:r>
      <w:r w:rsidRPr="004143C8">
        <w:t xml:space="preserve">ToS in </w:t>
      </w:r>
      <w:r w:rsidR="004A3D7B">
        <w:t xml:space="preserve">the </w:t>
      </w:r>
      <w:r w:rsidRPr="004143C8">
        <w:t>US</w:t>
      </w:r>
      <w:r w:rsidR="004A3D7B">
        <w:t xml:space="preserve">, </w:t>
      </w:r>
      <w:r w:rsidRPr="004143C8">
        <w:t xml:space="preserve">in Canada, </w:t>
      </w:r>
      <w:r w:rsidR="004A3D7B">
        <w:t xml:space="preserve">and </w:t>
      </w:r>
      <w:r w:rsidRPr="004143C8">
        <w:t xml:space="preserve">other </w:t>
      </w:r>
      <w:r w:rsidR="00795287" w:rsidRPr="004143C8">
        <w:t>jurisdictions</w:t>
      </w:r>
      <w:r w:rsidRPr="004143C8">
        <w:t xml:space="preserve">. </w:t>
      </w:r>
    </w:p>
    <w:p w14:paraId="7CA24A31" w14:textId="3E6522BE" w:rsidR="00764A2A" w:rsidRPr="004143C8" w:rsidRDefault="00764A2A" w:rsidP="00764A2A">
      <w:r w:rsidRPr="004143C8">
        <w:t>In the absence of a consumer raising a civil claim, supplier</w:t>
      </w:r>
      <w:r w:rsidR="004A3D7B">
        <w:t xml:space="preserve">s may </w:t>
      </w:r>
      <w:r w:rsidRPr="004143C8">
        <w:t xml:space="preserve">simply </w:t>
      </w:r>
      <w:r w:rsidR="004A3D7B">
        <w:t xml:space="preserve">apply the “foreign” ToS to </w:t>
      </w:r>
      <w:r w:rsidRPr="004143C8">
        <w:t>Ontario consumer</w:t>
      </w:r>
      <w:r w:rsidR="004A3D7B">
        <w:t>s, irrespective of whether it is consistent with the CPA or Ontario law.</w:t>
      </w:r>
    </w:p>
    <w:p w14:paraId="79052911" w14:textId="20339BAE" w:rsidR="00764A2A" w:rsidRPr="004143C8" w:rsidRDefault="004A3D7B" w:rsidP="00764A2A">
      <w:r>
        <w:t xml:space="preserve">Alternately, </w:t>
      </w:r>
      <w:r w:rsidR="00764A2A" w:rsidRPr="004143C8">
        <w:t>global or generic ToS contracts may adopt a hybrid approach and include reference</w:t>
      </w:r>
      <w:r>
        <w:t>s</w:t>
      </w:r>
      <w:r w:rsidR="00764A2A" w:rsidRPr="004143C8">
        <w:t xml:space="preserve"> to, and exceptions for, local laws. These </w:t>
      </w:r>
      <w:r>
        <w:t xml:space="preserve">provisions </w:t>
      </w:r>
      <w:r w:rsidR="00764A2A" w:rsidRPr="004143C8">
        <w:t>are often generic and may confuse or disarm consumers of their local jurisdictional rights and protections.</w:t>
      </w:r>
    </w:p>
    <w:p w14:paraId="3780EED3" w14:textId="71B59FE6" w:rsidR="00764A2A" w:rsidRPr="004143C8" w:rsidRDefault="00517BC3" w:rsidP="00764A2A">
      <w:r>
        <w:t xml:space="preserve">The </w:t>
      </w:r>
      <w:r w:rsidR="00764A2A" w:rsidRPr="004143C8">
        <w:t xml:space="preserve">“spillover” of </w:t>
      </w:r>
      <w:r>
        <w:t xml:space="preserve">foreign ToS </w:t>
      </w:r>
      <w:r w:rsidR="00764A2A" w:rsidRPr="004143C8">
        <w:t xml:space="preserve">may </w:t>
      </w:r>
      <w:r>
        <w:t xml:space="preserve">also give </w:t>
      </w:r>
      <w:r w:rsidR="00764A2A" w:rsidRPr="004143C8">
        <w:t>consumers the wrong impression about their rights and opportunities for redress</w:t>
      </w:r>
      <w:r>
        <w:t>:</w:t>
      </w:r>
      <w:r w:rsidR="00764A2A" w:rsidRPr="004143C8">
        <w:t xml:space="preserve"> “</w:t>
      </w:r>
      <w:r>
        <w:t>[B]</w:t>
      </w:r>
      <w:r w:rsidR="00764A2A" w:rsidRPr="004143C8">
        <w:t>y leaving unenforceable terms in its boilerplate, the firm can hope to deter attempts to exercise legal rights when a recipient does read the terms but doesn’t realize that they are unenforceable.”</w:t>
      </w:r>
      <w:r w:rsidR="00764A2A" w:rsidRPr="004143C8">
        <w:rPr>
          <w:rStyle w:val="EndnoteReference"/>
        </w:rPr>
        <w:endnoteReference w:id="367"/>
      </w:r>
      <w:r w:rsidR="00764A2A" w:rsidRPr="004143C8">
        <w:t xml:space="preserve"> </w:t>
      </w:r>
    </w:p>
    <w:p w14:paraId="56056756" w14:textId="19D7675C" w:rsidR="00764A2A" w:rsidRPr="004143C8" w:rsidRDefault="00764A2A" w:rsidP="00764A2A">
      <w:bookmarkStart w:id="106" w:name="_Hlk137115846"/>
      <w:r w:rsidRPr="004143C8">
        <w:t xml:space="preserve">For instance, Article 2 of the </w:t>
      </w:r>
      <w:r w:rsidR="00517BC3">
        <w:t xml:space="preserve">U.S. </w:t>
      </w:r>
      <w:r w:rsidRPr="004143C8">
        <w:t>Uniform Commercial Code severe</w:t>
      </w:r>
      <w:r w:rsidR="007860E9">
        <w:t>ly</w:t>
      </w:r>
      <w:r w:rsidRPr="004143C8">
        <w:t xml:space="preserve"> limit</w:t>
      </w:r>
      <w:r w:rsidR="00517BC3">
        <w:t xml:space="preserve">s consumer remedies </w:t>
      </w:r>
      <w:r w:rsidRPr="004143C8">
        <w:t>in many cases.</w:t>
      </w:r>
      <w:bookmarkEnd w:id="106"/>
      <w:r w:rsidRPr="004143C8">
        <w:t xml:space="preserve"> As Radin writes,</w:t>
      </w:r>
    </w:p>
    <w:p w14:paraId="285A3951" w14:textId="77777777" w:rsidR="00764A2A" w:rsidRPr="004143C8" w:rsidRDefault="00764A2A" w:rsidP="00764A2A">
      <w:pPr>
        <w:pStyle w:val="Quote"/>
        <w:rPr>
          <w:i/>
          <w:iCs/>
        </w:rPr>
      </w:pPr>
      <w:r w:rsidRPr="1F5E9E68">
        <w:rPr>
          <w:i/>
          <w:iCs/>
        </w:rPr>
        <w:t>Section 2-719(1)(a) provides that remedies may be severely limited, without providing that such limitations need to be communicated especially carefully or that separate consent must be obtained. This invitation to shrink remedies is very widely used.</w:t>
      </w:r>
      <w:r w:rsidRPr="1F5E9E68">
        <w:rPr>
          <w:rStyle w:val="EndnoteReference"/>
          <w:i/>
          <w:iCs/>
        </w:rPr>
        <w:t xml:space="preserve"> </w:t>
      </w:r>
      <w:r w:rsidRPr="1F5E9E68">
        <w:rPr>
          <w:rStyle w:val="EndnoteReference"/>
          <w:i/>
          <w:iCs/>
        </w:rPr>
        <w:endnoteReference w:id="368"/>
      </w:r>
    </w:p>
    <w:p w14:paraId="51B0F9DC" w14:textId="5FC43908" w:rsidR="00764A2A" w:rsidRPr="004143C8" w:rsidRDefault="00764A2A" w:rsidP="00764A2A">
      <w:r w:rsidRPr="004143C8">
        <w:br/>
      </w:r>
      <w:r w:rsidR="00517BC3">
        <w:t xml:space="preserve">A </w:t>
      </w:r>
      <w:r w:rsidR="00BE46B7" w:rsidRPr="004143C8">
        <w:t xml:space="preserve">second problem is how jurisdiction is asserted. </w:t>
      </w:r>
      <w:r w:rsidRPr="004143C8">
        <w:t>In Canada, the proper assertion of jurisdiction is based on the “real and substantial connection” test.</w:t>
      </w:r>
      <w:r w:rsidRPr="004143C8">
        <w:rPr>
          <w:rStyle w:val="EndnoteReference"/>
        </w:rPr>
        <w:endnoteReference w:id="369"/>
      </w:r>
      <w:r w:rsidRPr="004143C8">
        <w:t xml:space="preserve"> </w:t>
      </w:r>
      <w:r w:rsidR="00517BC3">
        <w:t xml:space="preserve">This </w:t>
      </w:r>
      <w:r w:rsidRPr="004143C8">
        <w:t xml:space="preserve">legal </w:t>
      </w:r>
      <w:r w:rsidR="00517BC3">
        <w:t xml:space="preserve">principle governs </w:t>
      </w:r>
      <w:r w:rsidRPr="004143C8">
        <w:t>whether a court has the authority to hear and decide a dispute.</w:t>
      </w:r>
      <w:r w:rsidRPr="004143C8">
        <w:rPr>
          <w:rStyle w:val="EndnoteReference"/>
        </w:rPr>
        <w:endnoteReference w:id="370"/>
      </w:r>
      <w:r w:rsidRPr="004143C8">
        <w:t xml:space="preserve"> </w:t>
      </w:r>
    </w:p>
    <w:p w14:paraId="7B1F997C" w14:textId="7D6537E5" w:rsidR="002D3B3E" w:rsidRDefault="00517BC3" w:rsidP="00764A2A">
      <w:r>
        <w:t>In the context of online contracts, the “real and substantial connection” test can present a significant barrier to consumers if they are compelled to litigate jurisdictional issues in addition to their substantive disagreements</w:t>
      </w:r>
      <w:r w:rsidR="002D3B3E">
        <w:t>. A multi-national OECD survey of jurisdictional issues in consumer contracting notes how:</w:t>
      </w:r>
    </w:p>
    <w:p w14:paraId="0D6E58AC" w14:textId="1CC1A5E1" w:rsidR="00764A2A" w:rsidRDefault="002D3B3E" w:rsidP="002D3B3E">
      <w:pPr>
        <w:pStyle w:val="ListParagraph"/>
        <w:numPr>
          <w:ilvl w:val="0"/>
          <w:numId w:val="85"/>
        </w:numPr>
      </w:pPr>
      <w:r>
        <w:lastRenderedPageBreak/>
        <w:t xml:space="preserve">Online marketplaces’ status as intermediaries was cited as a major challenge for a number of countries due to limitations in their laws </w:t>
      </w:r>
      <w:r w:rsidRPr="002D3B3E">
        <w:t>on when marketplaces could be liable</w:t>
      </w:r>
      <w:r>
        <w:t xml:space="preserve"> in a variety of contexts, including actions of third-party sellers</w:t>
      </w:r>
    </w:p>
    <w:p w14:paraId="3B9CC68B" w14:textId="38DDF6A9" w:rsidR="002D3B3E" w:rsidRDefault="002D3B3E" w:rsidP="00286B44">
      <w:pPr>
        <w:pStyle w:val="ListParagraph"/>
        <w:numPr>
          <w:ilvl w:val="0"/>
          <w:numId w:val="85"/>
        </w:numPr>
      </w:pPr>
      <w:r>
        <w:t>It was not always clear when liability fell on a marketplace and several countries raised concerns that this may affect some online marketplaces’ investment in, and prioritisation of, consumer protection compliance generally</w:t>
      </w:r>
    </w:p>
    <w:p w14:paraId="715A5731" w14:textId="1E4B4411" w:rsidR="002D3B3E" w:rsidRDefault="002D3B3E" w:rsidP="002D3B3E">
      <w:pPr>
        <w:pStyle w:val="ListParagraph"/>
        <w:numPr>
          <w:ilvl w:val="0"/>
          <w:numId w:val="85"/>
        </w:numPr>
      </w:pPr>
      <w:r>
        <w:t>Several countries highlighted difficulties associated with consumers’ level of understanding about their rights and the responsibilities of online marketplaces, including consumer confusion in identifying whether they had transacted with the online marketplace or a third-party trader, and consequently whether consumer complaint-handling bodies have jurisdiction</w:t>
      </w:r>
    </w:p>
    <w:p w14:paraId="7952D4D3" w14:textId="00BBBA9A" w:rsidR="002D3B3E" w:rsidRPr="004143C8" w:rsidRDefault="002D3B3E" w:rsidP="008546ED">
      <w:pPr>
        <w:pStyle w:val="ListParagraph"/>
        <w:numPr>
          <w:ilvl w:val="0"/>
          <w:numId w:val="85"/>
        </w:numPr>
      </w:pPr>
      <w:r>
        <w:t xml:space="preserve"> Particularly in Canada consumer empowerment is a key challenge, noting that consumers were often not aware of their rights and relevant protection measures when shopping in online marketplaces.</w:t>
      </w:r>
      <w:r>
        <w:rPr>
          <w:rStyle w:val="EndnoteReference"/>
        </w:rPr>
        <w:endnoteReference w:id="371"/>
      </w:r>
    </w:p>
    <w:p w14:paraId="5D4C799A" w14:textId="31CDED13" w:rsidR="00764A2A" w:rsidRDefault="00764A2A" w:rsidP="00764A2A">
      <w:r>
        <w:t>Th</w:t>
      </w:r>
      <w:r w:rsidR="00517BC3">
        <w:t xml:space="preserve">is </w:t>
      </w:r>
      <w:r>
        <w:t xml:space="preserve">problem extends interprovincially within Canada. In </w:t>
      </w:r>
      <w:r w:rsidRPr="1F5E9E68">
        <w:rPr>
          <w:i/>
          <w:iCs/>
        </w:rPr>
        <w:t>Douez</w:t>
      </w:r>
      <w:r w:rsidR="00517BC3">
        <w:rPr>
          <w:i/>
          <w:iCs/>
        </w:rPr>
        <w:t xml:space="preserve">, </w:t>
      </w:r>
      <w:r w:rsidR="00517BC3" w:rsidRPr="008546ED">
        <w:t xml:space="preserve">the BC </w:t>
      </w:r>
      <w:r>
        <w:t>court took the extraordinary step</w:t>
      </w:r>
      <w:r w:rsidR="00360652">
        <w:t xml:space="preserve"> </w:t>
      </w:r>
      <w:r>
        <w:t>of asserting jurisdiction over an agreement formed in Saskatchewan</w:t>
      </w:r>
      <w:r w:rsidR="002920E6">
        <w:t>.</w:t>
      </w:r>
      <w:r w:rsidR="002920E6">
        <w:rPr>
          <w:rStyle w:val="EndnoteReference"/>
        </w:rPr>
        <w:endnoteReference w:id="372"/>
      </w:r>
    </w:p>
    <w:p w14:paraId="2A9EE074" w14:textId="07BAA300" w:rsidR="00C24064" w:rsidRDefault="00764A2A" w:rsidP="001373AD">
      <w:r>
        <w:t xml:space="preserve">Notably, the </w:t>
      </w:r>
      <w:r w:rsidR="00BE46B7">
        <w:t>proposed federal</w:t>
      </w:r>
      <w:r>
        <w:t xml:space="preserve"> CPPA and AIDA legislation may bring a modicum of consistency </w:t>
      </w:r>
      <w:r w:rsidR="00517BC3">
        <w:t xml:space="preserve">consumer </w:t>
      </w:r>
      <w:r>
        <w:t xml:space="preserve">unconscionability and deception </w:t>
      </w:r>
      <w:r w:rsidR="00517BC3">
        <w:t>issues</w:t>
      </w:r>
      <w:r w:rsidR="00047699">
        <w:t xml:space="preserve"> (see the discussion at section 3.4).</w:t>
      </w:r>
    </w:p>
    <w:p w14:paraId="1827C032" w14:textId="6F81363A" w:rsidR="00C24064" w:rsidRDefault="00C24064" w:rsidP="00517BC3">
      <w:r>
        <w:t>LCO research suggests that jurisdictional fragmentation and confusion is related in part to the very consumer protection concerns this paper has set out to investigate, namely, the need for consumer protection law to catch-up to practices and issues in the digital marketplace. In other words, taking affirmative steps to address gaps between established consumer protection law and newer digital marketplace activities would be an important first step and would in turn establish a set of terms on which greater provincial and federal consistency could be explored.</w:t>
      </w:r>
    </w:p>
    <w:p w14:paraId="6AB44ACF" w14:textId="77777777" w:rsidR="008D0BF0" w:rsidRPr="007A41A0" w:rsidRDefault="008D0BF0" w:rsidP="001373AD">
      <w:pPr>
        <w:rPr>
          <w:b/>
          <w:bCs/>
          <w:sz w:val="24"/>
          <w:szCs w:val="24"/>
        </w:rPr>
      </w:pPr>
    </w:p>
    <w:p w14:paraId="3D92E209" w14:textId="358ACC01" w:rsidR="00BE46B7" w:rsidRDefault="00F34AB4" w:rsidP="00303494">
      <w:pPr>
        <w:pStyle w:val="Heading3"/>
      </w:pPr>
      <w:bookmarkStart w:id="107" w:name="_Toc138151877"/>
      <w:r>
        <w:t>11.</w:t>
      </w:r>
      <w:r w:rsidR="00303494">
        <w:t>2.3</w:t>
      </w:r>
      <w:r w:rsidR="00303494">
        <w:tab/>
      </w:r>
      <w:r w:rsidR="00C45692">
        <w:t>Stronger Protections Against Reprisal</w:t>
      </w:r>
      <w:bookmarkEnd w:id="107"/>
    </w:p>
    <w:p w14:paraId="1542E913" w14:textId="77777777" w:rsidR="00C45692" w:rsidRDefault="00C45692" w:rsidP="00C45692"/>
    <w:p w14:paraId="59F4E50C" w14:textId="53389BC3" w:rsidR="008D6724" w:rsidRDefault="00C45692" w:rsidP="00C45692">
      <w:pPr>
        <w:rPr>
          <w:rFonts w:cs="Times New Roman"/>
          <w:szCs w:val="24"/>
          <w:lang w:val="en-US"/>
        </w:rPr>
      </w:pPr>
      <w:r>
        <w:t xml:space="preserve">As discussed above, </w:t>
      </w:r>
      <w:r w:rsidRPr="1F5E9E68">
        <w:rPr>
          <w:rFonts w:cs="Times New Roman"/>
          <w:lang w:val="en-US"/>
        </w:rPr>
        <w:t xml:space="preserve">the CPA protects consumers from </w:t>
      </w:r>
      <w:r w:rsidR="00917CB8">
        <w:rPr>
          <w:rFonts w:cs="Times New Roman"/>
          <w:lang w:val="en-US"/>
        </w:rPr>
        <w:t xml:space="preserve">reprisal </w:t>
      </w:r>
      <w:r w:rsidRPr="1F5E9E68">
        <w:rPr>
          <w:rFonts w:cs="Times New Roman"/>
          <w:lang w:val="en-US"/>
        </w:rPr>
        <w:t>by prohibiting, for example, the withholding of goods while renegotiating the price or</w:t>
      </w:r>
      <w:r w:rsidR="00827DDD" w:rsidRPr="1F5E9E68">
        <w:rPr>
          <w:rFonts w:cs="Times New Roman"/>
          <w:lang w:val="en-US"/>
        </w:rPr>
        <w:t xml:space="preserve"> the</w:t>
      </w:r>
      <w:r w:rsidRPr="1F5E9E68">
        <w:rPr>
          <w:rFonts w:cs="Times New Roman"/>
          <w:lang w:val="en-US"/>
        </w:rPr>
        <w:t xml:space="preserve"> ToS.</w:t>
      </w:r>
      <w:r w:rsidRPr="1F5E9E68">
        <w:rPr>
          <w:rStyle w:val="EndnoteReference"/>
          <w:rFonts w:cs="Times New Roman"/>
          <w:lang w:val="en-US"/>
        </w:rPr>
        <w:endnoteReference w:id="373"/>
      </w:r>
    </w:p>
    <w:p w14:paraId="186B363E" w14:textId="50EDA8D6" w:rsidR="00C45692" w:rsidRPr="00C45692" w:rsidRDefault="00517BC3" w:rsidP="00C45692">
      <w:pPr>
        <w:rPr>
          <w:rFonts w:cs="Times New Roman"/>
          <w:szCs w:val="24"/>
          <w:lang w:val="en-US"/>
        </w:rPr>
      </w:pPr>
      <w:r>
        <w:rPr>
          <w:rFonts w:cs="Times New Roman"/>
          <w:szCs w:val="24"/>
          <w:lang w:val="en-US"/>
        </w:rPr>
        <w:t xml:space="preserve">Unfortunately, </w:t>
      </w:r>
      <w:r w:rsidR="00C45692" w:rsidRPr="00C45692">
        <w:rPr>
          <w:rFonts w:cs="Times New Roman"/>
          <w:szCs w:val="24"/>
          <w:lang w:val="en-US"/>
        </w:rPr>
        <w:t xml:space="preserve">consumers in the digital </w:t>
      </w:r>
      <w:r>
        <w:rPr>
          <w:rFonts w:cs="Times New Roman"/>
          <w:szCs w:val="24"/>
          <w:lang w:val="en-US"/>
        </w:rPr>
        <w:t xml:space="preserve">marketplace </w:t>
      </w:r>
      <w:r w:rsidR="00C45692" w:rsidRPr="00C45692">
        <w:rPr>
          <w:rFonts w:cs="Times New Roman"/>
          <w:szCs w:val="24"/>
          <w:lang w:val="en-US"/>
        </w:rPr>
        <w:t>are exposed to far more nuanced and intrusive forms of coercion</w:t>
      </w:r>
      <w:r w:rsidR="00917CB8">
        <w:rPr>
          <w:rFonts w:cs="Times New Roman"/>
          <w:szCs w:val="24"/>
          <w:lang w:val="en-US"/>
        </w:rPr>
        <w:t xml:space="preserve"> and punishment</w:t>
      </w:r>
      <w:r w:rsidR="001460D8">
        <w:rPr>
          <w:rFonts w:cs="Times New Roman"/>
          <w:szCs w:val="24"/>
          <w:lang w:val="en-US"/>
        </w:rPr>
        <w:t>, including</w:t>
      </w:r>
      <w:r w:rsidR="00C45692" w:rsidRPr="00C45692">
        <w:rPr>
          <w:rFonts w:cs="Times New Roman"/>
          <w:szCs w:val="24"/>
          <w:lang w:val="en-US"/>
        </w:rPr>
        <w:t>:</w:t>
      </w:r>
    </w:p>
    <w:p w14:paraId="640CA3F1" w14:textId="77777777" w:rsidR="00C45692" w:rsidRDefault="00C45692" w:rsidP="008546ED">
      <w:pPr>
        <w:pStyle w:val="ListParagraph"/>
        <w:numPr>
          <w:ilvl w:val="0"/>
          <w:numId w:val="34"/>
        </w:numPr>
        <w:rPr>
          <w:rFonts w:cs="Times New Roman"/>
          <w:szCs w:val="24"/>
          <w:lang w:val="en-US"/>
        </w:rPr>
      </w:pPr>
      <w:r>
        <w:rPr>
          <w:rFonts w:cs="Times New Roman"/>
          <w:szCs w:val="24"/>
          <w:lang w:val="en-US"/>
        </w:rPr>
        <w:t>Suspension, closing, and deletion of accounts and content</w:t>
      </w:r>
    </w:p>
    <w:p w14:paraId="53FA2FF6" w14:textId="77777777" w:rsidR="00C45692" w:rsidRDefault="00C45692" w:rsidP="008546ED">
      <w:pPr>
        <w:pStyle w:val="ListParagraph"/>
        <w:numPr>
          <w:ilvl w:val="0"/>
          <w:numId w:val="34"/>
        </w:numPr>
        <w:rPr>
          <w:rFonts w:cs="Times New Roman"/>
          <w:szCs w:val="24"/>
          <w:lang w:val="en-US"/>
        </w:rPr>
      </w:pPr>
      <w:r>
        <w:rPr>
          <w:rFonts w:cs="Times New Roman"/>
          <w:szCs w:val="24"/>
          <w:lang w:val="en-US"/>
        </w:rPr>
        <w:t>Remote disabling of devices, making devices and investments worthless and causing economic loss or replacement</w:t>
      </w:r>
    </w:p>
    <w:p w14:paraId="400EE149" w14:textId="77777777" w:rsidR="00C45692" w:rsidRDefault="00C45692" w:rsidP="008546ED">
      <w:pPr>
        <w:pStyle w:val="ListParagraph"/>
        <w:numPr>
          <w:ilvl w:val="0"/>
          <w:numId w:val="34"/>
        </w:numPr>
        <w:rPr>
          <w:rFonts w:cs="Times New Roman"/>
          <w:szCs w:val="24"/>
          <w:lang w:val="en-US"/>
        </w:rPr>
      </w:pPr>
      <w:r>
        <w:rPr>
          <w:rFonts w:cs="Times New Roman"/>
          <w:szCs w:val="24"/>
          <w:lang w:val="en-US"/>
        </w:rPr>
        <w:t>Stranding of digital assets, including those that may be in proprietary formats</w:t>
      </w:r>
    </w:p>
    <w:p w14:paraId="15E57D19" w14:textId="77777777" w:rsidR="00C45692" w:rsidRPr="001136E8" w:rsidRDefault="00C45692" w:rsidP="008546ED">
      <w:pPr>
        <w:pStyle w:val="ListParagraph"/>
        <w:numPr>
          <w:ilvl w:val="0"/>
          <w:numId w:val="34"/>
        </w:numPr>
        <w:rPr>
          <w:rFonts w:cs="Times New Roman"/>
          <w:szCs w:val="24"/>
          <w:lang w:val="en-US"/>
        </w:rPr>
      </w:pPr>
      <w:r>
        <w:rPr>
          <w:rFonts w:cs="Times New Roman"/>
          <w:szCs w:val="24"/>
          <w:lang w:val="en-US"/>
        </w:rPr>
        <w:t>Loss of access to productivity tools needed for work and income</w:t>
      </w:r>
    </w:p>
    <w:p w14:paraId="1FFCD7D0" w14:textId="4F946C08" w:rsidR="00C45692" w:rsidRDefault="001460D8" w:rsidP="008546ED">
      <w:pPr>
        <w:pStyle w:val="ListParagraph"/>
        <w:numPr>
          <w:ilvl w:val="0"/>
          <w:numId w:val="34"/>
        </w:numPr>
        <w:rPr>
          <w:rFonts w:cs="Times New Roman"/>
          <w:szCs w:val="24"/>
          <w:lang w:val="en-US"/>
        </w:rPr>
      </w:pPr>
      <w:r>
        <w:rPr>
          <w:rFonts w:cs="Times New Roman"/>
          <w:szCs w:val="24"/>
          <w:lang w:val="en-US"/>
        </w:rPr>
        <w:t>L</w:t>
      </w:r>
      <w:r w:rsidR="00C45692">
        <w:rPr>
          <w:rFonts w:cs="Times New Roman"/>
          <w:szCs w:val="24"/>
          <w:lang w:val="en-US"/>
        </w:rPr>
        <w:t>oss of income for content creators</w:t>
      </w:r>
    </w:p>
    <w:p w14:paraId="41F01516" w14:textId="77777777" w:rsidR="00C45692" w:rsidRDefault="00C45692" w:rsidP="008546ED">
      <w:pPr>
        <w:pStyle w:val="ListParagraph"/>
        <w:numPr>
          <w:ilvl w:val="0"/>
          <w:numId w:val="34"/>
        </w:numPr>
        <w:rPr>
          <w:rFonts w:cs="Times New Roman"/>
          <w:szCs w:val="24"/>
          <w:lang w:val="en-US"/>
        </w:rPr>
      </w:pPr>
      <w:r>
        <w:rPr>
          <w:rFonts w:cs="Times New Roman"/>
          <w:szCs w:val="24"/>
          <w:lang w:val="en-US"/>
        </w:rPr>
        <w:t>Loss of access to social engagement and community.</w:t>
      </w:r>
    </w:p>
    <w:p w14:paraId="0129EB9E" w14:textId="126409C5" w:rsidR="00C45692" w:rsidRDefault="008D6724" w:rsidP="00C45692">
      <w:pPr>
        <w:rPr>
          <w:rFonts w:cs="Times New Roman"/>
          <w:szCs w:val="24"/>
          <w:lang w:val="en-US"/>
        </w:rPr>
      </w:pPr>
      <w:r>
        <w:t xml:space="preserve">One approach to </w:t>
      </w:r>
      <w:r w:rsidR="00517BC3">
        <w:t xml:space="preserve">address these issues </w:t>
      </w:r>
      <w:r>
        <w:t xml:space="preserve">would be to modernize </w:t>
      </w:r>
      <w:r w:rsidR="00517BC3">
        <w:t xml:space="preserve">the CPA </w:t>
      </w:r>
      <w:r>
        <w:t xml:space="preserve">to </w:t>
      </w:r>
      <w:r w:rsidR="00827DDD">
        <w:t xml:space="preserve">recognize and </w:t>
      </w:r>
      <w:r>
        <w:t xml:space="preserve">prohibit digital </w:t>
      </w:r>
      <w:r w:rsidR="00827DDD">
        <w:t xml:space="preserve">reprisal. For instance, the </w:t>
      </w:r>
      <w:r w:rsidR="00517BC3">
        <w:t xml:space="preserve">CPA’s </w:t>
      </w:r>
      <w:r w:rsidR="00827DDD">
        <w:t>current definition th</w:t>
      </w:r>
      <w:r w:rsidR="00517BC3">
        <w:t>at</w:t>
      </w:r>
      <w:r w:rsidR="0080230B">
        <w:t xml:space="preserve"> </w:t>
      </w:r>
      <w:r w:rsidR="00827DDD">
        <w:t xml:space="preserve">prohibits “withholding of goods” could be amended to include “withholding services and access to content.” Another approach would be to </w:t>
      </w:r>
      <w:r w:rsidR="00827DDD">
        <w:lastRenderedPageBreak/>
        <w:t xml:space="preserve">prohibit terms in a ToS contract that broadly empower the </w:t>
      </w:r>
      <w:r w:rsidR="00C45692" w:rsidRPr="008D6724">
        <w:rPr>
          <w:rFonts w:cs="Times New Roman"/>
          <w:szCs w:val="24"/>
          <w:lang w:val="en-US"/>
        </w:rPr>
        <w:t>supplier to withdraw the service “for any other reason</w:t>
      </w:r>
      <w:r w:rsidR="0080230B">
        <w:rPr>
          <w:rFonts w:cs="Times New Roman"/>
          <w:szCs w:val="24"/>
          <w:lang w:val="en-US"/>
        </w:rPr>
        <w:t>.</w:t>
      </w:r>
      <w:r w:rsidR="00C45692" w:rsidRPr="008D6724">
        <w:rPr>
          <w:rFonts w:cs="Times New Roman"/>
          <w:szCs w:val="24"/>
          <w:lang w:val="en-US"/>
        </w:rPr>
        <w:t>”</w:t>
      </w:r>
      <w:r w:rsidR="00827DDD">
        <w:rPr>
          <w:rFonts w:cs="Times New Roman"/>
          <w:szCs w:val="24"/>
          <w:lang w:val="en-US"/>
        </w:rPr>
        <w:t xml:space="preserve"> </w:t>
      </w:r>
    </w:p>
    <w:p w14:paraId="1FB24924" w14:textId="40B64770" w:rsidR="0035748D" w:rsidRPr="00827DDD" w:rsidRDefault="0035748D" w:rsidP="00C45692">
      <w:r w:rsidRPr="1F5E9E68">
        <w:rPr>
          <w:rFonts w:cs="Times New Roman"/>
          <w:lang w:val="en-US"/>
        </w:rPr>
        <w:t xml:space="preserve">There is precedent for this in other jurisdictions. As mentioned above, the EU UCPD enumerates several </w:t>
      </w:r>
      <w:r w:rsidR="00AE39CC">
        <w:rPr>
          <w:rFonts w:cs="Times New Roman"/>
          <w:lang w:val="en-US"/>
        </w:rPr>
        <w:t xml:space="preserve">prohibitions against consumer </w:t>
      </w:r>
      <w:r w:rsidRPr="1F5E9E68">
        <w:rPr>
          <w:rFonts w:cs="Times New Roman"/>
          <w:lang w:val="en-US"/>
        </w:rPr>
        <w:t>reprisal</w:t>
      </w:r>
      <w:r w:rsidR="00AE39CC">
        <w:rPr>
          <w:rFonts w:cs="Times New Roman"/>
          <w:lang w:val="en-US"/>
        </w:rPr>
        <w:t>s.</w:t>
      </w:r>
      <w:r w:rsidR="008F4822">
        <w:rPr>
          <w:rFonts w:cs="Times New Roman"/>
          <w:lang w:val="en-US"/>
        </w:rPr>
        <w:t xml:space="preserve"> </w:t>
      </w:r>
      <w:r w:rsidR="00AE39CC">
        <w:rPr>
          <w:rFonts w:cs="Times New Roman"/>
          <w:lang w:val="en-US"/>
        </w:rPr>
        <w:t xml:space="preserve">Other EU </w:t>
      </w:r>
      <w:r w:rsidRPr="1F5E9E68">
        <w:rPr>
          <w:rFonts w:cs="Times New Roman"/>
          <w:lang w:val="en-US"/>
        </w:rPr>
        <w:t>legislation ensures users of digital services continue to enjoy access to services</w:t>
      </w:r>
      <w:r w:rsidR="00AE39CC">
        <w:rPr>
          <w:rFonts w:cs="Times New Roman"/>
          <w:lang w:val="en-US"/>
        </w:rPr>
        <w:t xml:space="preserve"> even if they </w:t>
      </w:r>
      <w:r w:rsidRPr="1F5E9E68">
        <w:rPr>
          <w:rFonts w:cs="Times New Roman"/>
          <w:lang w:val="en-US"/>
        </w:rPr>
        <w:t>optout of supplier monetization practices.</w:t>
      </w:r>
      <w:r w:rsidRPr="1F5E9E68">
        <w:rPr>
          <w:rStyle w:val="EndnoteReference"/>
          <w:rFonts w:cs="Times New Roman"/>
          <w:lang w:val="en-US"/>
        </w:rPr>
        <w:endnoteReference w:id="374"/>
      </w:r>
    </w:p>
    <w:p w14:paraId="1ADEE784" w14:textId="77777777" w:rsidR="001460D8" w:rsidRDefault="001460D8" w:rsidP="001373AD"/>
    <w:p w14:paraId="4816BACA" w14:textId="59A3F9FA" w:rsidR="00862473" w:rsidRPr="000C3964" w:rsidRDefault="00C027D0" w:rsidP="00592F05">
      <w:pPr>
        <w:rPr>
          <w:highlight w:val="lightGray"/>
        </w:rPr>
      </w:pPr>
      <w:r w:rsidRPr="000C3964">
        <w:rPr>
          <w:highlight w:val="lightGray"/>
        </w:rPr>
        <w:t>[</w:t>
      </w:r>
      <w:r w:rsidRPr="000C3964">
        <w:rPr>
          <w:b/>
          <w:bCs/>
          <w:highlight w:val="lightGray"/>
        </w:rPr>
        <w:t xml:space="preserve">SIDEBAR: </w:t>
      </w:r>
      <w:bookmarkStart w:id="108" w:name="_Hlk137114463"/>
      <w:r w:rsidR="00592F05" w:rsidRPr="000C3964">
        <w:rPr>
          <w:b/>
          <w:bCs/>
          <w:highlight w:val="lightGray"/>
        </w:rPr>
        <w:t xml:space="preserve">The Particular </w:t>
      </w:r>
      <w:r w:rsidR="003E1D44">
        <w:rPr>
          <w:b/>
          <w:bCs/>
          <w:highlight w:val="lightGray"/>
        </w:rPr>
        <w:t>Impact of ToS Enforcement on Content Creators</w:t>
      </w:r>
      <w:bookmarkEnd w:id="108"/>
      <w:r w:rsidR="00592F05" w:rsidRPr="000C3964">
        <w:rPr>
          <w:highlight w:val="lightGray"/>
        </w:rPr>
        <w:t>. “User Generated Content” (UGC) is the foundation of many major and minor platforms. UGC is any content created by users rather than established corporations, brands, or traditional media producers. UGC content is diverse: it spans live broadcasting, videos, music, reviews, podcasts, comments, and images.</w:t>
      </w:r>
      <w:r w:rsidR="006E67EB" w:rsidRPr="000C3964">
        <w:rPr>
          <w:rStyle w:val="EndnoteReference"/>
          <w:highlight w:val="lightGray"/>
        </w:rPr>
        <w:endnoteReference w:id="375"/>
      </w:r>
    </w:p>
    <w:p w14:paraId="19AF6939" w14:textId="100F9C66" w:rsidR="006E67EB" w:rsidRPr="000C3964" w:rsidRDefault="00592F05" w:rsidP="00592F05">
      <w:pPr>
        <w:rPr>
          <w:highlight w:val="lightGray"/>
        </w:rPr>
      </w:pPr>
      <w:r w:rsidRPr="000C3964">
        <w:rPr>
          <w:highlight w:val="lightGray"/>
        </w:rPr>
        <w:t>UGC is also lucrative. The more UGC a platform has, the greater their potential user engagement and thus advertising revenue, data collection, and other means of monetizing.</w:t>
      </w:r>
      <w:r w:rsidR="00862473" w:rsidRPr="000C3964">
        <w:rPr>
          <w:highlight w:val="lightGray"/>
        </w:rPr>
        <w:t xml:space="preserve"> Today it is estimated that there are some 29,000 YouTube channels having 1 million or </w:t>
      </w:r>
      <w:r w:rsidR="00613F36" w:rsidRPr="000C3964">
        <w:rPr>
          <w:highlight w:val="lightGray"/>
        </w:rPr>
        <w:t xml:space="preserve">more </w:t>
      </w:r>
      <w:r w:rsidR="00862473" w:rsidRPr="000C3964">
        <w:rPr>
          <w:highlight w:val="lightGray"/>
        </w:rPr>
        <w:t>subscribers.</w:t>
      </w:r>
      <w:r w:rsidR="00862473" w:rsidRPr="000C3964">
        <w:rPr>
          <w:rStyle w:val="EndnoteReference"/>
          <w:highlight w:val="lightGray"/>
        </w:rPr>
        <w:endnoteReference w:id="376"/>
      </w:r>
      <w:r w:rsidR="00862473" w:rsidRPr="000C3964">
        <w:rPr>
          <w:highlight w:val="lightGray"/>
        </w:rPr>
        <w:t xml:space="preserve"> Other </w:t>
      </w:r>
      <w:r w:rsidR="00D728C2" w:rsidRPr="000C3964">
        <w:rPr>
          <w:highlight w:val="lightGray"/>
        </w:rPr>
        <w:t xml:space="preserve">UGC platforms </w:t>
      </w:r>
      <w:r w:rsidR="00862473" w:rsidRPr="000C3964">
        <w:rPr>
          <w:highlight w:val="lightGray"/>
        </w:rPr>
        <w:t>like Twitch and TikTok report similar</w:t>
      </w:r>
      <w:r w:rsidR="00D728C2" w:rsidRPr="000C3964">
        <w:rPr>
          <w:highlight w:val="lightGray"/>
        </w:rPr>
        <w:t>ly dramatic</w:t>
      </w:r>
      <w:r w:rsidR="00862473" w:rsidRPr="000C3964">
        <w:rPr>
          <w:highlight w:val="lightGray"/>
        </w:rPr>
        <w:t xml:space="preserve"> numbers</w:t>
      </w:r>
      <w:r w:rsidR="00D728C2" w:rsidRPr="000C3964">
        <w:rPr>
          <w:highlight w:val="lightGray"/>
        </w:rPr>
        <w:t>:</w:t>
      </w:r>
      <w:r w:rsidR="00862473" w:rsidRPr="000C3964">
        <w:rPr>
          <w:highlight w:val="lightGray"/>
        </w:rPr>
        <w:t xml:space="preserve"> Twitch </w:t>
      </w:r>
      <w:r w:rsidR="00934816" w:rsidRPr="000C3964">
        <w:rPr>
          <w:highlight w:val="lightGray"/>
        </w:rPr>
        <w:t>is estimated to have</w:t>
      </w:r>
      <w:r w:rsidR="00862473" w:rsidRPr="000C3964">
        <w:rPr>
          <w:highlight w:val="lightGray"/>
        </w:rPr>
        <w:t xml:space="preserve"> over 8 million active streamers with over 1 million streaming daily,</w:t>
      </w:r>
      <w:r w:rsidR="00D728C2" w:rsidRPr="000C3964">
        <w:rPr>
          <w:highlight w:val="lightGray"/>
        </w:rPr>
        <w:t xml:space="preserve"> a</w:t>
      </w:r>
      <w:r w:rsidR="00862473" w:rsidRPr="000C3964">
        <w:rPr>
          <w:highlight w:val="lightGray"/>
        </w:rPr>
        <w:t xml:space="preserve">nd TikTok </w:t>
      </w:r>
      <w:r w:rsidR="00934816" w:rsidRPr="000C3964">
        <w:rPr>
          <w:highlight w:val="lightGray"/>
        </w:rPr>
        <w:t>is estimated to have</w:t>
      </w:r>
      <w:r w:rsidR="00862473" w:rsidRPr="000C3964">
        <w:rPr>
          <w:highlight w:val="lightGray"/>
        </w:rPr>
        <w:t xml:space="preserve"> over a billion users </w:t>
      </w:r>
      <w:r w:rsidR="00D728C2" w:rsidRPr="000C3964">
        <w:rPr>
          <w:highlight w:val="lightGray"/>
        </w:rPr>
        <w:t xml:space="preserve">of </w:t>
      </w:r>
      <w:r w:rsidR="00862473" w:rsidRPr="000C3964">
        <w:rPr>
          <w:highlight w:val="lightGray"/>
        </w:rPr>
        <w:t>whom 83% have uploaded content.</w:t>
      </w:r>
      <w:r w:rsidR="00D728C2" w:rsidRPr="000C3964">
        <w:rPr>
          <w:rStyle w:val="EndnoteReference"/>
          <w:highlight w:val="lightGray"/>
        </w:rPr>
        <w:endnoteReference w:id="377"/>
      </w:r>
      <w:r w:rsidR="00862473" w:rsidRPr="000C3964">
        <w:rPr>
          <w:highlight w:val="lightGray"/>
        </w:rPr>
        <w:t xml:space="preserve"> </w:t>
      </w:r>
    </w:p>
    <w:p w14:paraId="0CB0AA06" w14:textId="26D5B2D8" w:rsidR="00592F05" w:rsidRPr="000C3964" w:rsidRDefault="00592F05" w:rsidP="00592F05">
      <w:pPr>
        <w:rPr>
          <w:highlight w:val="lightGray"/>
        </w:rPr>
      </w:pPr>
      <w:r w:rsidRPr="000C3964">
        <w:rPr>
          <w:highlight w:val="lightGray"/>
        </w:rPr>
        <w:t xml:space="preserve">Platforms use their ToS to create incentive and compensation schemes for UGC content creators. </w:t>
      </w:r>
      <w:r w:rsidR="00C1410E" w:rsidRPr="000C3964">
        <w:rPr>
          <w:highlight w:val="lightGray"/>
        </w:rPr>
        <w:t>T</w:t>
      </w:r>
      <w:r w:rsidRPr="000C3964">
        <w:rPr>
          <w:highlight w:val="lightGray"/>
        </w:rPr>
        <w:t>hese platforms monetize content and pay their creators based on different metrics</w:t>
      </w:r>
      <w:r w:rsidR="00C1410E" w:rsidRPr="000C3964">
        <w:rPr>
          <w:highlight w:val="lightGray"/>
        </w:rPr>
        <w:t xml:space="preserve">, which can include </w:t>
      </w:r>
      <w:r w:rsidRPr="000C3964">
        <w:rPr>
          <w:highlight w:val="lightGray"/>
        </w:rPr>
        <w:t>advertising</w:t>
      </w:r>
      <w:r w:rsidR="001143C3" w:rsidRPr="000C3964">
        <w:rPr>
          <w:highlight w:val="lightGray"/>
        </w:rPr>
        <w:t xml:space="preserve"> views</w:t>
      </w:r>
      <w:r w:rsidRPr="000C3964">
        <w:rPr>
          <w:highlight w:val="lightGray"/>
        </w:rPr>
        <w:t>, view count, watch time, clicks, shop storefront traffic, brand deals, and other means.</w:t>
      </w:r>
      <w:r w:rsidR="006E67EB" w:rsidRPr="000C3964">
        <w:rPr>
          <w:highlight w:val="lightGray"/>
        </w:rPr>
        <w:t xml:space="preserve"> These ToS also typically impose conditions on content creators, governing issues like offensive content, copyright, </w:t>
      </w:r>
      <w:r w:rsidR="005E5166" w:rsidRPr="000C3964">
        <w:rPr>
          <w:highlight w:val="lightGray"/>
        </w:rPr>
        <w:t xml:space="preserve">advertising standards and guidelines, </w:t>
      </w:r>
      <w:r w:rsidR="006E67EB" w:rsidRPr="000C3964">
        <w:rPr>
          <w:highlight w:val="lightGray"/>
        </w:rPr>
        <w:t xml:space="preserve">asserting ownership of UGC content, </w:t>
      </w:r>
      <w:r w:rsidR="005E5166" w:rsidRPr="000C3964">
        <w:rPr>
          <w:highlight w:val="lightGray"/>
        </w:rPr>
        <w:t xml:space="preserve">forbidding </w:t>
      </w:r>
      <w:r w:rsidR="006E67EB" w:rsidRPr="000C3964">
        <w:rPr>
          <w:highlight w:val="lightGray"/>
        </w:rPr>
        <w:t>or taking a cut of any 3</w:t>
      </w:r>
      <w:r w:rsidR="006E67EB" w:rsidRPr="000C3964">
        <w:rPr>
          <w:highlight w:val="lightGray"/>
          <w:vertAlign w:val="superscript"/>
        </w:rPr>
        <w:t>rd</w:t>
      </w:r>
      <w:r w:rsidR="006E67EB" w:rsidRPr="000C3964">
        <w:rPr>
          <w:highlight w:val="lightGray"/>
        </w:rPr>
        <w:t xml:space="preserve"> party advertising deals, </w:t>
      </w:r>
      <w:r w:rsidR="00613F36" w:rsidRPr="000C3964">
        <w:rPr>
          <w:highlight w:val="lightGray"/>
        </w:rPr>
        <w:t xml:space="preserve">mandating the use of automated dispute resolution mechanisms, </w:t>
      </w:r>
      <w:r w:rsidR="006E67EB" w:rsidRPr="000C3964">
        <w:rPr>
          <w:highlight w:val="lightGray"/>
        </w:rPr>
        <w:t>and the like.</w:t>
      </w:r>
      <w:r w:rsidR="005E5166" w:rsidRPr="000C3964">
        <w:rPr>
          <w:highlight w:val="lightGray"/>
        </w:rPr>
        <w:t xml:space="preserve"> YouTube, for example, </w:t>
      </w:r>
      <w:r w:rsidR="001143C3" w:rsidRPr="000C3964">
        <w:rPr>
          <w:highlight w:val="lightGray"/>
        </w:rPr>
        <w:t xml:space="preserve">requires </w:t>
      </w:r>
      <w:r w:rsidR="005E5166" w:rsidRPr="000C3964">
        <w:rPr>
          <w:highlight w:val="lightGray"/>
        </w:rPr>
        <w:t xml:space="preserve">all users of the platform </w:t>
      </w:r>
      <w:r w:rsidR="001143C3" w:rsidRPr="000C3964">
        <w:rPr>
          <w:highlight w:val="lightGray"/>
        </w:rPr>
        <w:t xml:space="preserve">to agree to a ToS </w:t>
      </w:r>
      <w:r w:rsidR="005E5166" w:rsidRPr="000C3964">
        <w:rPr>
          <w:highlight w:val="lightGray"/>
        </w:rPr>
        <w:t>before creating an account</w:t>
      </w:r>
      <w:r w:rsidR="001143C3" w:rsidRPr="000C3964">
        <w:rPr>
          <w:highlight w:val="lightGray"/>
        </w:rPr>
        <w:t xml:space="preserve"> </w:t>
      </w:r>
      <w:r w:rsidR="005E5166" w:rsidRPr="000C3964">
        <w:rPr>
          <w:highlight w:val="lightGray"/>
        </w:rPr>
        <w:t>for creative or viewing purposes.</w:t>
      </w:r>
      <w:r w:rsidR="005E5166" w:rsidRPr="000C3964">
        <w:rPr>
          <w:rStyle w:val="EndnoteReference"/>
          <w:highlight w:val="lightGray"/>
        </w:rPr>
        <w:endnoteReference w:id="378"/>
      </w:r>
      <w:r w:rsidR="005E5166" w:rsidRPr="000C3964">
        <w:rPr>
          <w:highlight w:val="lightGray"/>
        </w:rPr>
        <w:t xml:space="preserve"> Additionally, creators must adhere to over 12 different policies regarding their content creation.</w:t>
      </w:r>
      <w:r w:rsidR="00934816" w:rsidRPr="000C3964">
        <w:rPr>
          <w:rStyle w:val="EndnoteReference"/>
          <w:highlight w:val="lightGray"/>
        </w:rPr>
        <w:endnoteReference w:id="379"/>
      </w:r>
      <w:r w:rsidR="005E5166" w:rsidRPr="000C3964">
        <w:rPr>
          <w:highlight w:val="lightGray"/>
        </w:rPr>
        <w:t xml:space="preserve"> </w:t>
      </w:r>
    </w:p>
    <w:p w14:paraId="6C0FE4A7" w14:textId="0CDA4454" w:rsidR="00613F36" w:rsidRPr="000C3964" w:rsidRDefault="00613F36" w:rsidP="00592F05">
      <w:pPr>
        <w:rPr>
          <w:highlight w:val="lightGray"/>
        </w:rPr>
      </w:pPr>
      <w:r w:rsidRPr="000C3964">
        <w:rPr>
          <w:highlight w:val="lightGray"/>
        </w:rPr>
        <w:t xml:space="preserve">UGC content creators have been </w:t>
      </w:r>
      <w:r w:rsidR="001143C3" w:rsidRPr="000C3964">
        <w:rPr>
          <w:highlight w:val="lightGray"/>
        </w:rPr>
        <w:t>increasingly</w:t>
      </w:r>
      <w:r w:rsidRPr="000C3964">
        <w:rPr>
          <w:highlight w:val="lightGray"/>
        </w:rPr>
        <w:t xml:space="preserve"> open about how sudden, unexpected, and poorly explained ToS enforcement can devastate their content and income. </w:t>
      </w:r>
      <w:r w:rsidR="005E5166" w:rsidRPr="000C3964">
        <w:rPr>
          <w:highlight w:val="lightGray"/>
        </w:rPr>
        <w:t xml:space="preserve">Content creators report enforcement measures in which platforms instantly and unilaterally </w:t>
      </w:r>
      <w:r w:rsidRPr="000C3964">
        <w:rPr>
          <w:highlight w:val="lightGray"/>
        </w:rPr>
        <w:t xml:space="preserve">suspend </w:t>
      </w:r>
      <w:r w:rsidR="005E5166" w:rsidRPr="000C3964">
        <w:rPr>
          <w:highlight w:val="lightGray"/>
        </w:rPr>
        <w:t xml:space="preserve">access to </w:t>
      </w:r>
      <w:r w:rsidRPr="000C3964">
        <w:rPr>
          <w:highlight w:val="lightGray"/>
        </w:rPr>
        <w:t xml:space="preserve">their account, de-monetize their stream, </w:t>
      </w:r>
      <w:r w:rsidR="005E5166" w:rsidRPr="000C3964">
        <w:rPr>
          <w:highlight w:val="lightGray"/>
        </w:rPr>
        <w:t xml:space="preserve">strand content (by making it inaccessible), </w:t>
      </w:r>
      <w:r w:rsidRPr="000C3964">
        <w:rPr>
          <w:highlight w:val="lightGray"/>
        </w:rPr>
        <w:t xml:space="preserve">take-down and even delete content, </w:t>
      </w:r>
      <w:r w:rsidR="005E5166" w:rsidRPr="000C3964">
        <w:rPr>
          <w:highlight w:val="lightGray"/>
        </w:rPr>
        <w:t>and fail to respond to requests for dispute resolution.</w:t>
      </w:r>
      <w:r w:rsidR="001143C3" w:rsidRPr="000C3964">
        <w:rPr>
          <w:rStyle w:val="EndnoteReference"/>
          <w:highlight w:val="lightGray"/>
        </w:rPr>
        <w:endnoteReference w:id="380"/>
      </w:r>
    </w:p>
    <w:p w14:paraId="002D85C3" w14:textId="75579374" w:rsidR="00BE46B7" w:rsidRDefault="00592F05" w:rsidP="00C1410E">
      <w:r w:rsidRPr="000C3964">
        <w:rPr>
          <w:highlight w:val="lightGray"/>
        </w:rPr>
        <w:t xml:space="preserve">UGC creators are </w:t>
      </w:r>
      <w:r w:rsidR="00C1410E" w:rsidRPr="000C3964">
        <w:rPr>
          <w:highlight w:val="lightGray"/>
        </w:rPr>
        <w:t xml:space="preserve">thus </w:t>
      </w:r>
      <w:r w:rsidRPr="000C3964">
        <w:rPr>
          <w:highlight w:val="lightGray"/>
        </w:rPr>
        <w:t xml:space="preserve">particularly vulnerable to unfair or malicious ToS enforcement by the operator. </w:t>
      </w:r>
      <w:r w:rsidR="00613F36" w:rsidRPr="000C3964">
        <w:rPr>
          <w:highlight w:val="lightGray"/>
        </w:rPr>
        <w:t>UGC creators are also caught in a quasi- professional and quasi-consumer relationship with platforms. It isn’t always clear what practices may be governed by consume</w:t>
      </w:r>
      <w:r w:rsidR="005E5166" w:rsidRPr="000C3964">
        <w:rPr>
          <w:highlight w:val="lightGray"/>
        </w:rPr>
        <w:t>r</w:t>
      </w:r>
      <w:r w:rsidR="00613F36" w:rsidRPr="000C3964">
        <w:rPr>
          <w:highlight w:val="lightGray"/>
        </w:rPr>
        <w:t xml:space="preserve"> protection law, employment law, </w:t>
      </w:r>
      <w:r w:rsidR="005E5166" w:rsidRPr="000C3964">
        <w:rPr>
          <w:highlight w:val="lightGray"/>
        </w:rPr>
        <w:t>or otherwise.</w:t>
      </w:r>
    </w:p>
    <w:p w14:paraId="22710535" w14:textId="77777777" w:rsidR="00F34AB4" w:rsidRDefault="00F34AB4" w:rsidP="001373AD"/>
    <w:p w14:paraId="2354406C" w14:textId="22C06AA7" w:rsidR="003B098A" w:rsidRDefault="00F34AB4" w:rsidP="00303494">
      <w:pPr>
        <w:pStyle w:val="Heading3"/>
      </w:pPr>
      <w:bookmarkStart w:id="109" w:name="_Toc138151878"/>
      <w:r>
        <w:t>11.</w:t>
      </w:r>
      <w:r w:rsidR="00303494">
        <w:t>2.4</w:t>
      </w:r>
      <w:r w:rsidR="00303494">
        <w:tab/>
      </w:r>
      <w:r w:rsidR="003B098A">
        <w:t xml:space="preserve">Establish Minimum Standards for </w:t>
      </w:r>
      <w:r w:rsidR="00DD662B">
        <w:t xml:space="preserve">Ministry Complaints and </w:t>
      </w:r>
      <w:r w:rsidR="00795287">
        <w:t>Informal</w:t>
      </w:r>
      <w:r w:rsidR="003B098A">
        <w:t xml:space="preserve"> Dispute Resolution</w:t>
      </w:r>
      <w:bookmarkEnd w:id="109"/>
    </w:p>
    <w:p w14:paraId="0C82F3E8" w14:textId="77777777" w:rsidR="003B098A" w:rsidRDefault="003B098A" w:rsidP="003B098A">
      <w:pPr>
        <w:rPr>
          <w:rFonts w:cs="Times New Roman"/>
          <w:szCs w:val="24"/>
          <w:lang w:val="en-US"/>
        </w:rPr>
      </w:pPr>
    </w:p>
    <w:p w14:paraId="443A85DA" w14:textId="32B403F0" w:rsidR="00AE39CC" w:rsidRDefault="00AE39CC" w:rsidP="003B098A">
      <w:pPr>
        <w:rPr>
          <w:rFonts w:cs="Times New Roman"/>
          <w:szCs w:val="24"/>
          <w:lang w:val="en-US"/>
        </w:rPr>
      </w:pPr>
      <w:r>
        <w:rPr>
          <w:rFonts w:cs="Times New Roman"/>
          <w:szCs w:val="24"/>
          <w:lang w:val="en-US"/>
        </w:rPr>
        <w:t>There are good reasons to consider establishing minimum standards for Ministry complaints and informal dispute resolution processes.</w:t>
      </w:r>
    </w:p>
    <w:p w14:paraId="25D677DE" w14:textId="77CE7A4A" w:rsidR="008D3941" w:rsidRDefault="00AE39CC" w:rsidP="008D3941">
      <w:pPr>
        <w:rPr>
          <w:rFonts w:cs="Times New Roman"/>
          <w:szCs w:val="24"/>
          <w:lang w:val="en-US"/>
        </w:rPr>
      </w:pPr>
      <w:r>
        <w:rPr>
          <w:rFonts w:cs="Times New Roman"/>
          <w:lang w:val="en-US"/>
        </w:rPr>
        <w:lastRenderedPageBreak/>
        <w:t>First, t</w:t>
      </w:r>
      <w:r w:rsidR="008D3941" w:rsidRPr="1F5E9E68">
        <w:rPr>
          <w:rFonts w:cs="Times New Roman"/>
          <w:lang w:val="en-US"/>
        </w:rPr>
        <w:t xml:space="preserve">he CPA requires that consumers raise an issue with the supplier </w:t>
      </w:r>
      <w:r>
        <w:rPr>
          <w:rFonts w:cs="Times New Roman"/>
          <w:lang w:val="en-US"/>
        </w:rPr>
        <w:t xml:space="preserve">before they </w:t>
      </w:r>
      <w:r w:rsidR="008D3941" w:rsidRPr="1F5E9E68">
        <w:rPr>
          <w:rFonts w:cs="Times New Roman"/>
          <w:lang w:val="en-US"/>
        </w:rPr>
        <w:t>may file a complaint to Consumer Protection Ontario for review and potential investigation.</w:t>
      </w:r>
      <w:r w:rsidR="008D3941" w:rsidRPr="1F5E9E68">
        <w:rPr>
          <w:rStyle w:val="EndnoteReference"/>
          <w:rFonts w:cs="Times New Roman"/>
          <w:lang w:val="en-US"/>
        </w:rPr>
        <w:endnoteReference w:id="381"/>
      </w:r>
    </w:p>
    <w:p w14:paraId="06D51974" w14:textId="0D14069F" w:rsidR="00AE39CC" w:rsidRDefault="008D3941" w:rsidP="008D3941">
      <w:pPr>
        <w:rPr>
          <w:rFonts w:cs="Times New Roman"/>
          <w:szCs w:val="24"/>
          <w:lang w:val="en-US"/>
        </w:rPr>
      </w:pPr>
      <w:r w:rsidRPr="003B098A">
        <w:rPr>
          <w:rFonts w:cs="Times New Roman"/>
          <w:szCs w:val="24"/>
          <w:lang w:val="en-US"/>
        </w:rPr>
        <w:t xml:space="preserve">This </w:t>
      </w:r>
      <w:r w:rsidR="00AE39CC">
        <w:rPr>
          <w:rFonts w:cs="Times New Roman"/>
          <w:szCs w:val="24"/>
          <w:lang w:val="en-US"/>
        </w:rPr>
        <w:t xml:space="preserve">rule may be </w:t>
      </w:r>
      <w:r w:rsidRPr="003B098A">
        <w:rPr>
          <w:rFonts w:cs="Times New Roman"/>
          <w:szCs w:val="24"/>
          <w:lang w:val="en-US"/>
        </w:rPr>
        <w:t>problematic because there are no standards for handling consumer complaints</w:t>
      </w:r>
      <w:r w:rsidR="00AE39CC">
        <w:rPr>
          <w:rFonts w:cs="Times New Roman"/>
          <w:szCs w:val="24"/>
          <w:lang w:val="en-US"/>
        </w:rPr>
        <w:t>, meaning that consumers have no assurance their issue will be addressed</w:t>
      </w:r>
      <w:r w:rsidR="000C7709">
        <w:rPr>
          <w:rFonts w:cs="Times New Roman"/>
          <w:szCs w:val="24"/>
          <w:lang w:val="en-US"/>
        </w:rPr>
        <w:t>.</w:t>
      </w:r>
      <w:r w:rsidRPr="003B098A">
        <w:rPr>
          <w:rFonts w:cs="Times New Roman"/>
          <w:szCs w:val="24"/>
          <w:lang w:val="en-US"/>
        </w:rPr>
        <w:t xml:space="preserve"> </w:t>
      </w:r>
    </w:p>
    <w:p w14:paraId="2FC15884" w14:textId="189FE675" w:rsidR="008D3941" w:rsidRDefault="00AE39CC" w:rsidP="008D3941">
      <w:pPr>
        <w:rPr>
          <w:rFonts w:cs="Times New Roman"/>
          <w:szCs w:val="24"/>
          <w:lang w:val="en-US"/>
        </w:rPr>
      </w:pPr>
      <w:r>
        <w:rPr>
          <w:rFonts w:cs="Times New Roman"/>
          <w:szCs w:val="24"/>
          <w:lang w:val="en-US"/>
        </w:rPr>
        <w:t xml:space="preserve">At the same time, many </w:t>
      </w:r>
      <w:r w:rsidR="008D3941" w:rsidRPr="003B098A">
        <w:rPr>
          <w:rFonts w:cs="Times New Roman"/>
          <w:szCs w:val="24"/>
          <w:lang w:val="en-US"/>
        </w:rPr>
        <w:t>platforms are creating their own oversight and complaints systems</w:t>
      </w:r>
      <w:r>
        <w:rPr>
          <w:rFonts w:cs="Times New Roman"/>
          <w:szCs w:val="24"/>
          <w:lang w:val="en-US"/>
        </w:rPr>
        <w:t xml:space="preserve">.  </w:t>
      </w:r>
    </w:p>
    <w:p w14:paraId="276D83C4" w14:textId="359E5D51" w:rsidR="008D3941" w:rsidRDefault="00AE39CC" w:rsidP="008D3941">
      <w:r>
        <w:rPr>
          <w:rFonts w:cs="Times New Roman"/>
          <w:szCs w:val="24"/>
          <w:lang w:val="en-US"/>
        </w:rPr>
        <w:t xml:space="preserve">In 2022, the </w:t>
      </w:r>
      <w:r w:rsidR="008D3941">
        <w:rPr>
          <w:rFonts w:cs="Times New Roman"/>
          <w:szCs w:val="24"/>
          <w:lang w:val="en-US"/>
        </w:rPr>
        <w:t xml:space="preserve">OECD </w:t>
      </w:r>
      <w:r>
        <w:rPr>
          <w:rFonts w:cs="Times New Roman"/>
          <w:szCs w:val="24"/>
          <w:lang w:val="en-US"/>
        </w:rPr>
        <w:t xml:space="preserve">recently identified a wide range of </w:t>
      </w:r>
      <w:r w:rsidR="008D3941">
        <w:rPr>
          <w:rFonts w:cs="Times New Roman"/>
          <w:szCs w:val="24"/>
          <w:lang w:val="en-US"/>
        </w:rPr>
        <w:t xml:space="preserve">concerns and risks for consumers </w:t>
      </w:r>
      <w:r>
        <w:rPr>
          <w:rFonts w:cs="Times New Roman"/>
          <w:szCs w:val="24"/>
          <w:lang w:val="en-US"/>
        </w:rPr>
        <w:t>who must use these systems.</w:t>
      </w:r>
      <w:r w:rsidR="008D3941">
        <w:rPr>
          <w:rFonts w:cs="Times New Roman"/>
          <w:szCs w:val="24"/>
          <w:lang w:val="en-US"/>
        </w:rPr>
        <w:t xml:space="preserve"> </w:t>
      </w:r>
      <w:r>
        <w:rPr>
          <w:rFonts w:cs="Times New Roman"/>
          <w:szCs w:val="24"/>
          <w:lang w:val="en-US"/>
        </w:rPr>
        <w:t>Not surprisingly t</w:t>
      </w:r>
      <w:r w:rsidR="008D3941">
        <w:rPr>
          <w:rFonts w:cs="Times New Roman"/>
          <w:szCs w:val="24"/>
          <w:lang w:val="en-US"/>
        </w:rPr>
        <w:t xml:space="preserve">he OECD’s survey confirmed that </w:t>
      </w:r>
      <w:r w:rsidR="008D3941" w:rsidRPr="00C35704">
        <w:t xml:space="preserve">“Consumer dispute resolution and redress systems varied across participating marketplaces” </w:t>
      </w:r>
      <w:r>
        <w:t xml:space="preserve">and </w:t>
      </w:r>
      <w:r w:rsidR="008D3941" w:rsidRPr="00C35704">
        <w:t>that “all participants had systems for consumers to make complaints directly to them” but had considerable variability in issues like</w:t>
      </w:r>
      <w:r w:rsidR="008D3941">
        <w:t>:</w:t>
      </w:r>
    </w:p>
    <w:p w14:paraId="2F64B871" w14:textId="21F6E5BA" w:rsidR="008D3941" w:rsidRDefault="00917CB8" w:rsidP="00470F77">
      <w:pPr>
        <w:pStyle w:val="ListParagraph"/>
        <w:numPr>
          <w:ilvl w:val="0"/>
          <w:numId w:val="59"/>
        </w:numPr>
      </w:pPr>
      <w:r w:rsidRPr="00C35704">
        <w:t>Per-p</w:t>
      </w:r>
      <w:r w:rsidR="008D3941" w:rsidRPr="00C35704">
        <w:t>age / per-product buttons “to bring potentially unlawful or otherwise problematic listings to their attention”</w:t>
      </w:r>
    </w:p>
    <w:p w14:paraId="46049068" w14:textId="50235D02" w:rsidR="008D3941" w:rsidRDefault="00917CB8" w:rsidP="00470F77">
      <w:pPr>
        <w:pStyle w:val="ListParagraph"/>
        <w:numPr>
          <w:ilvl w:val="0"/>
          <w:numId w:val="59"/>
        </w:numPr>
      </w:pPr>
      <w:r w:rsidRPr="00C35704">
        <w:t>Different return policies</w:t>
      </w:r>
    </w:p>
    <w:p w14:paraId="3824B8F4" w14:textId="4CA9E2F8" w:rsidR="008D3941" w:rsidRDefault="00917CB8" w:rsidP="00470F77">
      <w:pPr>
        <w:pStyle w:val="ListParagraph"/>
        <w:numPr>
          <w:ilvl w:val="0"/>
          <w:numId w:val="59"/>
        </w:numPr>
      </w:pPr>
      <w:r w:rsidRPr="00C35704">
        <w:t>Different guaranteed refund policies</w:t>
      </w:r>
    </w:p>
    <w:p w14:paraId="73D833F1" w14:textId="240A2B80" w:rsidR="008D3941" w:rsidRDefault="00917CB8" w:rsidP="00470F77">
      <w:pPr>
        <w:pStyle w:val="ListParagraph"/>
        <w:numPr>
          <w:ilvl w:val="0"/>
          <w:numId w:val="59"/>
        </w:numPr>
      </w:pPr>
      <w:r w:rsidRPr="00C35704">
        <w:t>Different paid “purchase protection” offers</w:t>
      </w:r>
    </w:p>
    <w:p w14:paraId="484D9372" w14:textId="13D68945" w:rsidR="008D3941" w:rsidRDefault="00917CB8" w:rsidP="00470F77">
      <w:pPr>
        <w:pStyle w:val="ListParagraph"/>
        <w:numPr>
          <w:ilvl w:val="0"/>
          <w:numId w:val="59"/>
        </w:numPr>
      </w:pPr>
      <w:r w:rsidRPr="00C35704">
        <w:t xml:space="preserve">Inconsistent policies across their </w:t>
      </w:r>
      <w:r w:rsidR="008D3941">
        <w:t xml:space="preserve">own products and </w:t>
      </w:r>
      <w:r w:rsidR="008D3941" w:rsidRPr="00C35704">
        <w:t>platforms</w:t>
      </w:r>
    </w:p>
    <w:p w14:paraId="631E4FA8" w14:textId="0F362F45" w:rsidR="008D3941" w:rsidRDefault="00917CB8" w:rsidP="00470F77">
      <w:pPr>
        <w:pStyle w:val="ListParagraph"/>
        <w:numPr>
          <w:ilvl w:val="0"/>
          <w:numId w:val="59"/>
        </w:numPr>
      </w:pPr>
      <w:r w:rsidRPr="00C35704">
        <w:t xml:space="preserve">Different mandatory complaint </w:t>
      </w:r>
      <w:r w:rsidR="008D3941">
        <w:t>timelines</w:t>
      </w:r>
      <w:r w:rsidR="008D3941" w:rsidRPr="00C35704">
        <w:t>, and</w:t>
      </w:r>
    </w:p>
    <w:p w14:paraId="1CE2D8AB" w14:textId="62486302" w:rsidR="008D3941" w:rsidRPr="00C35704" w:rsidRDefault="00917CB8" w:rsidP="00470F77">
      <w:pPr>
        <w:pStyle w:val="ListParagraph"/>
        <w:numPr>
          <w:ilvl w:val="0"/>
          <w:numId w:val="59"/>
        </w:numPr>
      </w:pPr>
      <w:r w:rsidRPr="00C35704">
        <w:t xml:space="preserve">Only “around half indicated that they have processes to mediate and resolve disputes if </w:t>
      </w:r>
      <w:r w:rsidR="008D3941" w:rsidRPr="00C35704">
        <w:t>requested by consumers.”</w:t>
      </w:r>
      <w:r w:rsidR="008D3941">
        <w:rPr>
          <w:rStyle w:val="EndnoteReference"/>
        </w:rPr>
        <w:endnoteReference w:id="382"/>
      </w:r>
    </w:p>
    <w:p w14:paraId="459EDC88" w14:textId="18D8BD0C" w:rsidR="008D3941" w:rsidRDefault="008D3941" w:rsidP="008D3941">
      <w:bookmarkStart w:id="110" w:name="_Hlk137116231"/>
      <w:r>
        <w:t>The OECD also found</w:t>
      </w:r>
      <w:r w:rsidRPr="00C35704">
        <w:t xml:space="preserve"> variable “systems in place to mediate disputes between consumers and third-party sellers, and that these included automated and manual aspects</w:t>
      </w:r>
      <w:r w:rsidR="00FD1E12">
        <w:t>.</w:t>
      </w:r>
      <w:r w:rsidRPr="00C35704">
        <w:t>”</w:t>
      </w:r>
      <w:r>
        <w:rPr>
          <w:rStyle w:val="EndnoteReference"/>
        </w:rPr>
        <w:endnoteReference w:id="383"/>
      </w:r>
      <w:r w:rsidRPr="00C35704">
        <w:t xml:space="preserve"> </w:t>
      </w:r>
      <w:r w:rsidR="00FD1E12">
        <w:t>Digital platforms were found to have variability where some:</w:t>
      </w:r>
      <w:bookmarkEnd w:id="110"/>
      <w:r w:rsidR="00FD1E12">
        <w:t xml:space="preserve"> </w:t>
      </w:r>
    </w:p>
    <w:p w14:paraId="7A7F2106" w14:textId="4E37E1BF" w:rsidR="008D3941" w:rsidRDefault="00917CB8" w:rsidP="00470F77">
      <w:pPr>
        <w:pStyle w:val="ListParagraph"/>
        <w:numPr>
          <w:ilvl w:val="0"/>
          <w:numId w:val="60"/>
        </w:numPr>
      </w:pPr>
      <w:r w:rsidRPr="00C35704">
        <w:t>Provided some mediation services to consumers that used its payment system in relation to non-delivery of goods, non-complian</w:t>
      </w:r>
      <w:r w:rsidR="008D3941" w:rsidRPr="00C35704">
        <w:t>t goods and damaged goods but that dispute resolution was however not automated.</w:t>
      </w:r>
    </w:p>
    <w:p w14:paraId="7A22D84A" w14:textId="765850B7" w:rsidR="008D3941" w:rsidRDefault="00917CB8" w:rsidP="00470F77">
      <w:pPr>
        <w:pStyle w:val="ListParagraph"/>
        <w:numPr>
          <w:ilvl w:val="0"/>
          <w:numId w:val="60"/>
        </w:numPr>
      </w:pPr>
      <w:r w:rsidRPr="00C35704">
        <w:t xml:space="preserve">Provided a link to the online dispute resolution platform created by </w:t>
      </w:r>
      <w:r w:rsidR="008D3941">
        <w:t>government, including the</w:t>
      </w:r>
      <w:r w:rsidR="008D3941" w:rsidRPr="00C35704">
        <w:t xml:space="preserve"> European Commission</w:t>
      </w:r>
      <w:r w:rsidR="008D3941">
        <w:t xml:space="preserve"> or</w:t>
      </w:r>
      <w:r w:rsidR="008D3941" w:rsidRPr="00C35704">
        <w:t xml:space="preserve"> Brazil’s National Consumer Secretariat</w:t>
      </w:r>
    </w:p>
    <w:p w14:paraId="25D08B7E" w14:textId="77777777" w:rsidR="008D3941" w:rsidRDefault="008D3941" w:rsidP="00470F77">
      <w:pPr>
        <w:pStyle w:val="ListParagraph"/>
        <w:numPr>
          <w:ilvl w:val="0"/>
          <w:numId w:val="60"/>
        </w:numPr>
      </w:pPr>
      <w:r>
        <w:t>Demonstrated a range in response time from 1-2 days to several weeks</w:t>
      </w:r>
    </w:p>
    <w:p w14:paraId="4C8416F2" w14:textId="77777777" w:rsidR="008D3941" w:rsidRDefault="008D3941" w:rsidP="00470F77">
      <w:pPr>
        <w:pStyle w:val="ListParagraph"/>
        <w:numPr>
          <w:ilvl w:val="0"/>
          <w:numId w:val="60"/>
        </w:numPr>
      </w:pPr>
      <w:r>
        <w:t>Demonstrated v</w:t>
      </w:r>
      <w:r w:rsidRPr="00C35704">
        <w:t>ariability in having “a dedicated team responsible for processing reports from consumer protection authorities and co-ordinating platform responses”</w:t>
      </w:r>
    </w:p>
    <w:p w14:paraId="02712845" w14:textId="50DC4A28" w:rsidR="008D3941" w:rsidRDefault="008D3941" w:rsidP="00470F77">
      <w:pPr>
        <w:pStyle w:val="ListParagraph"/>
        <w:numPr>
          <w:ilvl w:val="0"/>
          <w:numId w:val="60"/>
        </w:numPr>
      </w:pPr>
      <w:r>
        <w:t>Demonstrated v</w:t>
      </w:r>
      <w:r w:rsidRPr="00C35704">
        <w:t>ariability in operationalizing regulatory tools, like “</w:t>
      </w:r>
      <w:r w:rsidR="006E1877">
        <w:t>[enabling</w:t>
      </w:r>
      <w:r w:rsidRPr="00C35704">
        <w:t>] authorities to send messages to sellers and buyers,” use of “trusted flaggers” to report and remove problematic listings, and “dedicated reporting tools for regulators and IP rights holders” and the like.</w:t>
      </w:r>
      <w:r w:rsidRPr="0073762B">
        <w:rPr>
          <w:rStyle w:val="EndnoteReference"/>
        </w:rPr>
        <w:t xml:space="preserve"> </w:t>
      </w:r>
      <w:r>
        <w:rPr>
          <w:rStyle w:val="EndnoteReference"/>
        </w:rPr>
        <w:endnoteReference w:id="384"/>
      </w:r>
    </w:p>
    <w:p w14:paraId="0B2FA12E" w14:textId="77777777" w:rsidR="00FD1E12" w:rsidRDefault="00FD1E12" w:rsidP="008D3941">
      <w:pPr>
        <w:spacing w:after="0"/>
        <w:rPr>
          <w:b/>
          <w:bCs/>
          <w:highlight w:val="lightGray"/>
          <w:lang w:val="en-US"/>
        </w:rPr>
      </w:pPr>
    </w:p>
    <w:p w14:paraId="4A229730" w14:textId="596B79E1" w:rsidR="008D3941" w:rsidRPr="0073762B" w:rsidRDefault="008D3941" w:rsidP="008D3941">
      <w:pPr>
        <w:spacing w:after="0"/>
        <w:rPr>
          <w:b/>
          <w:bCs/>
          <w:highlight w:val="lightGray"/>
          <w:lang w:val="en-US"/>
        </w:rPr>
      </w:pPr>
      <w:r w:rsidRPr="0073762B">
        <w:rPr>
          <w:b/>
          <w:bCs/>
          <w:highlight w:val="lightGray"/>
          <w:lang w:val="en-US"/>
        </w:rPr>
        <w:t xml:space="preserve">[SIDEBAR: Facebook’s Dispute Resolution Process. </w:t>
      </w:r>
    </w:p>
    <w:p w14:paraId="2C0EE827" w14:textId="238A5846" w:rsidR="008D3941" w:rsidRPr="0073762B" w:rsidRDefault="008D3941" w:rsidP="008D3941">
      <w:pPr>
        <w:rPr>
          <w:highlight w:val="lightGray"/>
        </w:rPr>
      </w:pPr>
      <w:r w:rsidRPr="0073762B">
        <w:rPr>
          <w:highlight w:val="lightGray"/>
        </w:rPr>
        <w:t xml:space="preserve">In 2022 </w:t>
      </w:r>
      <w:r w:rsidR="00777700">
        <w:rPr>
          <w:highlight w:val="lightGray"/>
        </w:rPr>
        <w:t>it</w:t>
      </w:r>
      <w:r w:rsidRPr="0073762B">
        <w:rPr>
          <w:highlight w:val="lightGray"/>
        </w:rPr>
        <w:t xml:space="preserve"> was disclosed that Facebook’s internal appeal mechanism to review content removal and account bans received over </w:t>
      </w:r>
      <w:r w:rsidR="008544AE">
        <w:rPr>
          <w:highlight w:val="lightGray"/>
        </w:rPr>
        <w:t xml:space="preserve">a </w:t>
      </w:r>
      <w:r w:rsidRPr="0073762B">
        <w:rPr>
          <w:highlight w:val="lightGray"/>
        </w:rPr>
        <w:t>million applications for review from users in it’s first 18 months.</w:t>
      </w:r>
      <w:r w:rsidRPr="0073762B">
        <w:rPr>
          <w:rStyle w:val="EndnoteReference"/>
          <w:highlight w:val="lightGray"/>
        </w:rPr>
        <w:endnoteReference w:id="385"/>
      </w:r>
      <w:r w:rsidRPr="0073762B">
        <w:rPr>
          <w:highlight w:val="lightGray"/>
        </w:rPr>
        <w:t xml:space="preserve"> This surely makes Facebook one of the busiest dispute resolution services on Earth.</w:t>
      </w:r>
    </w:p>
    <w:p w14:paraId="52ECF73C" w14:textId="77777777" w:rsidR="008D3941" w:rsidRPr="0073762B" w:rsidRDefault="008D3941" w:rsidP="008D3941">
      <w:r w:rsidRPr="0073762B">
        <w:rPr>
          <w:highlight w:val="lightGray"/>
        </w:rPr>
        <w:t xml:space="preserve">On the one hand, this appears to provide an admirable level of service and accessibility, if only demonstrated through the sheer number of applications accepted. On the other hand, Facebook’s form of private governance has been strongly criticized as falling far short of consumer expectations of </w:t>
      </w:r>
      <w:r w:rsidRPr="0073762B">
        <w:rPr>
          <w:highlight w:val="lightGray"/>
        </w:rPr>
        <w:lastRenderedPageBreak/>
        <w:t>administrative impartiality, fairness and due process, especially as compared to a civil court.</w:t>
      </w:r>
      <w:r w:rsidRPr="0073762B">
        <w:rPr>
          <w:rStyle w:val="EndnoteReference"/>
          <w:highlight w:val="lightGray"/>
        </w:rPr>
        <w:endnoteReference w:id="386"/>
      </w:r>
      <w:r w:rsidRPr="0073762B">
        <w:rPr>
          <w:highlight w:val="lightGray"/>
        </w:rPr>
        <w:t xml:space="preserve"> Among the concerns are that Facebook’s internal policies (on which applications may be decided) are not always clear or published, making it difficult or impossible to mount an effective case (especially for an unrepresented lay person).</w:t>
      </w:r>
      <w:r w:rsidRPr="0073762B">
        <w:rPr>
          <w:rStyle w:val="EndnoteReference"/>
          <w:highlight w:val="lightGray"/>
        </w:rPr>
        <w:endnoteReference w:id="387"/>
      </w:r>
      <w:r w:rsidRPr="0073762B">
        <w:rPr>
          <w:highlight w:val="lightGray"/>
        </w:rPr>
        <w:t xml:space="preserve"> Facebook’s policies are also crafted by a panel of experts appointed and employed by Facebook, and appointed by CEO Mark Zuckerberg. With significant questions about transparency, the system is criticized as being a self-serving 21</w:t>
      </w:r>
      <w:r w:rsidRPr="0073762B">
        <w:rPr>
          <w:highlight w:val="lightGray"/>
          <w:vertAlign w:val="superscript"/>
        </w:rPr>
        <w:t>st</w:t>
      </w:r>
      <w:r w:rsidRPr="0073762B">
        <w:rPr>
          <w:highlight w:val="lightGray"/>
        </w:rPr>
        <w:t xml:space="preserve"> century Star Chamber.</w:t>
      </w:r>
      <w:r w:rsidRPr="0073762B">
        <w:rPr>
          <w:rStyle w:val="EndnoteReference"/>
          <w:highlight w:val="lightGray"/>
        </w:rPr>
        <w:endnoteReference w:id="388"/>
      </w:r>
    </w:p>
    <w:p w14:paraId="286417AE" w14:textId="754DB233" w:rsidR="008D3941" w:rsidRDefault="006E1877" w:rsidP="008D3941">
      <w:pPr>
        <w:rPr>
          <w:rFonts w:cs="Times New Roman"/>
          <w:szCs w:val="24"/>
          <w:lang w:val="en-US"/>
        </w:rPr>
      </w:pPr>
      <w:r>
        <w:rPr>
          <w:rFonts w:cs="Times New Roman"/>
          <w:szCs w:val="24"/>
          <w:lang w:val="en-US"/>
        </w:rPr>
        <w:t xml:space="preserve">In response to these issues, </w:t>
      </w:r>
      <w:r w:rsidR="008D3941">
        <w:rPr>
          <w:rFonts w:cs="Times New Roman"/>
          <w:szCs w:val="24"/>
          <w:lang w:val="en-US"/>
        </w:rPr>
        <w:t xml:space="preserve">the CPA </w:t>
      </w:r>
      <w:r>
        <w:rPr>
          <w:rFonts w:cs="Times New Roman"/>
          <w:szCs w:val="24"/>
          <w:lang w:val="en-US"/>
        </w:rPr>
        <w:t xml:space="preserve">could </w:t>
      </w:r>
      <w:r w:rsidR="008D3941">
        <w:rPr>
          <w:rFonts w:cs="Times New Roman"/>
          <w:szCs w:val="24"/>
          <w:lang w:val="en-US"/>
        </w:rPr>
        <w:t xml:space="preserve">be updated with a set of clear and actionable principles </w:t>
      </w:r>
      <w:r>
        <w:rPr>
          <w:rFonts w:cs="Times New Roman"/>
          <w:szCs w:val="24"/>
          <w:lang w:val="en-US"/>
        </w:rPr>
        <w:t xml:space="preserve">governing </w:t>
      </w:r>
      <w:r w:rsidR="008D3941">
        <w:rPr>
          <w:rFonts w:cs="Times New Roman"/>
          <w:szCs w:val="24"/>
          <w:lang w:val="en-US"/>
        </w:rPr>
        <w:t>informal dispute resolution with consumers. Th</w:t>
      </w:r>
      <w:r>
        <w:rPr>
          <w:rFonts w:cs="Times New Roman"/>
          <w:szCs w:val="24"/>
          <w:lang w:val="en-US"/>
        </w:rPr>
        <w:t xml:space="preserve">is reform could </w:t>
      </w:r>
      <w:r w:rsidR="008D3941">
        <w:rPr>
          <w:rFonts w:cs="Times New Roman"/>
          <w:szCs w:val="24"/>
          <w:lang w:val="en-US"/>
        </w:rPr>
        <w:t>establish an equal playing field among businesses while normalizing meaningful access to justice for consumers in everyday transactions.</w:t>
      </w:r>
    </w:p>
    <w:p w14:paraId="22ED3552" w14:textId="207B08BF" w:rsidR="008D3941" w:rsidRDefault="008D3941" w:rsidP="008D3941">
      <w:r>
        <w:rPr>
          <w:rFonts w:cs="Times New Roman"/>
          <w:szCs w:val="24"/>
          <w:lang w:val="en-US"/>
        </w:rPr>
        <w:t xml:space="preserve">This also reflects the momentum in other jurisdictions. For instance, the EU </w:t>
      </w:r>
      <w:r w:rsidRPr="00E0488C">
        <w:rPr>
          <w:rFonts w:cs="Times New Roman"/>
          <w:i/>
          <w:iCs/>
          <w:szCs w:val="24"/>
          <w:lang w:val="en-US"/>
        </w:rPr>
        <w:t>Digital Services Act</w:t>
      </w:r>
      <w:r>
        <w:rPr>
          <w:rFonts w:cs="Times New Roman"/>
          <w:szCs w:val="24"/>
          <w:lang w:val="en-US"/>
        </w:rPr>
        <w:t xml:space="preserve"> (2022) aims to:</w:t>
      </w:r>
    </w:p>
    <w:p w14:paraId="01234CBB" w14:textId="2DD948A0" w:rsidR="008D3941" w:rsidRDefault="008D3941">
      <w:pPr>
        <w:pStyle w:val="Quote"/>
        <w:jc w:val="left"/>
      </w:pPr>
      <w:r>
        <w:t>“increase online marketplaces’ liability in certain contexts by imposing obligations to… establish internal complaint handling systems, engage in alternative dispute resolution to resolve conflicts with consumers, give priority to notifications by users that have been designated as “trusted flaggers” by consumer protection authorities and suspend third-party sellers that repeatedly infringe consumer protection requirements.”</w:t>
      </w:r>
      <w:r>
        <w:rPr>
          <w:rStyle w:val="EndnoteReference"/>
        </w:rPr>
        <w:endnoteReference w:id="389"/>
      </w:r>
    </w:p>
    <w:p w14:paraId="4617D1D4" w14:textId="77777777" w:rsidR="001E4AD7" w:rsidRDefault="001E4AD7" w:rsidP="001E4AD7"/>
    <w:p w14:paraId="03C3F48D" w14:textId="3C17DF72" w:rsidR="001E4AD7" w:rsidRPr="001E4AD7" w:rsidRDefault="001E4AD7" w:rsidP="008546ED">
      <w:r>
        <w:t>Notably, the DSA “</w:t>
      </w:r>
      <w:r w:rsidRPr="001E4AD7">
        <w:t xml:space="preserve">includes a granular set of requirements that apply to different sorts of intermediaries of different sizes” </w:t>
      </w:r>
      <w:r>
        <w:t>to</w:t>
      </w:r>
      <w:r w:rsidRPr="001E4AD7">
        <w:t xml:space="preserve"> tailor appropriate obligations to businesses that can meet them</w:t>
      </w:r>
      <w:r>
        <w:t>.</w:t>
      </w:r>
      <w:r>
        <w:rPr>
          <w:rStyle w:val="EndnoteReference"/>
        </w:rPr>
        <w:endnoteReference w:id="390"/>
      </w:r>
      <w:r>
        <w:t xml:space="preserve"> The definition of such systems in leading jurisdictions like the EU suggest it may be easier for Ontario to follow.</w:t>
      </w:r>
      <w:r w:rsidR="00223D8D">
        <w:rPr>
          <w:rStyle w:val="EndnoteReference"/>
        </w:rPr>
        <w:endnoteReference w:id="391"/>
      </w:r>
    </w:p>
    <w:p w14:paraId="70E166AF" w14:textId="77777777" w:rsidR="00D6493A" w:rsidRDefault="00D6493A" w:rsidP="00FC7DF2"/>
    <w:p w14:paraId="3F70B921" w14:textId="068D0D49" w:rsidR="00FC7DF2" w:rsidRDefault="00F34AB4" w:rsidP="002E4280">
      <w:pPr>
        <w:pStyle w:val="Heading3"/>
        <w:rPr>
          <w:lang w:val="en-US"/>
        </w:rPr>
      </w:pPr>
      <w:bookmarkStart w:id="111" w:name="_Toc138151879"/>
      <w:r>
        <w:rPr>
          <w:lang w:val="en-US"/>
        </w:rPr>
        <w:t>11.</w:t>
      </w:r>
      <w:r w:rsidR="002E4280">
        <w:rPr>
          <w:lang w:val="en-US"/>
        </w:rPr>
        <w:t>2.5</w:t>
      </w:r>
      <w:r w:rsidR="002E4280">
        <w:rPr>
          <w:lang w:val="en-US"/>
        </w:rPr>
        <w:tab/>
      </w:r>
      <w:r w:rsidR="00FC7DF2">
        <w:rPr>
          <w:lang w:val="en-US"/>
        </w:rPr>
        <w:t>Improve Consumer Rights Advocacy</w:t>
      </w:r>
      <w:r w:rsidR="003809DA">
        <w:rPr>
          <w:lang w:val="en-US"/>
        </w:rPr>
        <w:t xml:space="preserve"> and Litigation Assistance</w:t>
      </w:r>
      <w:bookmarkEnd w:id="111"/>
    </w:p>
    <w:p w14:paraId="23DA26CB" w14:textId="77777777" w:rsidR="00FC7DF2" w:rsidRDefault="00FC7DF2" w:rsidP="00FC7DF2">
      <w:pPr>
        <w:rPr>
          <w:rFonts w:cs="Times New Roman"/>
          <w:szCs w:val="24"/>
          <w:lang w:val="en-US"/>
        </w:rPr>
      </w:pPr>
    </w:p>
    <w:p w14:paraId="502D1E0B" w14:textId="45219C7B" w:rsidR="008D3941" w:rsidRDefault="008D3941" w:rsidP="008D3941">
      <w:pPr>
        <w:rPr>
          <w:rFonts w:cs="Times New Roman"/>
          <w:szCs w:val="24"/>
          <w:lang w:val="en-US"/>
        </w:rPr>
      </w:pPr>
      <w:r w:rsidRPr="00FC7DF2">
        <w:rPr>
          <w:rFonts w:cs="Times New Roman"/>
          <w:szCs w:val="24"/>
          <w:lang w:val="en-US"/>
        </w:rPr>
        <w:t>Consumers can file complaints with Consumer Protection Ontario, wh</w:t>
      </w:r>
      <w:r w:rsidR="00917CB8">
        <w:rPr>
          <w:rFonts w:cs="Times New Roman"/>
          <w:szCs w:val="24"/>
          <w:lang w:val="en-US"/>
        </w:rPr>
        <w:t>ich</w:t>
      </w:r>
      <w:r w:rsidRPr="00FC7DF2">
        <w:rPr>
          <w:rFonts w:cs="Times New Roman"/>
          <w:szCs w:val="24"/>
          <w:lang w:val="en-US"/>
        </w:rPr>
        <w:t xml:space="preserve"> can provide information, education, and potentially investigate a complaint. However</w:t>
      </w:r>
      <w:r w:rsidR="00917CB8">
        <w:rPr>
          <w:rFonts w:cs="Times New Roman"/>
          <w:szCs w:val="24"/>
          <w:lang w:val="en-US"/>
        </w:rPr>
        <w:t>,</w:t>
      </w:r>
      <w:r w:rsidRPr="00FC7DF2">
        <w:rPr>
          <w:rFonts w:cs="Times New Roman"/>
          <w:szCs w:val="24"/>
          <w:lang w:val="en-US"/>
        </w:rPr>
        <w:t xml:space="preserve"> this </w:t>
      </w:r>
      <w:r w:rsidR="006E1877">
        <w:rPr>
          <w:rFonts w:cs="Times New Roman"/>
          <w:szCs w:val="24"/>
          <w:lang w:val="en-US"/>
        </w:rPr>
        <w:t xml:space="preserve">process does not </w:t>
      </w:r>
      <w:r w:rsidRPr="00FC7DF2">
        <w:rPr>
          <w:rFonts w:cs="Times New Roman"/>
          <w:szCs w:val="24"/>
          <w:lang w:val="en-US"/>
        </w:rPr>
        <w:t>amount to advocacy or summary advice for consumers</w:t>
      </w:r>
      <w:r>
        <w:rPr>
          <w:rFonts w:cs="Times New Roman"/>
          <w:szCs w:val="24"/>
          <w:lang w:val="en-US"/>
        </w:rPr>
        <w:t xml:space="preserve">, nor does it </w:t>
      </w:r>
      <w:r w:rsidR="006E1877">
        <w:rPr>
          <w:rFonts w:cs="Times New Roman"/>
          <w:szCs w:val="24"/>
          <w:lang w:val="en-US"/>
        </w:rPr>
        <w:t xml:space="preserve">ensure or promote </w:t>
      </w:r>
      <w:r>
        <w:rPr>
          <w:rFonts w:cs="Times New Roman"/>
          <w:szCs w:val="24"/>
          <w:lang w:val="en-US"/>
        </w:rPr>
        <w:t xml:space="preserve">impartial </w:t>
      </w:r>
      <w:r w:rsidR="006E1877">
        <w:rPr>
          <w:rFonts w:cs="Times New Roman"/>
          <w:szCs w:val="24"/>
          <w:lang w:val="en-US"/>
        </w:rPr>
        <w:t xml:space="preserve">consumer </w:t>
      </w:r>
      <w:r>
        <w:rPr>
          <w:rFonts w:cs="Times New Roman"/>
          <w:szCs w:val="24"/>
          <w:lang w:val="en-US"/>
        </w:rPr>
        <w:t>advice.</w:t>
      </w:r>
    </w:p>
    <w:p w14:paraId="6DE6678E" w14:textId="185E2C18" w:rsidR="008D3941" w:rsidRDefault="008D3941" w:rsidP="008D3941">
      <w:pPr>
        <w:rPr>
          <w:rFonts w:cs="Times New Roman"/>
          <w:szCs w:val="24"/>
          <w:lang w:val="en-US"/>
        </w:rPr>
      </w:pPr>
      <w:r w:rsidRPr="1F5E9E68">
        <w:rPr>
          <w:rFonts w:cs="Times New Roman"/>
          <w:lang w:val="en-US"/>
        </w:rPr>
        <w:t xml:space="preserve">In Ontario the </w:t>
      </w:r>
      <w:r w:rsidRPr="1F5E9E68">
        <w:rPr>
          <w:rFonts w:cs="Times New Roman"/>
          <w:i/>
          <w:iCs/>
          <w:lang w:val="en-US"/>
        </w:rPr>
        <w:t>Legal Aid Services Act</w:t>
      </w:r>
      <w:r w:rsidRPr="1F5E9E68">
        <w:rPr>
          <w:rFonts w:cs="Times New Roman"/>
          <w:lang w:val="en-US"/>
        </w:rPr>
        <w:t xml:space="preserve"> </w:t>
      </w:r>
      <w:r w:rsidR="006727D3" w:rsidRPr="1F5E9E68">
        <w:rPr>
          <w:rFonts w:cs="Times New Roman"/>
          <w:lang w:val="en-US"/>
        </w:rPr>
        <w:t xml:space="preserve">defines coverage for a range of legal needs for eligible applicants but does not include </w:t>
      </w:r>
      <w:r w:rsidRPr="1F5E9E68">
        <w:rPr>
          <w:rFonts w:cs="Times New Roman"/>
          <w:lang w:val="en-US"/>
        </w:rPr>
        <w:t>coverage for consumer rights issues.</w:t>
      </w:r>
      <w:r w:rsidRPr="1F5E9E68">
        <w:rPr>
          <w:rStyle w:val="EndnoteReference"/>
          <w:rFonts w:cs="Times New Roman"/>
          <w:lang w:val="en-US"/>
        </w:rPr>
        <w:endnoteReference w:id="392"/>
      </w:r>
      <w:r w:rsidRPr="1F5E9E68">
        <w:rPr>
          <w:rFonts w:cs="Times New Roman"/>
          <w:lang w:val="en-US"/>
        </w:rPr>
        <w:t xml:space="preserve"> </w:t>
      </w:r>
      <w:r w:rsidR="006E1877">
        <w:rPr>
          <w:rFonts w:cs="Times New Roman"/>
          <w:lang w:val="en-US"/>
        </w:rPr>
        <w:t>T</w:t>
      </w:r>
      <w:r w:rsidR="006727D3" w:rsidRPr="1F5E9E68">
        <w:rPr>
          <w:rFonts w:cs="Times New Roman"/>
          <w:lang w:val="en-US"/>
        </w:rPr>
        <w:t>he Act does</w:t>
      </w:r>
      <w:r w:rsidR="006E1877">
        <w:rPr>
          <w:rFonts w:cs="Times New Roman"/>
          <w:lang w:val="en-US"/>
        </w:rPr>
        <w:t>, however,</w:t>
      </w:r>
      <w:r w:rsidR="006727D3" w:rsidRPr="1F5E9E68">
        <w:rPr>
          <w:rFonts w:cs="Times New Roman"/>
          <w:lang w:val="en-US"/>
        </w:rPr>
        <w:t xml:space="preserve"> provide for “poverty law services” defined in a non-exclusive list as “being law in relation to matters that particularly affect low-income individuals, including housing and shelter, income maintenance and social assistance.”</w:t>
      </w:r>
      <w:r w:rsidRPr="1F5E9E68">
        <w:rPr>
          <w:rStyle w:val="EndnoteReference"/>
          <w:rFonts w:cs="Times New Roman"/>
          <w:lang w:val="en-US"/>
        </w:rPr>
        <w:endnoteReference w:id="393"/>
      </w:r>
      <w:r w:rsidRPr="1F5E9E68">
        <w:rPr>
          <w:rFonts w:cs="Times New Roman"/>
          <w:lang w:val="en-US"/>
        </w:rPr>
        <w:t xml:space="preserve"> </w:t>
      </w:r>
      <w:r w:rsidRPr="000C7709">
        <w:rPr>
          <w:rFonts w:cs="Times New Roman"/>
          <w:lang w:val="en-US"/>
        </w:rPr>
        <w:t xml:space="preserve">The 2009 </w:t>
      </w:r>
      <w:r w:rsidRPr="000C7709">
        <w:rPr>
          <w:rFonts w:cs="Times New Roman"/>
          <w:i/>
          <w:iCs/>
          <w:lang w:val="en-US"/>
        </w:rPr>
        <w:t>Civil Legal Needs Report</w:t>
      </w:r>
      <w:r w:rsidRPr="000C7709">
        <w:rPr>
          <w:rFonts w:cs="Times New Roman"/>
          <w:lang w:val="en-US"/>
        </w:rPr>
        <w:t xml:space="preserve"> in fact notes that consumer issues are identified as the second greatest legal need, and second only to family law disputes.</w:t>
      </w:r>
      <w:r w:rsidRPr="000C7709">
        <w:rPr>
          <w:rStyle w:val="EndnoteReference"/>
          <w:rFonts w:cs="Times New Roman"/>
          <w:lang w:val="en-US"/>
        </w:rPr>
        <w:endnoteReference w:id="394"/>
      </w:r>
    </w:p>
    <w:p w14:paraId="55E02C27" w14:textId="6FCE427F" w:rsidR="00686F5D" w:rsidRDefault="008D3941" w:rsidP="008D3941">
      <w:pPr>
        <w:rPr>
          <w:rFonts w:cs="Times New Roman"/>
          <w:lang w:val="en-US"/>
        </w:rPr>
      </w:pPr>
      <w:r w:rsidRPr="1F5E9E68">
        <w:rPr>
          <w:rFonts w:cs="Times New Roman"/>
          <w:lang w:val="en-US"/>
        </w:rPr>
        <w:t xml:space="preserve">In March 2023 the Ministry hosted a consultation with consumer groups to comment on the CPA review. One key recommendation was to address the need for effective </w:t>
      </w:r>
      <w:r w:rsidR="00686F5D">
        <w:rPr>
          <w:rFonts w:cs="Times New Roman"/>
          <w:lang w:val="en-US"/>
        </w:rPr>
        <w:t xml:space="preserve">province-wide </w:t>
      </w:r>
      <w:r w:rsidRPr="1F5E9E68">
        <w:rPr>
          <w:rFonts w:cs="Times New Roman"/>
          <w:lang w:val="en-US"/>
        </w:rPr>
        <w:t xml:space="preserve">consumer rights advocacy. </w:t>
      </w:r>
      <w:r w:rsidR="000C7709">
        <w:rPr>
          <w:rFonts w:cs="Times New Roman"/>
          <w:lang w:val="en-US"/>
        </w:rPr>
        <w:t xml:space="preserve">Proponents described the need to fill this void with an independent agency dedicated to </w:t>
      </w:r>
      <w:r w:rsidRPr="1F5E9E68">
        <w:rPr>
          <w:rFonts w:cs="Times New Roman"/>
          <w:lang w:val="en-US"/>
        </w:rPr>
        <w:t>consumer-oriented advocacy and education, including policy development, litigation, and consumer litigation support.</w:t>
      </w:r>
      <w:r w:rsidRPr="1F5E9E68">
        <w:rPr>
          <w:rStyle w:val="EndnoteReference"/>
          <w:rFonts w:cs="Times New Roman"/>
          <w:lang w:val="en-US"/>
        </w:rPr>
        <w:endnoteReference w:id="395"/>
      </w:r>
      <w:r w:rsidR="000C7709">
        <w:rPr>
          <w:rFonts w:cs="Times New Roman"/>
          <w:lang w:val="en-US"/>
        </w:rPr>
        <w:t xml:space="preserve"> </w:t>
      </w:r>
      <w:r w:rsidR="00686F5D">
        <w:rPr>
          <w:rFonts w:cs="Times New Roman"/>
          <w:lang w:val="en-US"/>
        </w:rPr>
        <w:t>It was particularly noted that such an agency should focus on new issues in the digital marketplace.</w:t>
      </w:r>
    </w:p>
    <w:p w14:paraId="3B1FB171" w14:textId="318F0CC2" w:rsidR="008D3941" w:rsidRPr="00FC7DF2" w:rsidRDefault="00E1751F" w:rsidP="008D3941">
      <w:pPr>
        <w:rPr>
          <w:rFonts w:cs="Times New Roman"/>
          <w:szCs w:val="24"/>
          <w:lang w:val="en-US"/>
        </w:rPr>
      </w:pPr>
      <w:r>
        <w:rPr>
          <w:rFonts w:cs="Times New Roman"/>
          <w:lang w:val="en-US"/>
        </w:rPr>
        <w:lastRenderedPageBreak/>
        <w:t xml:space="preserve">There is apparently no organization in Ontario that serves these needs. </w:t>
      </w:r>
      <w:r w:rsidR="000C7709">
        <w:rPr>
          <w:rFonts w:cs="Times New Roman"/>
          <w:lang w:val="en-US"/>
        </w:rPr>
        <w:t>The LCO welcomes suggestions on how an organization could be established best suited to fulfilling consumer advocacy needs</w:t>
      </w:r>
      <w:r w:rsidR="003809DA">
        <w:rPr>
          <w:rFonts w:cs="Times New Roman"/>
          <w:lang w:val="en-US"/>
        </w:rPr>
        <w:t xml:space="preserve"> </w:t>
      </w:r>
      <w:r w:rsidR="000C7709">
        <w:rPr>
          <w:rFonts w:cs="Times New Roman"/>
          <w:lang w:val="en-US"/>
        </w:rPr>
        <w:t>and achieving the envisioned mandate.</w:t>
      </w:r>
    </w:p>
    <w:p w14:paraId="4D0A4B26" w14:textId="77777777" w:rsidR="00F34AB4" w:rsidRPr="007A41A0" w:rsidRDefault="00F34AB4" w:rsidP="001373AD">
      <w:pPr>
        <w:rPr>
          <w:b/>
          <w:bCs/>
        </w:rPr>
      </w:pPr>
    </w:p>
    <w:p w14:paraId="70AF5A59" w14:textId="31231B3B" w:rsidR="00635E48" w:rsidRDefault="00F34AB4" w:rsidP="0034557E">
      <w:pPr>
        <w:pStyle w:val="Heading3"/>
      </w:pPr>
      <w:bookmarkStart w:id="112" w:name="_Toc138151880"/>
      <w:r>
        <w:t>11.</w:t>
      </w:r>
      <w:r w:rsidR="0034557E">
        <w:t>2.6</w:t>
      </w:r>
      <w:r w:rsidR="0034557E">
        <w:tab/>
      </w:r>
      <w:r w:rsidR="00C52D1E">
        <w:t>Build</w:t>
      </w:r>
      <w:r w:rsidR="00635E48">
        <w:t xml:space="preserve"> </w:t>
      </w:r>
      <w:r w:rsidR="00DC7B4D">
        <w:t xml:space="preserve">More </w:t>
      </w:r>
      <w:r w:rsidR="006E4537">
        <w:t>Proactive</w:t>
      </w:r>
      <w:r w:rsidR="00DC7B4D">
        <w:t xml:space="preserve"> </w:t>
      </w:r>
      <w:r w:rsidR="00C35704">
        <w:t>Means for Systemic</w:t>
      </w:r>
      <w:r w:rsidR="00DC7B4D">
        <w:t xml:space="preserve"> </w:t>
      </w:r>
      <w:r w:rsidR="00C35704">
        <w:t>Investigation, Redress,</w:t>
      </w:r>
      <w:r w:rsidR="00C52D1E">
        <w:t xml:space="preserve"> and Legislative Enforcement</w:t>
      </w:r>
      <w:bookmarkEnd w:id="112"/>
    </w:p>
    <w:p w14:paraId="6DE76BEF" w14:textId="61C607C2" w:rsidR="00635E48" w:rsidRDefault="00635E48" w:rsidP="00FF7529">
      <w:pPr>
        <w:pStyle w:val="Heading3"/>
      </w:pPr>
    </w:p>
    <w:p w14:paraId="57292A29" w14:textId="289246D0" w:rsidR="00487BD7" w:rsidRDefault="00F60F54" w:rsidP="00F60F54">
      <w:pPr>
        <w:spacing w:after="0"/>
        <w:rPr>
          <w:lang w:val="en-US"/>
        </w:rPr>
      </w:pPr>
      <w:r>
        <w:rPr>
          <w:lang w:val="en-US"/>
        </w:rPr>
        <w:t xml:space="preserve">Consumers may also often find it impractical to enforce their rights under the CPA, particularly for the kinds of routine transactions and activities that take place in the digital marketplace. </w:t>
      </w:r>
      <w:r w:rsidR="002B7A3B">
        <w:rPr>
          <w:lang w:val="en-US"/>
        </w:rPr>
        <w:t xml:space="preserve">The sheer number and scope of supplier practices, and the considerable diversity and volume of ToS contracts points to the need for more proactive and systemic </w:t>
      </w:r>
      <w:r>
        <w:rPr>
          <w:lang w:val="en-US"/>
        </w:rPr>
        <w:t>forms of investigation, redress, and legislative enforcement.</w:t>
      </w:r>
    </w:p>
    <w:p w14:paraId="73B0D174" w14:textId="77777777" w:rsidR="00487BD7" w:rsidRDefault="00487BD7" w:rsidP="00F60F54">
      <w:pPr>
        <w:spacing w:after="0"/>
        <w:rPr>
          <w:lang w:val="en-US"/>
        </w:rPr>
      </w:pPr>
    </w:p>
    <w:p w14:paraId="03425AF2" w14:textId="77777777" w:rsidR="00487BD7" w:rsidRDefault="00487BD7" w:rsidP="00F60F54">
      <w:pPr>
        <w:spacing w:after="0"/>
        <w:rPr>
          <w:lang w:val="en-US"/>
        </w:rPr>
      </w:pPr>
      <w:r>
        <w:rPr>
          <w:lang w:val="en-US"/>
        </w:rPr>
        <w:t>Key proposals that the LCO has been made aware of include:</w:t>
      </w:r>
    </w:p>
    <w:p w14:paraId="447B8EDD" w14:textId="77777777" w:rsidR="00487BD7" w:rsidRDefault="00487BD7" w:rsidP="00F60F54">
      <w:pPr>
        <w:spacing w:after="0"/>
        <w:rPr>
          <w:lang w:val="en-US"/>
        </w:rPr>
      </w:pPr>
    </w:p>
    <w:p w14:paraId="5C04F8FB" w14:textId="0EB35822" w:rsidR="00F60F54" w:rsidRDefault="00487BD7" w:rsidP="00487BD7">
      <w:pPr>
        <w:pStyle w:val="ListParagraph"/>
        <w:numPr>
          <w:ilvl w:val="0"/>
          <w:numId w:val="86"/>
        </w:numPr>
        <w:spacing w:after="0"/>
        <w:rPr>
          <w:lang w:val="en-US"/>
        </w:rPr>
      </w:pPr>
      <w:r>
        <w:rPr>
          <w:lang w:val="en-US"/>
        </w:rPr>
        <w:t>A need for more resources for the Ministry to investigate and charge businesses for breaches of the CPA</w:t>
      </w:r>
    </w:p>
    <w:p w14:paraId="0D388510" w14:textId="473F112B" w:rsidR="00B9554E" w:rsidRDefault="00B9554E" w:rsidP="00487BD7">
      <w:pPr>
        <w:pStyle w:val="ListParagraph"/>
        <w:numPr>
          <w:ilvl w:val="0"/>
          <w:numId w:val="86"/>
        </w:numPr>
        <w:spacing w:after="0"/>
        <w:rPr>
          <w:lang w:val="en-US"/>
        </w:rPr>
      </w:pPr>
      <w:r>
        <w:rPr>
          <w:lang w:val="en-US"/>
        </w:rPr>
        <w:t>The need for more systemic investigations, transparent reports and findings, and stronger penalties to set clear standards and encourage general compliance</w:t>
      </w:r>
    </w:p>
    <w:p w14:paraId="2C64D97E" w14:textId="588F518D" w:rsidR="00487BD7" w:rsidRDefault="00B9554E" w:rsidP="00487BD7">
      <w:pPr>
        <w:pStyle w:val="ListParagraph"/>
        <w:numPr>
          <w:ilvl w:val="0"/>
          <w:numId w:val="86"/>
        </w:numPr>
        <w:spacing w:after="0"/>
        <w:rPr>
          <w:lang w:val="en-US"/>
        </w:rPr>
      </w:pPr>
      <w:r>
        <w:rPr>
          <w:lang w:val="en-US"/>
        </w:rPr>
        <w:t>Issuing of CPA interpretation and compliance guidance related to, for instance, CPA terms like disclosure, unconscionability, unconscionable presentation, vulnerable groups, key information and market contexts relevant to practices in the digital marketplace</w:t>
      </w:r>
    </w:p>
    <w:p w14:paraId="03E84705" w14:textId="5B8CF7C4" w:rsidR="00B605D9" w:rsidRDefault="00B605D9" w:rsidP="00487BD7">
      <w:pPr>
        <w:pStyle w:val="ListParagraph"/>
        <w:numPr>
          <w:ilvl w:val="0"/>
          <w:numId w:val="86"/>
        </w:numPr>
        <w:spacing w:after="0"/>
        <w:rPr>
          <w:lang w:val="en-US"/>
        </w:rPr>
      </w:pPr>
      <w:r>
        <w:rPr>
          <w:lang w:val="en-US"/>
        </w:rPr>
        <w:t>Issuing of CPA interpretation and compliance guidance related to intersecting areas of law, such as consumer protection with data and privacy governance</w:t>
      </w:r>
    </w:p>
    <w:p w14:paraId="2EC85A80" w14:textId="5C420C0A" w:rsidR="00B9554E" w:rsidRDefault="00B9554E" w:rsidP="00487BD7">
      <w:pPr>
        <w:pStyle w:val="ListParagraph"/>
        <w:numPr>
          <w:ilvl w:val="0"/>
          <w:numId w:val="86"/>
        </w:numPr>
        <w:spacing w:after="0"/>
        <w:rPr>
          <w:lang w:val="en-US"/>
        </w:rPr>
      </w:pPr>
      <w:r>
        <w:rPr>
          <w:lang w:val="en-US"/>
        </w:rPr>
        <w:t>Facilitating closer engagement with businesses and consumers to discuss challenging issues related to digital marketplace practices</w:t>
      </w:r>
      <w:r w:rsidR="00FF76FB">
        <w:rPr>
          <w:lang w:val="en-US"/>
        </w:rPr>
        <w:t>, such as those outlined in this consultation paper</w:t>
      </w:r>
    </w:p>
    <w:p w14:paraId="7E27854D" w14:textId="307E0C61" w:rsidR="00B9554E" w:rsidRPr="00487BD7" w:rsidRDefault="00B9554E" w:rsidP="008546ED">
      <w:pPr>
        <w:pStyle w:val="ListParagraph"/>
        <w:numPr>
          <w:ilvl w:val="0"/>
          <w:numId w:val="86"/>
        </w:numPr>
        <w:spacing w:after="0"/>
        <w:rPr>
          <w:lang w:val="en-US"/>
        </w:rPr>
      </w:pPr>
      <w:r>
        <w:rPr>
          <w:lang w:val="en-US"/>
        </w:rPr>
        <w:t>Ongoing review of the ToS of major suppliers and businesses to better encourage jurisdictional compliance.</w:t>
      </w:r>
    </w:p>
    <w:p w14:paraId="277C690C" w14:textId="60628C97" w:rsidR="0030551C" w:rsidRDefault="0030551C" w:rsidP="00F60F54">
      <w:pPr>
        <w:spacing w:after="0"/>
        <w:rPr>
          <w:lang w:val="en-US"/>
        </w:rPr>
      </w:pPr>
    </w:p>
    <w:p w14:paraId="26702B83" w14:textId="14F33128" w:rsidR="00F60F54" w:rsidRDefault="00F60F54" w:rsidP="00F60F54">
      <w:pPr>
        <w:spacing w:after="0"/>
        <w:rPr>
          <w:lang w:val="en-US"/>
        </w:rPr>
      </w:pPr>
      <w:r>
        <w:rPr>
          <w:lang w:val="en-US"/>
        </w:rPr>
        <w:t>In addition to limited regulatory resources and mandates, a 2022 OECD survey of 28 countries and 15 leading platforms found a need “</w:t>
      </w:r>
      <w:r w:rsidRPr="00110F97">
        <w:rPr>
          <w:lang w:val="en-US"/>
        </w:rPr>
        <w:t>for better complaint data</w:t>
      </w:r>
      <w:r>
        <w:rPr>
          <w:lang w:val="en-US"/>
        </w:rPr>
        <w:t xml:space="preserve"> [</w:t>
      </w:r>
      <w:r w:rsidR="001F23B3">
        <w:rPr>
          <w:lang w:val="en-US"/>
        </w:rPr>
        <w:t>given</w:t>
      </w:r>
      <w:r>
        <w:rPr>
          <w:lang w:val="en-US"/>
        </w:rPr>
        <w:t>]</w:t>
      </w:r>
      <w:r w:rsidRPr="00110F97">
        <w:rPr>
          <w:lang w:val="en-US"/>
        </w:rPr>
        <w:t xml:space="preserve"> the lack of accurate data on consumer complaints relating to online marketplaces</w:t>
      </w:r>
      <w:r w:rsidR="001F23B3">
        <w:rPr>
          <w:lang w:val="en-US"/>
        </w:rPr>
        <w:t>.</w:t>
      </w:r>
      <w:r w:rsidRPr="00110F97">
        <w:rPr>
          <w:lang w:val="en-US"/>
        </w:rPr>
        <w:t>”</w:t>
      </w:r>
      <w:r w:rsidR="00E71B41">
        <w:rPr>
          <w:rStyle w:val="EndnoteReference"/>
          <w:lang w:val="en-US"/>
        </w:rPr>
        <w:endnoteReference w:id="396"/>
      </w:r>
      <w:r w:rsidR="00E71B41">
        <w:rPr>
          <w:lang w:val="en-US"/>
        </w:rPr>
        <w:t xml:space="preserve"> </w:t>
      </w:r>
      <w:r w:rsidR="001F23B3">
        <w:rPr>
          <w:lang w:val="en-US"/>
        </w:rPr>
        <w:t xml:space="preserve">Participating countries noted the lack of such data makes </w:t>
      </w:r>
      <w:r>
        <w:rPr>
          <w:lang w:val="en-US"/>
        </w:rPr>
        <w:t>it difficult to achieve the “</w:t>
      </w:r>
      <w:r w:rsidRPr="00E32027">
        <w:t>accurate identification of issues affecting consumers in online marketplaces.</w:t>
      </w:r>
      <w:r w:rsidR="00E71B41">
        <w:t>”</w:t>
      </w:r>
      <w:r w:rsidR="00E71B41">
        <w:rPr>
          <w:rStyle w:val="EndnoteReference"/>
        </w:rPr>
        <w:endnoteReference w:id="397"/>
      </w:r>
      <w:r w:rsidR="00E71B41">
        <w:t xml:space="preserve"> </w:t>
      </w:r>
      <w:r w:rsidR="001F23B3">
        <w:t xml:space="preserve">Without such data, </w:t>
      </w:r>
      <w:r>
        <w:rPr>
          <w:lang w:val="en-US"/>
        </w:rPr>
        <w:t>“</w:t>
      </w:r>
      <w:r w:rsidRPr="00110F97">
        <w:rPr>
          <w:lang w:val="en-US"/>
        </w:rPr>
        <w:t>Most countries reported that their key challenges</w:t>
      </w:r>
      <w:r>
        <w:rPr>
          <w:lang w:val="en-US"/>
        </w:rPr>
        <w:t>… [were] p</w:t>
      </w:r>
      <w:r w:rsidRPr="00110F97">
        <w:rPr>
          <w:lang w:val="en-US"/>
        </w:rPr>
        <w:t>ersuading marketplaces to take proactive measures to prevent or reduce consumer harm.”</w:t>
      </w:r>
      <w:r w:rsidR="00E71B41">
        <w:rPr>
          <w:rStyle w:val="EndnoteReference"/>
          <w:lang w:val="en-US"/>
        </w:rPr>
        <w:endnoteReference w:id="398"/>
      </w:r>
      <w:r w:rsidR="00E71B41">
        <w:rPr>
          <w:lang w:val="en-US"/>
        </w:rPr>
        <w:t xml:space="preserve"> </w:t>
      </w:r>
      <w:r w:rsidR="00B9554E">
        <w:rPr>
          <w:lang w:val="en-US"/>
        </w:rPr>
        <w:t>Accordingly, CPA amendments could be envisioned that would require businesses to record standard information about complaints and establish and ongoing reporting obligation to the Ministry, better ensuring transparency and identifying systemic consumer concerns.</w:t>
      </w:r>
    </w:p>
    <w:p w14:paraId="3842187B" w14:textId="77777777" w:rsidR="00F60F54" w:rsidRDefault="00F60F54" w:rsidP="00F60F54">
      <w:pPr>
        <w:spacing w:after="0"/>
        <w:rPr>
          <w:lang w:val="en-US"/>
        </w:rPr>
      </w:pPr>
    </w:p>
    <w:p w14:paraId="7A29C215" w14:textId="66759BA1" w:rsidR="00F60F54" w:rsidRDefault="00F60F54" w:rsidP="00F60F54">
      <w:r>
        <w:t>Another promising approach builds on the interest and capacity of individual consumer complaints and consumer advocacy organizations b</w:t>
      </w:r>
      <w:r w:rsidR="27818E92">
        <w:t>y</w:t>
      </w:r>
      <w:r>
        <w:t xml:space="preserve"> establishing a right to more flexible forms of “collective redress” similar to that </w:t>
      </w:r>
      <w:r w:rsidR="000B6CB1">
        <w:t xml:space="preserve">introduced into </w:t>
      </w:r>
      <w:r>
        <w:t>UK</w:t>
      </w:r>
      <w:r w:rsidR="000B6CB1">
        <w:t xml:space="preserve"> consumer protection and competition law in 2015</w:t>
      </w:r>
      <w:r>
        <w:t>.</w:t>
      </w:r>
      <w:r w:rsidR="003E6E3F">
        <w:rPr>
          <w:rStyle w:val="EndnoteReference"/>
        </w:rPr>
        <w:endnoteReference w:id="399"/>
      </w:r>
      <w:r>
        <w:t xml:space="preserve"> Th</w:t>
      </w:r>
      <w:r w:rsidR="00BC78B6">
        <w:t xml:space="preserve">ese actions </w:t>
      </w:r>
      <w:r>
        <w:t>allow an individual consumer to file a claim for “</w:t>
      </w:r>
      <w:r w:rsidR="000B6CB1">
        <w:t>c</w:t>
      </w:r>
      <w:r w:rsidR="000B6CB1" w:rsidRPr="000B6CB1">
        <w:t>ollective actions and opt-out collective settlements</w:t>
      </w:r>
      <w:r>
        <w:t xml:space="preserve">” </w:t>
      </w:r>
      <w:r w:rsidR="000B6CB1">
        <w:t xml:space="preserve">related to </w:t>
      </w:r>
      <w:r>
        <w:t>consumer harms</w:t>
      </w:r>
      <w:r w:rsidR="000B6CB1">
        <w:t xml:space="preserve"> and business competition</w:t>
      </w:r>
      <w:r>
        <w:t>, a process that is simpler and less financially risky than engaging a class action.</w:t>
      </w:r>
      <w:r w:rsidR="00687298">
        <w:t xml:space="preserve"> The government also has a role in facilitating</w:t>
      </w:r>
      <w:r w:rsidR="00687298" w:rsidRPr="00687298">
        <w:t xml:space="preserve"> collective settlements </w:t>
      </w:r>
      <w:r w:rsidR="00687298">
        <w:lastRenderedPageBreak/>
        <w:t>whether</w:t>
      </w:r>
      <w:r w:rsidR="00687298" w:rsidRPr="00687298">
        <w:t xml:space="preserve"> a collective proceedings order has been made </w:t>
      </w:r>
      <w:r w:rsidR="00687298">
        <w:t>or is merely under consideration,</w:t>
      </w:r>
      <w:r w:rsidR="00687298">
        <w:rPr>
          <w:rStyle w:val="EndnoteReference"/>
        </w:rPr>
        <w:endnoteReference w:id="400"/>
      </w:r>
      <w:r w:rsidR="00687298">
        <w:t xml:space="preserve"> along with a series of voluntary redress schemes that can offer the benefit of legal certification of settlements voluntarily negotiated and entered into by businesses.</w:t>
      </w:r>
      <w:r w:rsidR="00687298">
        <w:rPr>
          <w:rStyle w:val="EndnoteReference"/>
        </w:rPr>
        <w:endnoteReference w:id="401"/>
      </w:r>
    </w:p>
    <w:p w14:paraId="2F078A7A" w14:textId="76F7624E" w:rsidR="00F60F54" w:rsidRDefault="00F60F54" w:rsidP="00F60F54">
      <w:r>
        <w:t xml:space="preserve">A recent claim filed under this right in the UK, for instance, alleges that </w:t>
      </w:r>
      <w:r w:rsidRPr="00101BA7">
        <w:t>Sony has been overcharging PlayStation gamers for six years</w:t>
      </w:r>
      <w:r>
        <w:t xml:space="preserve">, </w:t>
      </w:r>
      <w:r w:rsidRPr="00101BA7">
        <w:t>abusing its dominance in the British market to impose unfair terms and conditions on the PlayStation Store</w:t>
      </w:r>
      <w:r>
        <w:t xml:space="preserve">. Damages </w:t>
      </w:r>
      <w:r w:rsidR="000B6CB1">
        <w:t xml:space="preserve">for losses </w:t>
      </w:r>
      <w:r>
        <w:t>sought under the claim would amount to 5 billion pounds.</w:t>
      </w:r>
      <w:r>
        <w:rPr>
          <w:rStyle w:val="EndnoteReference"/>
        </w:rPr>
        <w:endnoteReference w:id="402"/>
      </w:r>
    </w:p>
    <w:p w14:paraId="4F58450F" w14:textId="77777777" w:rsidR="00F60F54" w:rsidRDefault="00F60F54" w:rsidP="00F60F54">
      <w:r>
        <w:t>Consumer collective redress is broadly available in Canada, allowing for compensation in damages for widespread economic or physical injuries caused by defective goods or services, or by unfair business practices.</w:t>
      </w:r>
      <w:r>
        <w:rPr>
          <w:rStyle w:val="EndnoteReference"/>
        </w:rPr>
        <w:endnoteReference w:id="403"/>
      </w:r>
      <w:r>
        <w:t xml:space="preserve"> At present, however, this is mostly limited to class action proceedings.</w:t>
      </w:r>
      <w:r>
        <w:rPr>
          <w:rStyle w:val="EndnoteReference"/>
        </w:rPr>
        <w:endnoteReference w:id="404"/>
      </w:r>
      <w:r>
        <w:t xml:space="preserve"> Class actions can be effective. But they are also complex, expensive, and slow – features which suggest that class actions may suffer from the same “law lag” that other court proceedings struggle with, and which undermine their role as a responsive and timely check-and-balance on consumer hostile activities in the fast-moving digital marketplace.</w:t>
      </w:r>
      <w:r>
        <w:rPr>
          <w:rStyle w:val="EndnoteReference"/>
        </w:rPr>
        <w:endnoteReference w:id="405"/>
      </w:r>
    </w:p>
    <w:p w14:paraId="085E2905" w14:textId="14972B1D" w:rsidR="00F60F54" w:rsidRDefault="00F60F54" w:rsidP="00F60F54">
      <w:r>
        <w:t>Leading Canadian consumer rights organizations suggest that adopting UK-style collective redress mechanisms would be tremendously effective in re-balancing consumer rights in the digital marketplace. For instance, the Consumers Council of Canada (CCC) write</w:t>
      </w:r>
      <w:r w:rsidR="00BC78B6">
        <w:t>s</w:t>
      </w:r>
      <w:r>
        <w:t xml:space="preserve"> that:</w:t>
      </w:r>
    </w:p>
    <w:p w14:paraId="1F584CC1" w14:textId="77777777" w:rsidR="00F60F54" w:rsidRPr="008546ED" w:rsidRDefault="00F60F54" w:rsidP="008546ED">
      <w:pPr>
        <w:pStyle w:val="Quote"/>
        <w:jc w:val="left"/>
        <w:rPr>
          <w:i/>
          <w:iCs/>
        </w:rPr>
      </w:pPr>
      <w:r w:rsidRPr="008546ED">
        <w:rPr>
          <w:i/>
          <w:iCs/>
        </w:rPr>
        <w:t>Introducing the concept of “super complaints,” greater transparency and public exposure to government consumer complaints databases in Canada could prove an efficient, additional compliance tool for regulators, advance consumer interests, and better use valuable resources provided by professional non-profit consumer advocacy groups.</w:t>
      </w:r>
      <w:r w:rsidRPr="008546ED">
        <w:rPr>
          <w:rStyle w:val="EndnoteReference"/>
          <w:i/>
          <w:iCs/>
        </w:rPr>
        <w:endnoteReference w:id="406"/>
      </w:r>
    </w:p>
    <w:p w14:paraId="19855AD6" w14:textId="77777777" w:rsidR="00F60F54" w:rsidRPr="003E0071" w:rsidRDefault="00F60F54" w:rsidP="00F60F54"/>
    <w:p w14:paraId="2BFA8B9A" w14:textId="48E05DC8" w:rsidR="00F60F54" w:rsidRDefault="00F60F54" w:rsidP="00F60F54">
      <w:r w:rsidRPr="004B4E61">
        <w:t xml:space="preserve">In 2002, a “super-complaints” system was established in the U.K. government by the Office of Fair Trade (now Competition &amp; Markets Authority). </w:t>
      </w:r>
      <w:r w:rsidR="00533B58">
        <w:t>This is different from the UK’s 2015 “collective actions” system. The “super complaint”</w:t>
      </w:r>
      <w:r w:rsidR="00533B58" w:rsidRPr="004B4E61">
        <w:t xml:space="preserve"> </w:t>
      </w:r>
      <w:r w:rsidRPr="004B4E61">
        <w:t>system allows a designated consumer body to submit a complaint that “…</w:t>
      </w:r>
      <w:r>
        <w:t>any feature, or combination of features, of a market in the U.K. for goods or services is or appears to be significantly harming the interests of consumers.”</w:t>
      </w:r>
      <w:r w:rsidR="00533B58">
        <w:rPr>
          <w:rStyle w:val="EndnoteReference"/>
        </w:rPr>
        <w:endnoteReference w:id="407"/>
      </w:r>
    </w:p>
    <w:p w14:paraId="45CA4DD7" w14:textId="77777777" w:rsidR="00F60F54" w:rsidRDefault="00F60F54" w:rsidP="00F60F54">
      <w:r>
        <w:t>The process is public. Regulators are required by law to provide a response in a reasonable time period. By most accounts the program has been a success. Several super-complaints have been launched and resolved.</w:t>
      </w:r>
    </w:p>
    <w:p w14:paraId="7D190219" w14:textId="16D40FFB" w:rsidR="00F60F54" w:rsidRDefault="00BC78B6" w:rsidP="00F60F54">
      <w:r>
        <w:t xml:space="preserve">The </w:t>
      </w:r>
      <w:r w:rsidR="00F60F54">
        <w:t>C</w:t>
      </w:r>
      <w:r>
        <w:t xml:space="preserve">onsumers </w:t>
      </w:r>
      <w:r w:rsidR="00F60F54">
        <w:t>C</w:t>
      </w:r>
      <w:r>
        <w:t xml:space="preserve">ouncil of </w:t>
      </w:r>
      <w:r w:rsidR="00F60F54">
        <w:t>C</w:t>
      </w:r>
      <w:r>
        <w:t>anada</w:t>
      </w:r>
      <w:r w:rsidR="00F60F54">
        <w:t xml:space="preserve"> </w:t>
      </w:r>
      <w:r>
        <w:t>supports this approach</w:t>
      </w:r>
      <w:r w:rsidR="00F60F54">
        <w:t>:</w:t>
      </w:r>
    </w:p>
    <w:p w14:paraId="437286D9" w14:textId="77777777" w:rsidR="00F60F54" w:rsidRPr="008546ED" w:rsidRDefault="00F60F54" w:rsidP="008546ED">
      <w:pPr>
        <w:pStyle w:val="Quote"/>
        <w:jc w:val="left"/>
        <w:rPr>
          <w:rStyle w:val="Strong"/>
          <w:rFonts w:eastAsiaTheme="minorHAnsi" w:cstheme="minorBidi"/>
          <w:b w:val="0"/>
          <w:bCs w:val="0"/>
          <w:i/>
          <w:iCs/>
        </w:rPr>
      </w:pPr>
      <w:r w:rsidRPr="008546ED">
        <w:rPr>
          <w:rStyle w:val="Strong"/>
          <w:b w:val="0"/>
          <w:bCs w:val="0"/>
          <w:i/>
          <w:iCs/>
        </w:rPr>
        <w:t>A super-complaint could allow a systemic marketplace problem to be pursued on behalf of all consumers while protecting the privacy of individual consumers. A super complaint supports the right of representation, and enables consumers to have a new opportunity to have themselves represented. It supports redress and having a consumer take responsibility to seek redress, not just for themselves but for all unfairly treated consumers.</w:t>
      </w:r>
      <w:r w:rsidRPr="008546ED">
        <w:rPr>
          <w:rStyle w:val="EndnoteReference"/>
          <w:i/>
          <w:iCs/>
        </w:rPr>
        <w:endnoteReference w:id="408"/>
      </w:r>
    </w:p>
    <w:p w14:paraId="49A1E62A" w14:textId="22ADC0F1" w:rsidR="00081BDE" w:rsidRDefault="00081BDE" w:rsidP="00081BDE"/>
    <w:p w14:paraId="571C6BB6" w14:textId="22F6A404" w:rsidR="005D1EE7" w:rsidRDefault="00F34AB4" w:rsidP="00FF4C6D">
      <w:pPr>
        <w:pStyle w:val="Heading3"/>
      </w:pPr>
      <w:bookmarkStart w:id="113" w:name="_Toc138151881"/>
      <w:r>
        <w:lastRenderedPageBreak/>
        <w:t>11.</w:t>
      </w:r>
      <w:r w:rsidR="00FF4C6D">
        <w:t>2.</w:t>
      </w:r>
      <w:r w:rsidR="000623F5">
        <w:t>7</w:t>
      </w:r>
      <w:r w:rsidR="00FF4C6D">
        <w:tab/>
      </w:r>
      <w:r w:rsidR="004F263A">
        <w:t xml:space="preserve">Better Consumer Enforcement and Policy-Making </w:t>
      </w:r>
      <w:r w:rsidR="009E7184">
        <w:t>Through</w:t>
      </w:r>
      <w:r w:rsidR="004F263A">
        <w:t xml:space="preserve"> Improved Data Collection and a </w:t>
      </w:r>
      <w:r w:rsidR="00A203D1">
        <w:t>Machine Readable</w:t>
      </w:r>
      <w:r w:rsidR="001E0950">
        <w:t xml:space="preserve"> ToS Registry</w:t>
      </w:r>
      <w:bookmarkEnd w:id="113"/>
    </w:p>
    <w:p w14:paraId="6E6B2982" w14:textId="77777777" w:rsidR="00F60F54" w:rsidRDefault="00F60F54" w:rsidP="00081BDE"/>
    <w:p w14:paraId="17463E03" w14:textId="532B37EC" w:rsidR="003E0071" w:rsidRDefault="004F263A" w:rsidP="00081BDE">
      <w:r>
        <w:t xml:space="preserve">As in many areas of public policy, consumer enforcement and policymaking could be improved through better data collection and dissemination.  </w:t>
      </w:r>
      <w:r w:rsidR="00BC78B6">
        <w:t xml:space="preserve">The </w:t>
      </w:r>
      <w:r w:rsidR="003E0071">
        <w:t xml:space="preserve">Consumers Council of Canada </w:t>
      </w:r>
      <w:r w:rsidR="00BC78B6">
        <w:t>notes that</w:t>
      </w:r>
      <w:r w:rsidR="003E0071">
        <w:t>:</w:t>
      </w:r>
    </w:p>
    <w:p w14:paraId="27E6F8AB" w14:textId="096B993C" w:rsidR="003E0071" w:rsidRPr="008546ED" w:rsidRDefault="003E0071" w:rsidP="008546ED">
      <w:pPr>
        <w:pStyle w:val="Quote"/>
        <w:jc w:val="left"/>
        <w:rPr>
          <w:i/>
          <w:iCs/>
        </w:rPr>
      </w:pPr>
      <w:r w:rsidRPr="008546ED">
        <w:rPr>
          <w:i/>
          <w:iCs/>
        </w:rPr>
        <w:t>One of the primary sources of information for regulators to trigger market conduct reviews and enforcement inspections and investigations is consumer complaint data. Regulators,</w:t>
      </w:r>
      <w:r w:rsidR="00BF3A73">
        <w:rPr>
          <w:i/>
          <w:iCs/>
        </w:rPr>
        <w:t xml:space="preserve"> </w:t>
      </w:r>
      <w:r w:rsidRPr="008546ED">
        <w:rPr>
          <w:i/>
          <w:iCs/>
        </w:rPr>
        <w:t>delegated administrative authorities, ombudsman offices, and self-regulatory agencies have long relied upon and actively sought out consumer complaints to identify unfair or unsafe business practices and sector or industry-wide patterns that may raise flags and warrant investigation. Resources at many consumer protection regulatory agencies have dwindled over the years, forcing them to rely more heavily on complaints as a method of observing marketplace conduct within their risk management approach to compliance.</w:t>
      </w:r>
    </w:p>
    <w:p w14:paraId="0F811CD1" w14:textId="77777777" w:rsidR="003E0071" w:rsidRPr="008546ED" w:rsidRDefault="003E0071" w:rsidP="008546ED">
      <w:pPr>
        <w:pStyle w:val="Quote"/>
        <w:jc w:val="left"/>
        <w:rPr>
          <w:i/>
          <w:iCs/>
        </w:rPr>
      </w:pPr>
    </w:p>
    <w:p w14:paraId="17EA60C1" w14:textId="475594B3" w:rsidR="003E0071" w:rsidRPr="008546ED" w:rsidRDefault="003E0071" w:rsidP="008546ED">
      <w:pPr>
        <w:pStyle w:val="Quote"/>
        <w:jc w:val="left"/>
        <w:rPr>
          <w:i/>
          <w:iCs/>
        </w:rPr>
      </w:pPr>
      <w:r w:rsidRPr="008546ED">
        <w:rPr>
          <w:i/>
          <w:iCs/>
        </w:rPr>
        <w:t xml:space="preserve">Effectively collected, analyzed and publicized consumer complaint data can be a highly useful compliance tool by raising public awareness about high levels of non-compliance, influencing enforcement priorities, instigating product recalls, enhancing intelligence gathering and strategic planning, supporting other evidence, providing disincentives to non-compliant firms, encouraging reticent consumers to complain, and precipitating policy consultations and public hearings. </w:t>
      </w:r>
      <w:r w:rsidRPr="008546ED">
        <w:rPr>
          <w:rStyle w:val="EndnoteReference"/>
          <w:i/>
          <w:iCs/>
        </w:rPr>
        <w:endnoteReference w:id="409"/>
      </w:r>
    </w:p>
    <w:p w14:paraId="62B2B1F4" w14:textId="77777777" w:rsidR="004F263A" w:rsidRDefault="004F263A" w:rsidP="003E0071"/>
    <w:p w14:paraId="4AB00626" w14:textId="0E052CB9" w:rsidR="003E0071" w:rsidRDefault="004F263A" w:rsidP="003E0071">
      <w:r>
        <w:t xml:space="preserve">A more far-reaching proposal would be to establish a </w:t>
      </w:r>
      <w:r w:rsidR="003E0071">
        <w:t xml:space="preserve">digital ToS registry. The registry </w:t>
      </w:r>
      <w:r>
        <w:t>c</w:t>
      </w:r>
      <w:r w:rsidR="003E0071">
        <w:t xml:space="preserve">ould provide a vital and potentially automated form of reviewing practices and trends in ToS agreements. This, in turn, could facilitate much more proactive monitoring, auditing, and investigation of </w:t>
      </w:r>
      <w:r w:rsidR="00FA424D">
        <w:t>consumer</w:t>
      </w:r>
      <w:r w:rsidR="003E0071">
        <w:t xml:space="preserve"> hostile practices than passively anticipating individual consumer complaints.</w:t>
      </w:r>
    </w:p>
    <w:p w14:paraId="5D6C3D3D" w14:textId="77777777" w:rsidR="00FA424D" w:rsidRDefault="0031106D" w:rsidP="0031106D">
      <w:r>
        <w:t xml:space="preserve">Just such a registry has been adopted in California with enactment of </w:t>
      </w:r>
      <w:r w:rsidRPr="009F57C0">
        <w:t xml:space="preserve">the </w:t>
      </w:r>
      <w:r w:rsidRPr="1F5E9E68">
        <w:rPr>
          <w:i/>
          <w:iCs/>
        </w:rPr>
        <w:t>Social Media Accountability and Transparency Act</w:t>
      </w:r>
      <w:r>
        <w:t>.</w:t>
      </w:r>
      <w:r w:rsidR="00FA424D" w:rsidRPr="00FA424D">
        <w:rPr>
          <w:rStyle w:val="EndnoteReference"/>
        </w:rPr>
        <w:t xml:space="preserve"> </w:t>
      </w:r>
      <w:r w:rsidR="00FA424D">
        <w:rPr>
          <w:rStyle w:val="EndnoteReference"/>
        </w:rPr>
        <w:endnoteReference w:id="410"/>
      </w:r>
      <w:r>
        <w:t xml:space="preserve"> </w:t>
      </w:r>
      <w:r w:rsidR="00FA424D">
        <w:t>The Act would require social media companies to submit reports to the Attorney General with latest versions of their ToS; to detail specific policies in defined areas; and to collect and report on data related to ToS violations. All ToS reports will be made available to the public through a single searchable database.</w:t>
      </w:r>
      <w:r w:rsidR="00FA424D">
        <w:rPr>
          <w:rStyle w:val="EndnoteReference"/>
        </w:rPr>
        <w:endnoteReference w:id="411"/>
      </w:r>
    </w:p>
    <w:p w14:paraId="4DAF30FF" w14:textId="0B71D207" w:rsidR="00F5492D" w:rsidRDefault="0031106D" w:rsidP="0031106D">
      <w:r w:rsidRPr="009F57C0">
        <w:t xml:space="preserve">The </w:t>
      </w:r>
      <w:r>
        <w:t xml:space="preserve">Act </w:t>
      </w:r>
      <w:r w:rsidR="00FA424D">
        <w:t xml:space="preserve">further </w:t>
      </w:r>
      <w:r>
        <w:t xml:space="preserve">establishes and </w:t>
      </w:r>
      <w:r w:rsidRPr="009F57C0">
        <w:t>clarif</w:t>
      </w:r>
      <w:r>
        <w:t xml:space="preserve">ies </w:t>
      </w:r>
      <w:r w:rsidR="00FA424D">
        <w:t xml:space="preserve">standard terms and practices </w:t>
      </w:r>
      <w:r>
        <w:t xml:space="preserve">for digital platforms, including </w:t>
      </w:r>
      <w:r w:rsidRPr="009F57C0">
        <w:t>privacy notices</w:t>
      </w:r>
      <w:r>
        <w:t xml:space="preserve"> requiring </w:t>
      </w:r>
      <w:r w:rsidRPr="009F57C0">
        <w:t>specific disclosures and general information.</w:t>
      </w:r>
      <w:r>
        <w:rPr>
          <w:rStyle w:val="EndnoteReference"/>
        </w:rPr>
        <w:endnoteReference w:id="412"/>
      </w:r>
      <w:r>
        <w:t xml:space="preserve"> The Act also defines “terms of service” to mean a policy or set of policies adopted by a “social media company” that specifies user behavior and activities that are permitted and those that would subject the user to consequences.</w:t>
      </w:r>
    </w:p>
    <w:p w14:paraId="16DE9CE2" w14:textId="48220F68" w:rsidR="00776C5D" w:rsidRDefault="00776C5D" w:rsidP="0031106D">
      <w:r>
        <w:t>In addition to the example of California,</w:t>
      </w:r>
      <w:r w:rsidR="00774B21" w:rsidRPr="00774B21">
        <w:t xml:space="preserve"> </w:t>
      </w:r>
      <w:r w:rsidR="00774B21">
        <w:t>the United States</w:t>
      </w:r>
      <w:r w:rsidR="00774B21" w:rsidRPr="00774B21">
        <w:t xml:space="preserve"> Federal Consumer Financial Protection Bureau</w:t>
      </w:r>
      <w:r>
        <w:t xml:space="preserve"> </w:t>
      </w:r>
      <w:r w:rsidR="00774B21">
        <w:t xml:space="preserve">proposes a database of </w:t>
      </w:r>
      <w:r w:rsidR="00EF4D04">
        <w:t xml:space="preserve">terms of service </w:t>
      </w:r>
      <w:r w:rsidR="00774B21">
        <w:t xml:space="preserve">contracts </w:t>
      </w:r>
      <w:r w:rsidR="009F02C3">
        <w:t xml:space="preserve">offered by supervised non-bank financial institutions who incorporate terms </w:t>
      </w:r>
      <w:r w:rsidR="0051509E">
        <w:t xml:space="preserve">that </w:t>
      </w:r>
      <w:r w:rsidR="00774B21">
        <w:t>s</w:t>
      </w:r>
      <w:r w:rsidR="0051509E">
        <w:t>eek to waive or limit consumer legal protections.</w:t>
      </w:r>
      <w:r w:rsidR="0051509E">
        <w:rPr>
          <w:rStyle w:val="EndnoteReference"/>
        </w:rPr>
        <w:endnoteReference w:id="413"/>
      </w:r>
    </w:p>
    <w:p w14:paraId="758D0EFA" w14:textId="68417250" w:rsidR="0031106D" w:rsidRDefault="009F02C3" w:rsidP="0031106D">
      <w:r>
        <w:t xml:space="preserve">The US examples </w:t>
      </w:r>
      <w:r w:rsidR="00FA424D">
        <w:t xml:space="preserve">of a centralized, </w:t>
      </w:r>
      <w:r w:rsidR="004F263A">
        <w:t>machine</w:t>
      </w:r>
      <w:r w:rsidR="00FA424D">
        <w:t>-</w:t>
      </w:r>
      <w:r w:rsidR="004F263A">
        <w:t xml:space="preserve">readable ToS registry </w:t>
      </w:r>
      <w:r w:rsidR="0031106D">
        <w:t xml:space="preserve">could improve consumer protection in </w:t>
      </w:r>
      <w:r w:rsidR="00FA424D">
        <w:t>Ontario’s</w:t>
      </w:r>
      <w:r w:rsidR="0031106D">
        <w:t xml:space="preserve"> digital marketplace</w:t>
      </w:r>
      <w:r w:rsidR="004F263A">
        <w:t xml:space="preserve"> in many ways</w:t>
      </w:r>
      <w:r w:rsidR="0031106D">
        <w:t>:</w:t>
      </w:r>
    </w:p>
    <w:p w14:paraId="49999964" w14:textId="5E8BB0FC" w:rsidR="004F263A" w:rsidRDefault="004F263A" w:rsidP="00470F77">
      <w:pPr>
        <w:pStyle w:val="ListParagraph"/>
        <w:numPr>
          <w:ilvl w:val="0"/>
          <w:numId w:val="54"/>
        </w:numPr>
      </w:pPr>
      <w:r>
        <w:t xml:space="preserve">Online disclosures could be simplified, made more consistent, and categorized </w:t>
      </w:r>
    </w:p>
    <w:p w14:paraId="7D3BB45C" w14:textId="4D5FABD1" w:rsidR="0031106D" w:rsidRDefault="00EC134F" w:rsidP="00470F77">
      <w:pPr>
        <w:pStyle w:val="ListParagraph"/>
        <w:numPr>
          <w:ilvl w:val="0"/>
          <w:numId w:val="54"/>
        </w:numPr>
      </w:pPr>
      <w:r>
        <w:lastRenderedPageBreak/>
        <w:t xml:space="preserve">The effectiveness of online </w:t>
      </w:r>
      <w:r w:rsidR="00081907">
        <w:t>disclosure</w:t>
      </w:r>
      <w:r>
        <w:t>s</w:t>
      </w:r>
      <w:r w:rsidR="00081907">
        <w:t xml:space="preserve"> </w:t>
      </w:r>
      <w:r w:rsidR="004F263A">
        <w:t>could</w:t>
      </w:r>
      <w:r>
        <w:t xml:space="preserve"> be</w:t>
      </w:r>
      <w:r w:rsidR="004F263A">
        <w:t xml:space="preserve"> </w:t>
      </w:r>
      <w:r w:rsidR="00081907">
        <w:t>measured and benchmarked</w:t>
      </w:r>
      <w:r>
        <w:t>, for instance, by tracking how many consumers viewed the notice</w:t>
      </w:r>
    </w:p>
    <w:p w14:paraId="1818771C" w14:textId="1999E3FB" w:rsidR="0031106D" w:rsidRDefault="00EC134F" w:rsidP="00470F77">
      <w:pPr>
        <w:pStyle w:val="ListParagraph"/>
        <w:numPr>
          <w:ilvl w:val="0"/>
          <w:numId w:val="40"/>
        </w:numPr>
      </w:pPr>
      <w:r>
        <w:t>The database could</w:t>
      </w:r>
      <w:r w:rsidR="00081907">
        <w:t xml:space="preserve"> track changes to</w:t>
      </w:r>
      <w:r>
        <w:t xml:space="preserve"> ToS and provide notifications, which would counter-balance </w:t>
      </w:r>
      <w:r w:rsidR="00081907">
        <w:t xml:space="preserve">unilateral contract changes and provide a means to alert consumer to “key information” or </w:t>
      </w:r>
      <w:r w:rsidR="0031106D">
        <w:t>other high-risk concerns</w:t>
      </w:r>
    </w:p>
    <w:p w14:paraId="42EF2D5D" w14:textId="782FE2E8" w:rsidR="00E06766" w:rsidRDefault="00FD31A3" w:rsidP="00470F77">
      <w:pPr>
        <w:pStyle w:val="ListParagraph"/>
        <w:numPr>
          <w:ilvl w:val="0"/>
          <w:numId w:val="40"/>
        </w:numPr>
      </w:pPr>
      <w:r>
        <w:t>It may i</w:t>
      </w:r>
      <w:r w:rsidR="00081907">
        <w:t xml:space="preserve">ncrease certainty and establish jurisdiction over suppliers conducting transactions in </w:t>
      </w:r>
      <w:r>
        <w:t>O</w:t>
      </w:r>
      <w:r w:rsidR="00081907">
        <w:t>ntario</w:t>
      </w:r>
    </w:p>
    <w:p w14:paraId="104AA446" w14:textId="5DA63CC8" w:rsidR="00E06766" w:rsidRDefault="00FD31A3" w:rsidP="00470F77">
      <w:pPr>
        <w:pStyle w:val="ListParagraph"/>
        <w:numPr>
          <w:ilvl w:val="0"/>
          <w:numId w:val="40"/>
        </w:numPr>
      </w:pPr>
      <w:r>
        <w:t>It may make it easier for governments, scholars, courts, litigants, advocates, and industry to engage in comparative research, identify trends and standard terms, and the like</w:t>
      </w:r>
    </w:p>
    <w:p w14:paraId="46B3564A" w14:textId="17A9395B" w:rsidR="00E06766" w:rsidRDefault="00FD31A3" w:rsidP="00470F77">
      <w:pPr>
        <w:pStyle w:val="ListParagraph"/>
        <w:numPr>
          <w:ilvl w:val="0"/>
          <w:numId w:val="40"/>
        </w:numPr>
      </w:pPr>
      <w:r>
        <w:t>It may u</w:t>
      </w:r>
      <w:r w:rsidR="001E0950">
        <w:t>ncover patterns in ToS that could be evidence of an opportunity or need to regulate</w:t>
      </w:r>
    </w:p>
    <w:p w14:paraId="582AC876" w14:textId="536849B1" w:rsidR="006016BA" w:rsidRDefault="00FD31A3" w:rsidP="00470F77">
      <w:pPr>
        <w:pStyle w:val="ListParagraph"/>
        <w:numPr>
          <w:ilvl w:val="0"/>
          <w:numId w:val="40"/>
        </w:numPr>
      </w:pPr>
      <w:r>
        <w:t>It could g</w:t>
      </w:r>
      <w:r w:rsidR="001E0950">
        <w:t xml:space="preserve">ather data about </w:t>
      </w:r>
      <w:r w:rsidR="0031106D">
        <w:t xml:space="preserve">the prevalence of activities of concern to the public interest, such as </w:t>
      </w:r>
      <w:r w:rsidR="001E0950">
        <w:t>data brokering</w:t>
      </w:r>
    </w:p>
    <w:p w14:paraId="0EFA7F97" w14:textId="38DB53D4" w:rsidR="0031106D" w:rsidRDefault="00FD31A3" w:rsidP="00470F77">
      <w:pPr>
        <w:pStyle w:val="ListParagraph"/>
        <w:numPr>
          <w:ilvl w:val="0"/>
          <w:numId w:val="40"/>
        </w:numPr>
      </w:pPr>
      <w:r>
        <w:t xml:space="preserve">It could be leveraged to </w:t>
      </w:r>
      <w:r w:rsidR="0031106D">
        <w:t xml:space="preserve">provide vital public education and engage options for collective redress. </w:t>
      </w:r>
    </w:p>
    <w:p w14:paraId="10288120" w14:textId="0074B239" w:rsidR="00A203D1" w:rsidRDefault="0031106D" w:rsidP="00A203D1">
      <w:r>
        <w:t>Building on this concept, s</w:t>
      </w:r>
      <w:r w:rsidR="00A203D1">
        <w:t>ome jurisdictions have proposed legislative amendments requiring businesses to test the</w:t>
      </w:r>
      <w:r w:rsidR="009E0094">
        <w:t xml:space="preserve"> </w:t>
      </w:r>
      <w:r w:rsidR="00A203D1">
        <w:t>effectiveness of disclosures in the respective target market and “to assess how the information is understood and used by consumers, and to take necessary steps to mitigate any problems identified</w:t>
      </w:r>
      <w:r>
        <w:t>.</w:t>
      </w:r>
      <w:r w:rsidR="00A203D1">
        <w:t>”</w:t>
      </w:r>
      <w:r w:rsidRPr="0031106D">
        <w:rPr>
          <w:rStyle w:val="EndnoteReference"/>
        </w:rPr>
        <w:t xml:space="preserve"> </w:t>
      </w:r>
      <w:r>
        <w:rPr>
          <w:rStyle w:val="EndnoteReference"/>
        </w:rPr>
        <w:endnoteReference w:id="414"/>
      </w:r>
    </w:p>
    <w:p w14:paraId="686E9F92" w14:textId="5A4D5738" w:rsidR="0031106D" w:rsidRDefault="0031106D" w:rsidP="00A203D1">
      <w:r>
        <w:t xml:space="preserve">The OECD also identifies how </w:t>
      </w:r>
      <w:r w:rsidR="00311D4F">
        <w:t>such “Technical solutions, including machine-readable disclosures, can provide a possible way forward in certain contexts.”</w:t>
      </w:r>
      <w:r w:rsidR="00311D4F">
        <w:rPr>
          <w:rStyle w:val="EndnoteReference"/>
        </w:rPr>
        <w:endnoteReference w:id="415"/>
      </w:r>
      <w:r w:rsidR="00311D4F">
        <w:t xml:space="preserve"> For instance </w:t>
      </w:r>
      <w:r>
        <w:t>this could considerably accelerate the development of “structured forms” of disclosure, such as ToS “nutrition labels” with standard practices and readily comparable audits.</w:t>
      </w:r>
      <w:r w:rsidR="003824A2">
        <w:t xml:space="preserve"> This would overcome long-standing limitations with otherwise promising approaches like the use of “trustmarks.”</w:t>
      </w:r>
      <w:r w:rsidR="003824A2">
        <w:rPr>
          <w:rStyle w:val="EndnoteReference"/>
        </w:rPr>
        <w:endnoteReference w:id="416"/>
      </w:r>
    </w:p>
    <w:p w14:paraId="19EDEBDE" w14:textId="32B5E5F4" w:rsidR="0031106D" w:rsidRDefault="0031106D" w:rsidP="00A203D1">
      <w:r>
        <w:t>The OECD writes how:</w:t>
      </w:r>
    </w:p>
    <w:p w14:paraId="7CEE5FD8" w14:textId="5C2A192B" w:rsidR="00A203D1" w:rsidRDefault="00A203D1" w:rsidP="008546ED">
      <w:pPr>
        <w:pStyle w:val="Quote"/>
        <w:jc w:val="left"/>
      </w:pPr>
      <w:r>
        <w:t>Standardised, simplified and clearly structured tables, summarising key information could address these concerns. Examples include the Schumer box in the context of credit card agreements, or proposals for standardised short-form privacy notices</w:t>
      </w:r>
      <w:r w:rsidR="00311D4F">
        <w:t xml:space="preserve">. </w:t>
      </w:r>
      <w:r>
        <w:t>As an alternative, researchers have recently proposed the introduction of standardised privacy levels that consumers only need to understand once and then can easily apply across all digital services that collect data from consumers</w:t>
      </w:r>
      <w:r w:rsidR="000518CC">
        <w:t>.</w:t>
      </w:r>
      <w:r w:rsidR="00311D4F">
        <w:rPr>
          <w:rStyle w:val="EndnoteReference"/>
        </w:rPr>
        <w:endnoteReference w:id="417"/>
      </w:r>
    </w:p>
    <w:p w14:paraId="67077D90" w14:textId="77777777" w:rsidR="000518CC" w:rsidRDefault="000518CC" w:rsidP="00A203D1"/>
    <w:p w14:paraId="2031C36D" w14:textId="5614622F" w:rsidR="008A5F45" w:rsidRDefault="008A5F45" w:rsidP="00A203D1">
      <w:r>
        <w:t xml:space="preserve">Precedence exists for this kind of proactive auditing and trustmarking in Canada, and is a concept that could be applied to ToS. For instance, since 1972, the </w:t>
      </w:r>
      <w:r w:rsidRPr="008A5F45">
        <w:t xml:space="preserve">Canadian Radio-television and </w:t>
      </w:r>
      <w:r>
        <w:t>T</w:t>
      </w:r>
      <w:r w:rsidRPr="008A5F45">
        <w:t>elecommunications Commission</w:t>
      </w:r>
      <w:r>
        <w:t xml:space="preserve"> (CRTC) has delegated a “preclearance” review of potentially sensitive advertisements to AdStandards Canada. Their “preclearance” program assesses advertisements related to alcoholic beverages, children’s advertising, cosmetics, food and non-alcoholic beverages, and health products to ensure compliance with advertising standards and guidelines.</w:t>
      </w:r>
      <w:r w:rsidR="007B369D">
        <w:rPr>
          <w:rStyle w:val="EndnoteReference"/>
        </w:rPr>
        <w:endnoteReference w:id="418"/>
      </w:r>
      <w:r>
        <w:t xml:space="preserve"> Both industry and consumers benefit from </w:t>
      </w:r>
      <w:r w:rsidR="007B369D">
        <w:t>this arrangement as it helps achieve compliance, maintains public interest standards, and reduces complaints.</w:t>
      </w:r>
    </w:p>
    <w:p w14:paraId="2A20BDD3" w14:textId="188ACEF1" w:rsidR="00A203D1" w:rsidRDefault="008A5F45" w:rsidP="00A203D1">
      <w:r>
        <w:t xml:space="preserve">A system of trustmarking or certification </w:t>
      </w:r>
      <w:r w:rsidR="00311D4F">
        <w:t xml:space="preserve">would support </w:t>
      </w:r>
      <w:r w:rsidR="00A203D1">
        <w:t>“more complex solutions w</w:t>
      </w:r>
      <w:r w:rsidR="7A8B0684">
        <w:t>hich</w:t>
      </w:r>
      <w:r w:rsidR="005A1D38">
        <w:t xml:space="preserve"> </w:t>
      </w:r>
      <w:r w:rsidR="00A203D1">
        <w:t>often rely on other stakeholders, including information intermediaries. In the context of mobile privacy settings, the FTC, for example, highlights a potential role for operating systems (e.g. Android or Apple)</w:t>
      </w:r>
      <w:r w:rsidR="00311D4F">
        <w:t>.</w:t>
      </w:r>
      <w:r w:rsidR="00A203D1">
        <w:t>”</w:t>
      </w:r>
      <w:r w:rsidR="00311D4F">
        <w:rPr>
          <w:rStyle w:val="EndnoteReference"/>
        </w:rPr>
        <w:endnoteReference w:id="419"/>
      </w:r>
    </w:p>
    <w:p w14:paraId="35B30ACE" w14:textId="6D88DF57" w:rsidR="004D4EB3" w:rsidRDefault="00311D4F" w:rsidP="00A203D1">
      <w:r>
        <w:lastRenderedPageBreak/>
        <w:t xml:space="preserve">It would also respond to the </w:t>
      </w:r>
      <w:r w:rsidR="003824A2">
        <w:t>acknowledged</w:t>
      </w:r>
      <w:r>
        <w:t xml:space="preserve"> necessity to “</w:t>
      </w:r>
      <w:r w:rsidR="00A203D1">
        <w:t>monitor implementation. Several authorities further encourage businesses to test their own disclosures to ensure that they are in line with the guiding principles</w:t>
      </w:r>
      <w:r>
        <w:t>.</w:t>
      </w:r>
      <w:r w:rsidR="00A203D1">
        <w:t>”</w:t>
      </w:r>
      <w:r>
        <w:rPr>
          <w:rStyle w:val="EndnoteReference"/>
        </w:rPr>
        <w:endnoteReference w:id="420"/>
      </w:r>
    </w:p>
    <w:p w14:paraId="63109E0B" w14:textId="77777777" w:rsidR="002F7C8A" w:rsidRDefault="002F7C8A" w:rsidP="00A203D1"/>
    <w:p w14:paraId="78901EA3" w14:textId="41EA0ADD" w:rsidR="002F7C8A" w:rsidRDefault="002F7C8A" w:rsidP="002F7C8A">
      <w:pPr>
        <w:pStyle w:val="Heading3"/>
      </w:pPr>
      <w:bookmarkStart w:id="114" w:name="_Toc138151882"/>
      <w:r>
        <w:t>11.2.8</w:t>
      </w:r>
      <w:r>
        <w:tab/>
        <w:t>Consumer Damages for Disgorgement</w:t>
      </w:r>
      <w:bookmarkEnd w:id="114"/>
    </w:p>
    <w:p w14:paraId="1EC054CB" w14:textId="77777777" w:rsidR="002F7C8A" w:rsidRDefault="002F7C8A" w:rsidP="002F7C8A"/>
    <w:p w14:paraId="25C7AE3B" w14:textId="4B4373D8" w:rsidR="00DE75CF" w:rsidRDefault="000F6272" w:rsidP="009826C2">
      <w:r w:rsidRPr="000F6272">
        <w:t xml:space="preserve">Disgorgement </w:t>
      </w:r>
      <w:r>
        <w:t xml:space="preserve">is a form of compensatory damages that may be awarded in circumstances where a plaintiff </w:t>
      </w:r>
      <w:r w:rsidRPr="000F6272">
        <w:t xml:space="preserve">cannot adequately quantify his or her loss, or has suffered no </w:t>
      </w:r>
      <w:r>
        <w:t xml:space="preserve">actual </w:t>
      </w:r>
      <w:r w:rsidRPr="000F6272">
        <w:t xml:space="preserve">loss as </w:t>
      </w:r>
      <w:r>
        <w:t>the</w:t>
      </w:r>
      <w:r w:rsidRPr="000F6272">
        <w:t xml:space="preserve"> result of </w:t>
      </w:r>
      <w:r>
        <w:t xml:space="preserve">the other party, </w:t>
      </w:r>
      <w:r w:rsidRPr="000F6272">
        <w:t xml:space="preserve">while the </w:t>
      </w:r>
      <w:r>
        <w:t xml:space="preserve">other party </w:t>
      </w:r>
      <w:r w:rsidRPr="000F6272">
        <w:t xml:space="preserve">has </w:t>
      </w:r>
      <w:r w:rsidR="001E7224">
        <w:t xml:space="preserve">unfairly </w:t>
      </w:r>
      <w:r w:rsidRPr="000F6272">
        <w:t xml:space="preserve">profited from </w:t>
      </w:r>
      <w:r>
        <w:t>the allegedly wrongful acts</w:t>
      </w:r>
      <w:r w:rsidRPr="000F6272">
        <w:t>.</w:t>
      </w:r>
    </w:p>
    <w:p w14:paraId="1BF23115" w14:textId="378A2DAE" w:rsidR="000F6272" w:rsidRDefault="000F6272" w:rsidP="009826C2">
      <w:r>
        <w:t>In context of consumer contracts</w:t>
      </w:r>
      <w:r w:rsidR="00BF3296">
        <w:t xml:space="preserve"> in the digital marketplace</w:t>
      </w:r>
      <w:r>
        <w:t>, disgorgement may foreseeably arise in two scenarios. First, in relation to unfair and deceptive practices, like dark patterns. Second, as a form of restitution where a party to a contract (like a consumer to a ToS agreement) may witness the unjust enrichment of the other party (like monetizing user data and profiles).</w:t>
      </w:r>
      <w:r w:rsidR="001E7224">
        <w:rPr>
          <w:rStyle w:val="EndnoteReference"/>
        </w:rPr>
        <w:endnoteReference w:id="421"/>
      </w:r>
    </w:p>
    <w:p w14:paraId="1276FF61" w14:textId="543A0355" w:rsidR="000F6272" w:rsidRDefault="000F6272" w:rsidP="009826C2">
      <w:r>
        <w:t xml:space="preserve">In either scenario, the potential for disgorgement damages can act as a check and balance to deter suppliers from imposing terms on consumers that are totally one-sided and unjustly enriching, thus unbalancing the interests in the contract. Disgorgement can also address the problem of </w:t>
      </w:r>
      <w:r w:rsidR="00BF3296">
        <w:t xml:space="preserve">post-facto investigations, fines, and other sanctions </w:t>
      </w:r>
      <w:r>
        <w:t xml:space="preserve">amounting to little more than “the cost of doing business” </w:t>
      </w:r>
      <w:r w:rsidR="00BF3296">
        <w:t>for many suppliers, with limited impact on changing behavior systemically and proactively.</w:t>
      </w:r>
    </w:p>
    <w:p w14:paraId="73F0ECB3" w14:textId="256A962F" w:rsidR="00BF3296" w:rsidRDefault="00BF3296" w:rsidP="009826C2">
      <w:r>
        <w:t>The best</w:t>
      </w:r>
      <w:r w:rsidR="001E7224">
        <w:t>-</w:t>
      </w:r>
      <w:r>
        <w:t>known example of disgorgement in the Canadian context occurs in patent law. In this context, a patent holder can sue not just for how much they have been harmed but also for how much the offending party has gained from the ill-gotten profits.</w:t>
      </w:r>
      <w:r w:rsidR="001E7224">
        <w:rPr>
          <w:rStyle w:val="EndnoteReference"/>
        </w:rPr>
        <w:endnoteReference w:id="422"/>
      </w:r>
    </w:p>
    <w:p w14:paraId="440C6E16" w14:textId="5D672050" w:rsidR="001E7224" w:rsidRDefault="001E7224" w:rsidP="009826C2">
      <w:r>
        <w:t>In the United States, disgorgement is well known in the consumer context.</w:t>
      </w:r>
      <w:r>
        <w:rPr>
          <w:rStyle w:val="EndnoteReference"/>
        </w:rPr>
        <w:endnoteReference w:id="423"/>
      </w:r>
      <w:r>
        <w:t xml:space="preserve"> Recent actions of the US Federal Trade Commission have sought to expand the ambit of consumer disgorgement as a damage and remedy for the panoply of practices taking place in the digital marketplace.</w:t>
      </w:r>
      <w:r>
        <w:rPr>
          <w:rStyle w:val="EndnoteReference"/>
        </w:rPr>
        <w:endnoteReference w:id="424"/>
      </w:r>
      <w:r>
        <w:t xml:space="preserve"> Competing case law, leading up to a decision of he US Supreme Court, suggests the issue is both relevant to new activities in the digital marketplace, and remains a legally live question.</w:t>
      </w:r>
      <w:r>
        <w:rPr>
          <w:rStyle w:val="EndnoteReference"/>
        </w:rPr>
        <w:endnoteReference w:id="425"/>
      </w:r>
    </w:p>
    <w:p w14:paraId="2FFA7C95" w14:textId="27F0AD0D" w:rsidR="001E7224" w:rsidRDefault="001E7224" w:rsidP="00D77B3D">
      <w:r>
        <w:t xml:space="preserve">Disgorgement is rather less well known in the Canadian consumer context. It has been suggested to the LCO that disgorgement may be effective as a check-and-balance for consumers in the digital marketplace, particularly since monetization, data, and other commercial practices both contribute to enormous profits off </w:t>
      </w:r>
      <w:r w:rsidR="00C91A47">
        <w:t>consumers and</w:t>
      </w:r>
      <w:r w:rsidR="0023699A">
        <w:t xml:space="preserve"> given the lack of similar damages under privacy law.</w:t>
      </w:r>
      <w:r w:rsidR="0023699A">
        <w:rPr>
          <w:rStyle w:val="EndnoteReference"/>
        </w:rPr>
        <w:endnoteReference w:id="426"/>
      </w:r>
    </w:p>
    <w:p w14:paraId="44A058FD" w14:textId="3FB2D063" w:rsidR="00D77B3D" w:rsidRPr="002F7C8A" w:rsidRDefault="00C91A47" w:rsidP="00D77B3D">
      <w:r>
        <w:t xml:space="preserve">The LCO has also heard </w:t>
      </w:r>
      <w:r w:rsidR="001E7224">
        <w:t>that d</w:t>
      </w:r>
      <w:r w:rsidR="00B47954">
        <w:t xml:space="preserve">isgorgement </w:t>
      </w:r>
      <w:r w:rsidR="001E7224">
        <w:t>may</w:t>
      </w:r>
      <w:r w:rsidR="00B47954">
        <w:t xml:space="preserve"> </w:t>
      </w:r>
      <w:r w:rsidR="001E7224">
        <w:t xml:space="preserve">merit consideration </w:t>
      </w:r>
      <w:r w:rsidR="00B47954">
        <w:t xml:space="preserve">in legislation as caselaw otherwise continues to evolve, for instance, with the recent Supreme Court of Canada decision in </w:t>
      </w:r>
      <w:r w:rsidR="00B47954" w:rsidRPr="00B47954">
        <w:rPr>
          <w:i/>
          <w:iCs/>
        </w:rPr>
        <w:t>Atlantic Lottery Corp. Inc. v. Babstock</w:t>
      </w:r>
      <w:r w:rsidR="00B47954">
        <w:t>.</w:t>
      </w:r>
      <w:r w:rsidR="00B47954">
        <w:rPr>
          <w:rStyle w:val="EndnoteReference"/>
        </w:rPr>
        <w:endnoteReference w:id="427"/>
      </w:r>
      <w:r w:rsidR="00B47954">
        <w:t xml:space="preserve"> </w:t>
      </w:r>
      <w:r w:rsidR="00D77B3D">
        <w:t>Analysis of this decision suggests a number of wide-ranging implications</w:t>
      </w:r>
      <w:r w:rsidR="00B47954">
        <w:t xml:space="preserve">, particularly for the class action bar, including that </w:t>
      </w:r>
      <w:r w:rsidR="008C2B37">
        <w:t>“</w:t>
      </w:r>
      <w:r w:rsidR="008C2B37" w:rsidRPr="008C2B37">
        <w:t>while nominal damages are technically available for any breach of contract</w:t>
      </w:r>
      <w:r w:rsidR="008C2B37">
        <w:t xml:space="preserve">” </w:t>
      </w:r>
      <w:r w:rsidR="00D77B3D">
        <w:t xml:space="preserve">disgorgement of profits as a remedy for breach of contract </w:t>
      </w:r>
      <w:r w:rsidR="008C2B37">
        <w:t>“</w:t>
      </w:r>
      <w:r w:rsidR="00D77B3D">
        <w:t>is limited to exceptional circumstances that will rarely be present in an ordinary commercial or consumer contract</w:t>
      </w:r>
      <w:r w:rsidR="00B47954">
        <w:t>.</w:t>
      </w:r>
      <w:r w:rsidR="008C2B37">
        <w:t>”</w:t>
      </w:r>
      <w:r w:rsidR="00B47954">
        <w:rPr>
          <w:rStyle w:val="EndnoteReference"/>
        </w:rPr>
        <w:endnoteReference w:id="428"/>
      </w:r>
      <w:r w:rsidR="00B47954">
        <w:t xml:space="preserve"> </w:t>
      </w:r>
      <w:r w:rsidR="00B42D44">
        <w:t>That said, such circumstances include “</w:t>
      </w:r>
      <w:r w:rsidR="00B42D44" w:rsidRPr="00B42D44">
        <w:t>where the plaintiff has a legitimate interest in preventing the defendant's profit-making activity</w:t>
      </w:r>
      <w:r w:rsidR="00B42D44">
        <w:t>”</w:t>
      </w:r>
      <w:r w:rsidR="00DE75CF">
        <w:t xml:space="preserve"> and where </w:t>
      </w:r>
      <w:r w:rsidR="00DE75CF" w:rsidRPr="00DE75CF">
        <w:t>the claimant’s interest “cannot be vindicated by other forms of relief</w:t>
      </w:r>
      <w:r w:rsidR="00CC6AEE">
        <w:t>.</w:t>
      </w:r>
      <w:r w:rsidR="00DE75CF" w:rsidRPr="00DE75CF">
        <w:t>”</w:t>
      </w:r>
      <w:r w:rsidR="00B42D44">
        <w:rPr>
          <w:rStyle w:val="EndnoteReference"/>
        </w:rPr>
        <w:endnoteReference w:id="429"/>
      </w:r>
      <w:r w:rsidR="00B42D44">
        <w:t xml:space="preserve"> </w:t>
      </w:r>
      <w:r w:rsidR="00CC6AEE">
        <w:t xml:space="preserve">This could foreseeably </w:t>
      </w:r>
      <w:r w:rsidR="00B42D44">
        <w:t xml:space="preserve">engage the kinds of monetization, data </w:t>
      </w:r>
      <w:r w:rsidR="00B42D44">
        <w:lastRenderedPageBreak/>
        <w:t>brokering, and other practices that may offend consumers who are party to ToS contracts in the digital marketplace.</w:t>
      </w:r>
    </w:p>
    <w:p w14:paraId="2B3E7432" w14:textId="77777777" w:rsidR="00F60F54" w:rsidRDefault="00F60F54" w:rsidP="008D4171">
      <w:pPr>
        <w:spacing w:after="0" w:line="256" w:lineRule="auto"/>
        <w:rPr>
          <w:rFonts w:ascii="Calibri" w:eastAsia="Calibri" w:hAnsi="Calibri" w:cs="Times New Roman"/>
          <w:b/>
          <w:highlight w:val="lightGray"/>
        </w:rPr>
      </w:pPr>
    </w:p>
    <w:p w14:paraId="56DE8640" w14:textId="20244A2D" w:rsidR="008D4171" w:rsidRPr="008D4171" w:rsidRDefault="008D4171" w:rsidP="008D4171">
      <w:pPr>
        <w:spacing w:after="0" w:line="256" w:lineRule="auto"/>
        <w:rPr>
          <w:rFonts w:ascii="Calibri" w:eastAsia="Calibri" w:hAnsi="Calibri" w:cs="Times New Roman"/>
          <w:szCs w:val="21"/>
          <w:highlight w:val="lightGray"/>
        </w:rPr>
      </w:pPr>
      <w:r w:rsidRPr="008D4171">
        <w:rPr>
          <w:rFonts w:ascii="Calibri" w:eastAsia="Calibri" w:hAnsi="Calibri" w:cs="Times New Roman"/>
          <w:b/>
          <w:highlight w:val="lightGray"/>
        </w:rPr>
        <w:t xml:space="preserve">SIDEBAR: </w:t>
      </w:r>
      <w:r>
        <w:rPr>
          <w:rFonts w:ascii="Calibri" w:eastAsia="Calibri" w:hAnsi="Calibri" w:cs="Times New Roman"/>
          <w:b/>
          <w:highlight w:val="lightGray"/>
        </w:rPr>
        <w:t xml:space="preserve">Consultation Questions: </w:t>
      </w:r>
      <w:r w:rsidRPr="008D4171">
        <w:rPr>
          <w:rFonts w:ascii="Calibri" w:eastAsia="Calibri" w:hAnsi="Calibri" w:cs="Times New Roman"/>
          <w:b/>
          <w:highlight w:val="lightGray"/>
        </w:rPr>
        <w:t>Improving Access to Justice for Consumers in the Digital Marketplace</w:t>
      </w:r>
    </w:p>
    <w:p w14:paraId="31D12F80" w14:textId="77777777" w:rsidR="008D4171" w:rsidRPr="008D4171" w:rsidRDefault="008D4171" w:rsidP="008D4171">
      <w:pPr>
        <w:spacing w:after="0" w:line="240" w:lineRule="auto"/>
        <w:rPr>
          <w:rFonts w:ascii="Calibri" w:eastAsia="Calibri" w:hAnsi="Calibri" w:cs="Times New Roman"/>
          <w:i/>
          <w:iCs/>
          <w:szCs w:val="21"/>
          <w:highlight w:val="lightGray"/>
        </w:rPr>
      </w:pPr>
    </w:p>
    <w:p w14:paraId="41180AB5" w14:textId="77777777" w:rsidR="008D4171" w:rsidRPr="008D4171" w:rsidRDefault="008D4171" w:rsidP="008D4171">
      <w:pPr>
        <w:spacing w:after="0" w:line="240" w:lineRule="auto"/>
        <w:ind w:left="1440" w:hanging="1440"/>
        <w:rPr>
          <w:rFonts w:ascii="Calibri" w:eastAsia="Calibri" w:hAnsi="Calibri" w:cs="Times New Roman"/>
          <w:i/>
          <w:iCs/>
          <w:szCs w:val="21"/>
          <w:highlight w:val="lightGray"/>
        </w:rPr>
      </w:pPr>
      <w:r w:rsidRPr="008D4171">
        <w:rPr>
          <w:rFonts w:ascii="Calibri" w:eastAsia="Calibri" w:hAnsi="Calibri" w:cs="Times New Roman"/>
          <w:i/>
          <w:iCs/>
          <w:szCs w:val="21"/>
          <w:highlight w:val="lightGray"/>
        </w:rPr>
        <w:t>Question 16:</w:t>
      </w:r>
      <w:r w:rsidRPr="008D4171">
        <w:rPr>
          <w:rFonts w:ascii="Calibri" w:eastAsia="Calibri" w:hAnsi="Calibri" w:cs="Times New Roman"/>
          <w:i/>
          <w:iCs/>
          <w:szCs w:val="21"/>
          <w:highlight w:val="lightGray"/>
        </w:rPr>
        <w:tab/>
        <w:t>Do access to justice, dispute resolution, enforcement and remedies need to be improved for Ontario’s consumers in the digital marketplace?  If so, could these be achieved by:</w:t>
      </w:r>
    </w:p>
    <w:p w14:paraId="525F86FD" w14:textId="77777777" w:rsidR="008D4171" w:rsidRPr="008D4171" w:rsidRDefault="008D4171" w:rsidP="008D4171">
      <w:pPr>
        <w:spacing w:after="0" w:line="240" w:lineRule="auto"/>
        <w:ind w:left="1440" w:hanging="1440"/>
        <w:rPr>
          <w:rFonts w:ascii="Calibri" w:eastAsia="Calibri" w:hAnsi="Calibri" w:cs="Times New Roman"/>
          <w:i/>
          <w:iCs/>
          <w:szCs w:val="21"/>
          <w:highlight w:val="lightGray"/>
        </w:rPr>
      </w:pPr>
    </w:p>
    <w:p w14:paraId="35CA6B75" w14:textId="77777777" w:rsidR="008D4171" w:rsidRPr="008D4171" w:rsidRDefault="008D4171" w:rsidP="00470F77">
      <w:pPr>
        <w:numPr>
          <w:ilvl w:val="0"/>
          <w:numId w:val="75"/>
        </w:numPr>
        <w:spacing w:after="0" w:line="240" w:lineRule="auto"/>
        <w:contextualSpacing/>
        <w:rPr>
          <w:rFonts w:ascii="Calibri" w:eastAsia="Calibri" w:hAnsi="Calibri" w:cs="Times New Roman"/>
          <w:i/>
          <w:iCs/>
          <w:szCs w:val="21"/>
          <w:highlight w:val="lightGray"/>
        </w:rPr>
      </w:pPr>
      <w:r w:rsidRPr="008D4171">
        <w:rPr>
          <w:rFonts w:ascii="Calibri" w:eastAsia="Calibri" w:hAnsi="Calibri" w:cs="Times New Roman"/>
          <w:i/>
          <w:iCs/>
          <w:szCs w:val="21"/>
          <w:highlight w:val="lightGray"/>
        </w:rPr>
        <w:t>Providing clearer guidance/directives to Ontario’s courts adjudicating online consumer disputes?</w:t>
      </w:r>
    </w:p>
    <w:p w14:paraId="31892F49" w14:textId="77777777" w:rsidR="008D4171" w:rsidRPr="008D4171" w:rsidRDefault="008D4171" w:rsidP="00470F77">
      <w:pPr>
        <w:numPr>
          <w:ilvl w:val="0"/>
          <w:numId w:val="76"/>
        </w:numPr>
        <w:spacing w:after="0" w:line="240" w:lineRule="auto"/>
        <w:contextualSpacing/>
        <w:rPr>
          <w:rFonts w:ascii="Calibri" w:eastAsia="Calibri" w:hAnsi="Calibri" w:cs="Times New Roman"/>
          <w:i/>
          <w:iCs/>
          <w:szCs w:val="21"/>
          <w:highlight w:val="lightGray"/>
        </w:rPr>
      </w:pPr>
      <w:r w:rsidRPr="008D4171">
        <w:rPr>
          <w:rFonts w:ascii="Calibri" w:eastAsia="Calibri" w:hAnsi="Calibri" w:cs="Times New Roman"/>
          <w:i/>
          <w:iCs/>
          <w:szCs w:val="21"/>
          <w:highlight w:val="lightGray"/>
        </w:rPr>
        <w:t>Amending the CPA to provide more certainty regarding Ontario’s jurisdiction in online consumer disputes?</w:t>
      </w:r>
    </w:p>
    <w:p w14:paraId="76E7DDCE" w14:textId="77777777" w:rsidR="008D4171" w:rsidRPr="008D4171" w:rsidRDefault="008D4171" w:rsidP="00470F77">
      <w:pPr>
        <w:numPr>
          <w:ilvl w:val="0"/>
          <w:numId w:val="76"/>
        </w:numPr>
        <w:spacing w:after="0" w:line="240" w:lineRule="auto"/>
        <w:contextualSpacing/>
        <w:rPr>
          <w:rFonts w:ascii="Calibri" w:eastAsia="Calibri" w:hAnsi="Calibri" w:cs="Times New Roman"/>
          <w:i/>
          <w:iCs/>
          <w:szCs w:val="21"/>
          <w:highlight w:val="lightGray"/>
        </w:rPr>
      </w:pPr>
      <w:r w:rsidRPr="008D4171">
        <w:rPr>
          <w:rFonts w:ascii="Calibri" w:eastAsia="Calibri" w:hAnsi="Calibri" w:cs="Times New Roman"/>
          <w:i/>
          <w:iCs/>
          <w:szCs w:val="21"/>
          <w:highlight w:val="lightGray"/>
        </w:rPr>
        <w:t xml:space="preserve">Amending the CPA to prohibit online supplier reprisals? </w:t>
      </w:r>
    </w:p>
    <w:p w14:paraId="38352352" w14:textId="77777777" w:rsidR="008D4171" w:rsidRPr="008D4171" w:rsidRDefault="008D4171" w:rsidP="00470F77">
      <w:pPr>
        <w:numPr>
          <w:ilvl w:val="0"/>
          <w:numId w:val="76"/>
        </w:numPr>
        <w:spacing w:after="0" w:line="240" w:lineRule="auto"/>
        <w:contextualSpacing/>
        <w:rPr>
          <w:rFonts w:ascii="Calibri" w:eastAsia="Calibri" w:hAnsi="Calibri" w:cs="Times New Roman"/>
          <w:i/>
          <w:iCs/>
          <w:szCs w:val="21"/>
          <w:highlight w:val="lightGray"/>
        </w:rPr>
      </w:pPr>
      <w:r w:rsidRPr="008D4171">
        <w:rPr>
          <w:rFonts w:ascii="Calibri" w:eastAsia="Calibri" w:hAnsi="Calibri" w:cs="Times New Roman"/>
          <w:i/>
          <w:iCs/>
          <w:szCs w:val="21"/>
          <w:highlight w:val="lightGray"/>
        </w:rPr>
        <w:t>Establishing minimum standards for Ministry complaints?</w:t>
      </w:r>
    </w:p>
    <w:p w14:paraId="6998C173" w14:textId="77777777" w:rsidR="008D4171" w:rsidRPr="008D4171" w:rsidRDefault="008D4171" w:rsidP="00470F77">
      <w:pPr>
        <w:numPr>
          <w:ilvl w:val="0"/>
          <w:numId w:val="76"/>
        </w:numPr>
        <w:spacing w:after="0" w:line="240" w:lineRule="auto"/>
        <w:contextualSpacing/>
        <w:rPr>
          <w:rFonts w:ascii="Calibri" w:eastAsia="Calibri" w:hAnsi="Calibri" w:cs="Times New Roman"/>
          <w:i/>
          <w:iCs/>
          <w:szCs w:val="21"/>
          <w:highlight w:val="lightGray"/>
        </w:rPr>
      </w:pPr>
      <w:r w:rsidRPr="008D4171">
        <w:rPr>
          <w:rFonts w:ascii="Calibri" w:eastAsia="Calibri" w:hAnsi="Calibri" w:cs="Times New Roman"/>
          <w:i/>
          <w:iCs/>
          <w:szCs w:val="21"/>
          <w:highlight w:val="lightGray"/>
        </w:rPr>
        <w:t>Establishing regulations or best practices governing private or internal consumer dispute resolution mechanisms?</w:t>
      </w:r>
    </w:p>
    <w:p w14:paraId="24424F9E" w14:textId="77777777" w:rsidR="008D4171" w:rsidRPr="008D4171" w:rsidRDefault="008D4171" w:rsidP="00470F77">
      <w:pPr>
        <w:numPr>
          <w:ilvl w:val="0"/>
          <w:numId w:val="76"/>
        </w:numPr>
        <w:spacing w:after="0" w:line="240" w:lineRule="auto"/>
        <w:contextualSpacing/>
        <w:rPr>
          <w:rFonts w:ascii="Calibri" w:eastAsia="Calibri" w:hAnsi="Calibri" w:cs="Times New Roman"/>
          <w:i/>
          <w:iCs/>
          <w:szCs w:val="21"/>
          <w:highlight w:val="lightGray"/>
        </w:rPr>
      </w:pPr>
      <w:r w:rsidRPr="008D4171">
        <w:rPr>
          <w:rFonts w:ascii="Calibri" w:eastAsia="Calibri" w:hAnsi="Calibri" w:cs="Times New Roman"/>
          <w:i/>
          <w:iCs/>
          <w:szCs w:val="21"/>
          <w:highlight w:val="lightGray"/>
        </w:rPr>
        <w:t>Amending the CPA to create a collective right of redress or “super-complaints” system?</w:t>
      </w:r>
    </w:p>
    <w:p w14:paraId="1EF51706" w14:textId="77777777" w:rsidR="008D4171" w:rsidRPr="008D4171" w:rsidRDefault="008D4171" w:rsidP="00470F77">
      <w:pPr>
        <w:numPr>
          <w:ilvl w:val="0"/>
          <w:numId w:val="76"/>
        </w:numPr>
        <w:spacing w:after="0" w:line="240" w:lineRule="auto"/>
        <w:contextualSpacing/>
        <w:rPr>
          <w:rFonts w:ascii="Calibri" w:eastAsia="Calibri" w:hAnsi="Calibri" w:cs="Times New Roman"/>
          <w:i/>
          <w:iCs/>
          <w:szCs w:val="21"/>
          <w:highlight w:val="lightGray"/>
        </w:rPr>
      </w:pPr>
      <w:r w:rsidRPr="008D4171">
        <w:rPr>
          <w:rFonts w:ascii="Calibri" w:eastAsia="Calibri" w:hAnsi="Calibri" w:cs="Times New Roman"/>
          <w:i/>
          <w:iCs/>
          <w:szCs w:val="21"/>
          <w:highlight w:val="lightGray"/>
        </w:rPr>
        <w:t>Improved support for consumer advocacy organizations or public education?</w:t>
      </w:r>
    </w:p>
    <w:p w14:paraId="3B81049E" w14:textId="77777777" w:rsidR="008D4171" w:rsidRPr="008D4171" w:rsidRDefault="008D4171" w:rsidP="00470F77">
      <w:pPr>
        <w:numPr>
          <w:ilvl w:val="0"/>
          <w:numId w:val="76"/>
        </w:numPr>
        <w:spacing w:after="0" w:line="240" w:lineRule="auto"/>
        <w:contextualSpacing/>
        <w:rPr>
          <w:rFonts w:ascii="Calibri" w:eastAsia="Calibri" w:hAnsi="Calibri" w:cs="Times New Roman"/>
          <w:i/>
          <w:iCs/>
          <w:szCs w:val="21"/>
          <w:highlight w:val="lightGray"/>
        </w:rPr>
      </w:pPr>
      <w:r w:rsidRPr="008D4171">
        <w:rPr>
          <w:rFonts w:ascii="Calibri" w:eastAsia="Calibri" w:hAnsi="Calibri" w:cs="Times New Roman"/>
          <w:i/>
          <w:iCs/>
          <w:szCs w:val="21"/>
          <w:highlight w:val="lightGray"/>
        </w:rPr>
        <w:t>Direct to public consumer legal tools?</w:t>
      </w:r>
    </w:p>
    <w:p w14:paraId="5F9AE728" w14:textId="77777777" w:rsidR="008D4171" w:rsidRPr="008D4171" w:rsidRDefault="008D4171" w:rsidP="00470F77">
      <w:pPr>
        <w:numPr>
          <w:ilvl w:val="0"/>
          <w:numId w:val="76"/>
        </w:numPr>
        <w:spacing w:after="0" w:line="240" w:lineRule="auto"/>
        <w:contextualSpacing/>
        <w:rPr>
          <w:rFonts w:ascii="Calibri" w:eastAsia="Calibri" w:hAnsi="Calibri" w:cs="Times New Roman"/>
          <w:i/>
          <w:iCs/>
          <w:szCs w:val="21"/>
          <w:highlight w:val="lightGray"/>
        </w:rPr>
      </w:pPr>
      <w:r w:rsidRPr="008D4171">
        <w:rPr>
          <w:rFonts w:ascii="Calibri" w:eastAsia="Calibri" w:hAnsi="Calibri" w:cs="Times New Roman"/>
          <w:i/>
          <w:iCs/>
          <w:szCs w:val="21"/>
          <w:highlight w:val="lightGray"/>
        </w:rPr>
        <w:t>A ToS registry?</w:t>
      </w:r>
    </w:p>
    <w:p w14:paraId="54A2C77E" w14:textId="77777777" w:rsidR="008D4171" w:rsidRPr="008D4171" w:rsidRDefault="008D4171" w:rsidP="008D4171">
      <w:pPr>
        <w:spacing w:after="0" w:line="240" w:lineRule="auto"/>
        <w:rPr>
          <w:rFonts w:ascii="Calibri" w:eastAsia="Calibri" w:hAnsi="Calibri" w:cs="Times New Roman"/>
          <w:i/>
          <w:iCs/>
          <w:szCs w:val="21"/>
          <w:highlight w:val="lightGray"/>
        </w:rPr>
      </w:pPr>
    </w:p>
    <w:p w14:paraId="03CBFE13" w14:textId="77777777" w:rsidR="008D4171" w:rsidRPr="008D4171" w:rsidRDefault="008D4171" w:rsidP="008D4171">
      <w:pPr>
        <w:spacing w:after="0" w:line="256" w:lineRule="auto"/>
        <w:ind w:left="1440" w:hanging="1440"/>
        <w:rPr>
          <w:rFonts w:ascii="Calibri" w:eastAsia="Calibri" w:hAnsi="Calibri" w:cs="Times New Roman"/>
          <w:i/>
          <w:iCs/>
          <w:highlight w:val="lightGray"/>
        </w:rPr>
      </w:pPr>
      <w:r w:rsidRPr="008D4171">
        <w:rPr>
          <w:rFonts w:ascii="Calibri" w:eastAsia="Calibri" w:hAnsi="Calibri" w:cs="Times New Roman"/>
          <w:i/>
          <w:iCs/>
          <w:highlight w:val="lightGray"/>
        </w:rPr>
        <w:t>Question 17:</w:t>
      </w:r>
      <w:r w:rsidRPr="008D4171">
        <w:rPr>
          <w:rFonts w:ascii="Calibri" w:eastAsia="Calibri" w:hAnsi="Calibri" w:cs="Times New Roman"/>
          <w:i/>
          <w:iCs/>
          <w:highlight w:val="lightGray"/>
        </w:rPr>
        <w:tab/>
        <w:t xml:space="preserve">How should potential reforms to improve consumer’s </w:t>
      </w:r>
      <w:r w:rsidRPr="008D4171">
        <w:rPr>
          <w:rFonts w:ascii="Calibri" w:eastAsia="Calibri" w:hAnsi="Calibri" w:cs="Times New Roman"/>
          <w:i/>
          <w:iCs/>
          <w:szCs w:val="21"/>
          <w:highlight w:val="lightGray"/>
        </w:rPr>
        <w:t xml:space="preserve">access to justice, dispute resolution, enforcement and remedies </w:t>
      </w:r>
      <w:r w:rsidRPr="008D4171">
        <w:rPr>
          <w:rFonts w:ascii="Calibri" w:eastAsia="Calibri" w:hAnsi="Calibri" w:cs="Times New Roman"/>
          <w:i/>
          <w:iCs/>
          <w:highlight w:val="lightGray"/>
        </w:rPr>
        <w:t>be balanced against the legitimate interests of online suppliers?</w:t>
      </w:r>
    </w:p>
    <w:p w14:paraId="43DED573" w14:textId="77777777" w:rsidR="008D4171" w:rsidRPr="008D4171" w:rsidRDefault="008D4171" w:rsidP="008D4171">
      <w:pPr>
        <w:spacing w:after="0" w:line="240" w:lineRule="auto"/>
        <w:ind w:left="1440" w:hanging="1440"/>
        <w:rPr>
          <w:rFonts w:ascii="Calibri" w:eastAsia="Calibri" w:hAnsi="Calibri" w:cs="Times New Roman"/>
          <w:i/>
          <w:iCs/>
          <w:szCs w:val="21"/>
          <w:highlight w:val="lightGray"/>
        </w:rPr>
      </w:pPr>
    </w:p>
    <w:p w14:paraId="56AF7F9B" w14:textId="77777777" w:rsidR="008D4171" w:rsidRPr="008D4171" w:rsidRDefault="008D4171" w:rsidP="008D4171">
      <w:pPr>
        <w:spacing w:after="0" w:line="240" w:lineRule="auto"/>
        <w:ind w:left="1440" w:hanging="1440"/>
        <w:rPr>
          <w:rFonts w:ascii="Calibri" w:eastAsia="Calibri" w:hAnsi="Calibri" w:cs="Times New Roman"/>
          <w:i/>
          <w:iCs/>
          <w:szCs w:val="21"/>
          <w:highlight w:val="lightGray"/>
        </w:rPr>
      </w:pPr>
      <w:r w:rsidRPr="008D4171">
        <w:rPr>
          <w:rFonts w:ascii="Calibri" w:eastAsia="Calibri" w:hAnsi="Calibri" w:cs="Times New Roman"/>
          <w:i/>
          <w:iCs/>
          <w:szCs w:val="21"/>
          <w:highlight w:val="lightGray"/>
        </w:rPr>
        <w:t>Question 18:</w:t>
      </w:r>
      <w:r w:rsidRPr="008D4171">
        <w:rPr>
          <w:rFonts w:ascii="Calibri" w:eastAsia="Calibri" w:hAnsi="Calibri" w:cs="Times New Roman"/>
          <w:i/>
          <w:iCs/>
          <w:szCs w:val="21"/>
          <w:highlight w:val="lightGray"/>
        </w:rPr>
        <w:tab/>
        <w:t>Should the Ministry of Public and Business Service Delivery be given a stronger mandate to investigate and prosecute consumer complaints in the digital marketplace?  If so, what additional powers should be given to the Ministry?</w:t>
      </w:r>
    </w:p>
    <w:p w14:paraId="25BF4D8E" w14:textId="77777777" w:rsidR="008D4171" w:rsidRPr="008D4171" w:rsidRDefault="008D4171" w:rsidP="008D4171">
      <w:pPr>
        <w:spacing w:after="0" w:line="240" w:lineRule="auto"/>
        <w:ind w:left="1440" w:hanging="1440"/>
        <w:rPr>
          <w:rFonts w:ascii="Calibri" w:eastAsia="Calibri" w:hAnsi="Calibri" w:cs="Times New Roman"/>
          <w:i/>
          <w:iCs/>
          <w:szCs w:val="21"/>
          <w:highlight w:val="lightGray"/>
        </w:rPr>
      </w:pPr>
    </w:p>
    <w:p w14:paraId="370EF7CF" w14:textId="77777777" w:rsidR="008D4171" w:rsidRPr="00497C4C" w:rsidRDefault="008D4171" w:rsidP="008D4171">
      <w:pPr>
        <w:spacing w:after="0" w:line="240" w:lineRule="auto"/>
        <w:ind w:left="1440" w:hanging="1440"/>
        <w:rPr>
          <w:rFonts w:ascii="Calibri" w:eastAsia="Calibri" w:hAnsi="Calibri" w:cs="Times New Roman"/>
        </w:rPr>
      </w:pPr>
      <w:r w:rsidRPr="008D4171">
        <w:rPr>
          <w:rFonts w:ascii="Calibri" w:eastAsia="Calibri" w:hAnsi="Calibri" w:cs="Times New Roman"/>
          <w:i/>
          <w:iCs/>
          <w:szCs w:val="21"/>
          <w:highlight w:val="lightGray"/>
        </w:rPr>
        <w:t>Question 19:</w:t>
      </w:r>
      <w:r w:rsidRPr="008D4171">
        <w:rPr>
          <w:rFonts w:ascii="Calibri" w:eastAsia="Calibri" w:hAnsi="Calibri" w:cs="Times New Roman"/>
          <w:i/>
          <w:iCs/>
          <w:szCs w:val="21"/>
          <w:highlight w:val="lightGray"/>
        </w:rPr>
        <w:tab/>
        <w:t>What other initiatives could supplement improved consumer protection laws in Ontario?</w:t>
      </w:r>
      <w:r w:rsidRPr="00497C4C">
        <w:rPr>
          <w:rFonts w:ascii="Calibri" w:eastAsia="Calibri" w:hAnsi="Calibri" w:cs="Times New Roman"/>
          <w:i/>
          <w:iCs/>
          <w:szCs w:val="21"/>
        </w:rPr>
        <w:t xml:space="preserve"> </w:t>
      </w:r>
    </w:p>
    <w:p w14:paraId="08693469" w14:textId="77777777" w:rsidR="00872D50" w:rsidRDefault="00872D50" w:rsidP="00872D50"/>
    <w:p w14:paraId="1B718D2B" w14:textId="25393FF4" w:rsidR="00516AFF" w:rsidRDefault="00516AFF">
      <w:r>
        <w:br w:type="page"/>
      </w:r>
    </w:p>
    <w:p w14:paraId="7A02F64A" w14:textId="201F3461" w:rsidR="00EA7B84" w:rsidRDefault="00D55BF6" w:rsidP="00470F77">
      <w:pPr>
        <w:pStyle w:val="Heading1"/>
        <w:numPr>
          <w:ilvl w:val="0"/>
          <w:numId w:val="65"/>
        </w:numPr>
      </w:pPr>
      <w:bookmarkStart w:id="115" w:name="_Toc138151883"/>
      <w:r>
        <w:lastRenderedPageBreak/>
        <w:t>Conclusion and How to Get Involved</w:t>
      </w:r>
      <w:bookmarkEnd w:id="115"/>
      <w:r>
        <w:t xml:space="preserve"> </w:t>
      </w:r>
    </w:p>
    <w:p w14:paraId="68292103" w14:textId="0CE45DA3" w:rsidR="00EA7B84" w:rsidRDefault="00EA7B84" w:rsidP="00EA7B84"/>
    <w:p w14:paraId="5121BE04" w14:textId="77777777" w:rsidR="008F0F4F" w:rsidRDefault="008F0F4F" w:rsidP="008F0F4F">
      <w:r>
        <w:t xml:space="preserve">The release of this Consultation Paper is the start of LCO’s consultation process. </w:t>
      </w:r>
    </w:p>
    <w:p w14:paraId="16837ED7" w14:textId="77777777" w:rsidR="008F0F4F" w:rsidRPr="00CA6287" w:rsidRDefault="008F0F4F" w:rsidP="008F0F4F">
      <w:pPr>
        <w:rPr>
          <w:rFonts w:ascii="Calibri" w:eastAsia="Calibri" w:hAnsi="Calibri" w:cs="Times New Roman"/>
        </w:rPr>
      </w:pPr>
      <w:r>
        <w:t xml:space="preserve">The LCO wants to hear from a broad range of </w:t>
      </w:r>
      <w:r w:rsidRPr="00CA6287">
        <w:rPr>
          <w:rFonts w:ascii="Calibri" w:eastAsia="Calibri" w:hAnsi="Calibri" w:cs="Times New Roman"/>
        </w:rPr>
        <w:t xml:space="preserve">stakeholders including lawyers and legal organizations, NGOs, industry representatives, academics, government and justice system leaders, and individual Ontarians interested in consumer protection issues. </w:t>
      </w:r>
    </w:p>
    <w:p w14:paraId="4DA5BA59" w14:textId="77777777" w:rsidR="008F0F4F" w:rsidRDefault="008F0F4F" w:rsidP="008F0F4F">
      <w:pPr>
        <w:spacing w:line="256" w:lineRule="auto"/>
        <w:rPr>
          <w:rFonts w:ascii="Calibri" w:eastAsia="Calibri" w:hAnsi="Calibri" w:cs="Times New Roman"/>
        </w:rPr>
      </w:pPr>
      <w:r w:rsidRPr="00CA6287">
        <w:rPr>
          <w:rFonts w:ascii="Calibri" w:eastAsia="Calibri" w:hAnsi="Calibri" w:cs="Times New Roman"/>
        </w:rPr>
        <w:t>To this end, the LCO will be organizing several consultation processes over the next several months</w:t>
      </w:r>
      <w:r>
        <w:rPr>
          <w:rFonts w:ascii="Calibri" w:eastAsia="Calibri" w:hAnsi="Calibri" w:cs="Times New Roman"/>
        </w:rPr>
        <w:t>.</w:t>
      </w:r>
      <w:r w:rsidRPr="000B31B9">
        <w:rPr>
          <w:rFonts w:ascii="Calibri" w:eastAsia="Calibri" w:hAnsi="Calibri" w:cs="Times New Roman"/>
        </w:rPr>
        <w:t xml:space="preserve"> </w:t>
      </w:r>
      <w:r w:rsidRPr="00CA6287">
        <w:rPr>
          <w:rFonts w:ascii="Calibri" w:eastAsia="Calibri" w:hAnsi="Calibri" w:cs="Times New Roman"/>
        </w:rPr>
        <w:t>The LCO is strongly committed to partnering with interested organizations and stakeholders to develop consultation initiatives. Individuals or organizations interested in working with the LCO are encouraged to contact our Project Lead.</w:t>
      </w:r>
    </w:p>
    <w:p w14:paraId="69EAC3AB" w14:textId="77777777" w:rsidR="008F0F4F" w:rsidRDefault="008F0F4F" w:rsidP="008F0F4F">
      <w:pPr>
        <w:rPr>
          <w:rFonts w:ascii="Calibri" w:eastAsia="Calibri" w:hAnsi="Calibri" w:cs="Times New Roman"/>
        </w:rPr>
      </w:pPr>
      <w:r>
        <w:rPr>
          <w:rFonts w:ascii="Calibri" w:eastAsia="Calibri" w:hAnsi="Calibri" w:cs="Times New Roman"/>
        </w:rPr>
        <w:t>More information about the consultation process and how to get involved is on our website:</w:t>
      </w:r>
      <w:r w:rsidRPr="00CA6287">
        <w:rPr>
          <w:rFonts w:ascii="Calibri" w:eastAsia="Calibri" w:hAnsi="Calibri" w:cs="Times New Roman"/>
        </w:rPr>
        <w:t xml:space="preserve"> </w:t>
      </w:r>
      <w:hyperlink r:id="rId37" w:history="1">
        <w:r w:rsidRPr="00CA6287">
          <w:rPr>
            <w:rStyle w:val="Hyperlink"/>
            <w:rFonts w:ascii="Calibri" w:eastAsia="Calibri" w:hAnsi="Calibri" w:cs="Times New Roman"/>
          </w:rPr>
          <w:t>https://www.lco-cdo.org/digitalmarketplace</w:t>
        </w:r>
      </w:hyperlink>
      <w:r w:rsidRPr="00CA6287">
        <w:rPr>
          <w:rFonts w:ascii="Calibri" w:eastAsia="Calibri" w:hAnsi="Calibri" w:cs="Times New Roman"/>
        </w:rPr>
        <w:t>.</w:t>
      </w:r>
    </w:p>
    <w:p w14:paraId="6E616111" w14:textId="77777777" w:rsidR="008F0F4F" w:rsidRPr="00CA6287" w:rsidRDefault="008F0F4F" w:rsidP="008F0F4F">
      <w:pPr>
        <w:spacing w:line="256" w:lineRule="auto"/>
        <w:rPr>
          <w:rFonts w:ascii="Calibri" w:eastAsia="Calibri" w:hAnsi="Calibri" w:cs="Times New Roman"/>
          <w:b/>
          <w:bCs/>
        </w:rPr>
      </w:pPr>
      <w:r w:rsidRPr="00CA6287">
        <w:rPr>
          <w:rFonts w:ascii="Calibri" w:eastAsia="Calibri" w:hAnsi="Calibri" w:cs="Times New Roman"/>
          <w:b/>
          <w:bCs/>
        </w:rPr>
        <w:t xml:space="preserve">Written Submissions </w:t>
      </w:r>
    </w:p>
    <w:p w14:paraId="28D5C33C" w14:textId="77777777" w:rsidR="008F0F4F" w:rsidRDefault="008F0F4F" w:rsidP="008F0F4F">
      <w:pPr>
        <w:spacing w:line="256" w:lineRule="auto"/>
      </w:pPr>
      <w:r w:rsidRPr="00CA6287">
        <w:rPr>
          <w:rFonts w:ascii="Calibri" w:eastAsia="Calibri" w:hAnsi="Calibri" w:cs="Times New Roman"/>
        </w:rPr>
        <w:t>The LCO encourages written submissions.</w:t>
      </w:r>
      <w:r>
        <w:rPr>
          <w:rFonts w:ascii="Calibri" w:eastAsia="Calibri" w:hAnsi="Calibri" w:cs="Times New Roman"/>
        </w:rPr>
        <w:t xml:space="preserve"> </w:t>
      </w:r>
      <w:r w:rsidRPr="00CA6287">
        <w:rPr>
          <w:rFonts w:ascii="Calibri" w:eastAsia="Calibri" w:hAnsi="Calibri" w:cs="Times New Roman"/>
        </w:rPr>
        <w:t xml:space="preserve">Written submissions can be sent to the LCO’s general email address at </w:t>
      </w:r>
      <w:hyperlink r:id="rId38" w:history="1">
        <w:r w:rsidRPr="00A932B1">
          <w:rPr>
            <w:rStyle w:val="Hyperlink"/>
          </w:rPr>
          <w:t>LawCommission@lco-cdo.org</w:t>
        </w:r>
      </w:hyperlink>
      <w:r>
        <w:t>.</w:t>
      </w:r>
    </w:p>
    <w:p w14:paraId="2BAFAA97" w14:textId="7CB0827D" w:rsidR="008F0F4F" w:rsidRPr="000B31B9" w:rsidRDefault="008F0F4F" w:rsidP="008F0F4F">
      <w:pPr>
        <w:spacing w:line="256" w:lineRule="auto"/>
        <w:rPr>
          <w:rFonts w:ascii="Calibri" w:eastAsia="Calibri" w:hAnsi="Calibri" w:cs="Times New Roman"/>
        </w:rPr>
      </w:pPr>
      <w:r w:rsidRPr="00B437AD">
        <w:t xml:space="preserve">The deadline for written submissions is </w:t>
      </w:r>
      <w:r w:rsidR="00B4769F">
        <w:t>September 1</w:t>
      </w:r>
      <w:r w:rsidRPr="007A41A0">
        <w:t>, 2023</w:t>
      </w:r>
      <w:r w:rsidRPr="007A41A0">
        <w:rPr>
          <w:rFonts w:ascii="Calibri" w:eastAsia="Calibri" w:hAnsi="Calibri" w:cs="Times New Roman"/>
        </w:rPr>
        <w:t>.</w:t>
      </w:r>
      <w:r w:rsidRPr="000B31B9">
        <w:rPr>
          <w:rFonts w:ascii="Calibri" w:eastAsia="Calibri" w:hAnsi="Calibri" w:cs="Times New Roman"/>
        </w:rPr>
        <w:t xml:space="preserve"> </w:t>
      </w:r>
    </w:p>
    <w:p w14:paraId="0D303BE0" w14:textId="77777777" w:rsidR="008F0F4F" w:rsidRPr="00CA6287" w:rsidRDefault="008F0F4F" w:rsidP="008F0F4F">
      <w:pPr>
        <w:spacing w:line="256" w:lineRule="auto"/>
        <w:rPr>
          <w:rFonts w:ascii="Calibri" w:eastAsia="Calibri" w:hAnsi="Calibri" w:cs="Times New Roman"/>
        </w:rPr>
      </w:pPr>
      <w:r w:rsidRPr="00CA6287">
        <w:rPr>
          <w:rFonts w:ascii="Calibri" w:eastAsia="Calibri" w:hAnsi="Calibri" w:cs="Times New Roman"/>
        </w:rPr>
        <w:t>The LCO is committed to sharing ideas and building constructive dialogue.</w:t>
      </w:r>
      <w:r>
        <w:rPr>
          <w:rFonts w:ascii="Calibri" w:eastAsia="Calibri" w:hAnsi="Calibri" w:cs="Times New Roman"/>
        </w:rPr>
        <w:t xml:space="preserve"> </w:t>
      </w:r>
      <w:r w:rsidRPr="00CA6287">
        <w:rPr>
          <w:rFonts w:ascii="Calibri" w:eastAsia="Calibri" w:hAnsi="Calibri" w:cs="Times New Roman"/>
        </w:rPr>
        <w:t>Accordingly, the LCO expects to post written submissions on our project webpage, subject to limited exceptions.</w:t>
      </w:r>
      <w:r>
        <w:rPr>
          <w:rFonts w:ascii="Calibri" w:eastAsia="Calibri" w:hAnsi="Calibri" w:cs="Times New Roman"/>
        </w:rPr>
        <w:t xml:space="preserve"> </w:t>
      </w:r>
      <w:r w:rsidRPr="00CA6287">
        <w:rPr>
          <w:rFonts w:ascii="Calibri" w:eastAsia="Calibri" w:hAnsi="Calibri" w:cs="Times New Roman"/>
        </w:rPr>
        <w:t>Individuals or organizations wishing to provide a written submission may want to contact the LCO for further information prior to their submission.</w:t>
      </w:r>
      <w:r>
        <w:rPr>
          <w:rFonts w:ascii="Calibri" w:eastAsia="Calibri" w:hAnsi="Calibri" w:cs="Times New Roman"/>
        </w:rPr>
        <w:t xml:space="preserve"> </w:t>
      </w:r>
    </w:p>
    <w:p w14:paraId="0E75ABC3" w14:textId="77777777" w:rsidR="008F0F4F" w:rsidRPr="00CA6287" w:rsidRDefault="008F0F4F" w:rsidP="008F0F4F">
      <w:pPr>
        <w:spacing w:line="256" w:lineRule="auto"/>
        <w:rPr>
          <w:rFonts w:ascii="Calibri" w:eastAsia="Calibri" w:hAnsi="Calibri" w:cs="Times New Roman"/>
          <w:b/>
          <w:bCs/>
        </w:rPr>
      </w:pPr>
      <w:r w:rsidRPr="00CA6287">
        <w:rPr>
          <w:rFonts w:ascii="Calibri" w:eastAsia="Calibri" w:hAnsi="Calibri" w:cs="Times New Roman"/>
          <w:b/>
          <w:bCs/>
        </w:rPr>
        <w:t>Project Lead and Contacts</w:t>
      </w:r>
    </w:p>
    <w:p w14:paraId="534B11D5" w14:textId="77777777" w:rsidR="008F0F4F" w:rsidRPr="00CA6287" w:rsidRDefault="008F0F4F" w:rsidP="008F0F4F">
      <w:pPr>
        <w:spacing w:line="256" w:lineRule="auto"/>
        <w:rPr>
          <w:rFonts w:ascii="Calibri" w:eastAsia="Calibri" w:hAnsi="Calibri" w:cs="Times New Roman"/>
        </w:rPr>
      </w:pPr>
      <w:r w:rsidRPr="00CA6287">
        <w:rPr>
          <w:rFonts w:ascii="Calibri" w:eastAsia="Calibri" w:hAnsi="Calibri" w:cs="Times New Roman"/>
        </w:rPr>
        <w:t>The LCO’s Project Lead is Ryan Fritsch.</w:t>
      </w:r>
      <w:r>
        <w:rPr>
          <w:rFonts w:ascii="Calibri" w:eastAsia="Calibri" w:hAnsi="Calibri" w:cs="Times New Roman"/>
        </w:rPr>
        <w:t xml:space="preserve"> </w:t>
      </w:r>
      <w:r w:rsidRPr="00CA6287">
        <w:rPr>
          <w:rFonts w:ascii="Calibri" w:eastAsia="Calibri" w:hAnsi="Calibri" w:cs="Times New Roman"/>
        </w:rPr>
        <w:t xml:space="preserve">Ryan can be contacted at </w:t>
      </w:r>
      <w:hyperlink r:id="rId39" w:history="1">
        <w:r w:rsidRPr="00CA6287">
          <w:rPr>
            <w:rStyle w:val="Hyperlink"/>
            <w:rFonts w:ascii="Calibri" w:eastAsia="Calibri" w:hAnsi="Calibri" w:cs="Times New Roman"/>
          </w:rPr>
          <w:t>rfritsch@lco-cdo.org</w:t>
        </w:r>
      </w:hyperlink>
      <w:r w:rsidRPr="00CA6287">
        <w:rPr>
          <w:rFonts w:ascii="Calibri" w:eastAsia="Calibri" w:hAnsi="Calibri" w:cs="Times New Roman"/>
        </w:rPr>
        <w:t>.</w:t>
      </w:r>
    </w:p>
    <w:p w14:paraId="01F808DA" w14:textId="77777777" w:rsidR="008F0F4F" w:rsidRDefault="008F0F4F" w:rsidP="008F0F4F">
      <w:r>
        <w:t xml:space="preserve">The LCO can also be contacted at: </w:t>
      </w:r>
    </w:p>
    <w:p w14:paraId="237838F6" w14:textId="77777777" w:rsidR="008F0F4F" w:rsidRDefault="008F0F4F" w:rsidP="008F0F4F">
      <w:pPr>
        <w:spacing w:after="0"/>
        <w:rPr>
          <w:lang w:val="da-DK"/>
        </w:rPr>
      </w:pPr>
      <w:r>
        <w:t>Law Commission of Ontario</w:t>
      </w:r>
      <w:r>
        <w:br/>
        <w:t xml:space="preserve">2032 Ignat Kaneff Building </w:t>
      </w:r>
      <w:r>
        <w:br/>
        <w:t xml:space="preserve">Osgoode Hall Law School, York University </w:t>
      </w:r>
      <w:r>
        <w:br/>
        <w:t xml:space="preserve">4700 Keele Street </w:t>
      </w:r>
      <w:r>
        <w:br/>
      </w:r>
      <w:r w:rsidRPr="00CA6287">
        <w:rPr>
          <w:lang w:val="it-IT"/>
        </w:rPr>
        <w:t xml:space="preserve">Toronto, Ontario, Canada </w:t>
      </w:r>
      <w:r>
        <w:br/>
      </w:r>
      <w:r w:rsidRPr="00CA6287">
        <w:rPr>
          <w:lang w:val="da-DK"/>
        </w:rPr>
        <w:t xml:space="preserve">M3J 1P3 </w:t>
      </w:r>
    </w:p>
    <w:p w14:paraId="2FE8FF1F" w14:textId="562DFDD3" w:rsidR="00EA7B84" w:rsidRDefault="00000000" w:rsidP="008F0F4F">
      <w:hyperlink r:id="rId40" w:history="1">
        <w:r w:rsidR="008F0F4F" w:rsidRPr="00A932B1">
          <w:rPr>
            <w:rStyle w:val="Hyperlink"/>
          </w:rPr>
          <w:t>LawCommission@lco-cdo.org</w:t>
        </w:r>
      </w:hyperlink>
    </w:p>
    <w:p w14:paraId="6AF50293" w14:textId="4C6485F9" w:rsidR="00516AFF" w:rsidRDefault="00516AFF">
      <w:r>
        <w:br w:type="page"/>
      </w:r>
    </w:p>
    <w:p w14:paraId="4E102BFC" w14:textId="4F25DB72" w:rsidR="00DF0DFE" w:rsidRPr="0088759C" w:rsidRDefault="00D55BF6" w:rsidP="005967D3">
      <w:pPr>
        <w:pStyle w:val="Heading1"/>
      </w:pPr>
      <w:bookmarkStart w:id="116" w:name="_Toc138151884"/>
      <w:r>
        <w:lastRenderedPageBreak/>
        <w:t>Appendix A</w:t>
      </w:r>
      <w:r w:rsidR="00DF0DFE">
        <w:t xml:space="preserve"> – Consultation Questions</w:t>
      </w:r>
      <w:bookmarkEnd w:id="116"/>
    </w:p>
    <w:p w14:paraId="350824EA" w14:textId="7A6089F1" w:rsidR="00D55BF6" w:rsidRDefault="00D55BF6" w:rsidP="00DF0DFE">
      <w:pPr>
        <w:pStyle w:val="Heading1"/>
        <w:spacing w:before="0"/>
      </w:pPr>
      <w:r w:rsidRPr="0088759C">
        <w:t xml:space="preserve"> </w:t>
      </w:r>
    </w:p>
    <w:p w14:paraId="3A31B119" w14:textId="77777777" w:rsidR="00497C4C" w:rsidRPr="00303063" w:rsidRDefault="00497C4C" w:rsidP="00497C4C">
      <w:pPr>
        <w:spacing w:line="256" w:lineRule="auto"/>
        <w:rPr>
          <w:rFonts w:ascii="Calibri" w:eastAsia="Calibri" w:hAnsi="Calibri" w:cs="Times New Roman"/>
          <w:b/>
          <w:iCs/>
        </w:rPr>
      </w:pPr>
      <w:r w:rsidRPr="00303063">
        <w:rPr>
          <w:rFonts w:ascii="Calibri" w:eastAsia="Calibri" w:hAnsi="Calibri" w:cs="Times New Roman"/>
          <w:b/>
          <w:iCs/>
        </w:rPr>
        <w:t>Online Contracts</w:t>
      </w:r>
    </w:p>
    <w:p w14:paraId="774DFC25" w14:textId="77777777" w:rsidR="00DF7D5F" w:rsidRPr="00303063" w:rsidRDefault="00DF7D5F" w:rsidP="00DF7D5F">
      <w:pPr>
        <w:spacing w:line="256" w:lineRule="auto"/>
        <w:ind w:left="1440" w:hanging="1440"/>
        <w:rPr>
          <w:rFonts w:ascii="Calibri" w:eastAsia="Calibri" w:hAnsi="Calibri" w:cs="Times New Roman"/>
          <w:i/>
          <w:iCs/>
        </w:rPr>
      </w:pPr>
      <w:r w:rsidRPr="00303063">
        <w:rPr>
          <w:rFonts w:ascii="Calibri" w:eastAsia="Calibri" w:hAnsi="Calibri" w:cs="Times New Roman"/>
          <w:i/>
          <w:iCs/>
        </w:rPr>
        <w:t>Question 1:</w:t>
      </w:r>
      <w:r w:rsidRPr="00303063">
        <w:rPr>
          <w:rFonts w:ascii="Calibri" w:eastAsia="Calibri" w:hAnsi="Calibri" w:cs="Times New Roman"/>
          <w:i/>
          <w:iCs/>
        </w:rPr>
        <w:tab/>
        <w:t>What factor or factors distinguish “online” practices from other forms of contract identified in the Consumer Protection Act (CPA)?</w:t>
      </w:r>
    </w:p>
    <w:p w14:paraId="05CF0C42" w14:textId="77777777" w:rsidR="00DF7D5F" w:rsidRPr="00303063" w:rsidRDefault="00DF7D5F" w:rsidP="00DF7D5F">
      <w:pPr>
        <w:spacing w:line="256" w:lineRule="auto"/>
        <w:ind w:left="1440" w:hanging="1440"/>
        <w:rPr>
          <w:rFonts w:ascii="Calibri" w:eastAsia="Calibri" w:hAnsi="Calibri" w:cs="Times New Roman"/>
          <w:i/>
          <w:iCs/>
          <w:color w:val="FF0000"/>
        </w:rPr>
      </w:pPr>
      <w:r w:rsidRPr="00303063">
        <w:rPr>
          <w:rFonts w:ascii="Calibri" w:eastAsia="Calibri" w:hAnsi="Calibri" w:cs="Times New Roman"/>
          <w:i/>
          <w:iCs/>
        </w:rPr>
        <w:t xml:space="preserve">Question 2: </w:t>
      </w:r>
      <w:r w:rsidRPr="00303063">
        <w:rPr>
          <w:rFonts w:ascii="Calibri" w:eastAsia="Calibri" w:hAnsi="Calibri" w:cs="Times New Roman"/>
          <w:i/>
          <w:iCs/>
        </w:rPr>
        <w:tab/>
        <w:t xml:space="preserve">Should Ontario create a statutory or regulatory framework to address potential consumer risks and harms in the digital marketplace? If so, should the CPA be amended to add a statutory definition of “online” practices?  How should “online” practices be defined? </w:t>
      </w:r>
    </w:p>
    <w:p w14:paraId="3A2DB0FA" w14:textId="77777777" w:rsidR="00497C4C" w:rsidRPr="00303063" w:rsidRDefault="00497C4C" w:rsidP="00497C4C">
      <w:pPr>
        <w:spacing w:line="256" w:lineRule="auto"/>
        <w:rPr>
          <w:rFonts w:ascii="Calibri" w:eastAsia="Calibri" w:hAnsi="Calibri" w:cs="Times New Roman"/>
          <w:i/>
          <w:iCs/>
          <w:color w:val="FF0000"/>
        </w:rPr>
      </w:pPr>
    </w:p>
    <w:p w14:paraId="05EB295C" w14:textId="77777777" w:rsidR="00497C4C" w:rsidRPr="00303063" w:rsidRDefault="00497C4C" w:rsidP="00497C4C">
      <w:pPr>
        <w:spacing w:line="256" w:lineRule="auto"/>
        <w:rPr>
          <w:rFonts w:ascii="Calibri" w:eastAsia="Calibri" w:hAnsi="Calibri" w:cs="Times New Roman"/>
          <w:b/>
          <w:iCs/>
        </w:rPr>
      </w:pPr>
      <w:r w:rsidRPr="00303063">
        <w:rPr>
          <w:rFonts w:ascii="Calibri" w:eastAsia="Calibri" w:hAnsi="Calibri" w:cs="Times New Roman"/>
          <w:b/>
          <w:iCs/>
        </w:rPr>
        <w:t xml:space="preserve">Monetary Threshold </w:t>
      </w:r>
    </w:p>
    <w:p w14:paraId="299E6D4A" w14:textId="77777777" w:rsidR="00497C4C" w:rsidRPr="00303063" w:rsidRDefault="00497C4C" w:rsidP="00497C4C">
      <w:pPr>
        <w:spacing w:line="256" w:lineRule="auto"/>
        <w:ind w:left="1440" w:hanging="1440"/>
        <w:rPr>
          <w:rFonts w:ascii="Calibri" w:eastAsia="Calibri" w:hAnsi="Calibri" w:cs="Times New Roman"/>
          <w:i/>
          <w:iCs/>
        </w:rPr>
      </w:pPr>
      <w:r w:rsidRPr="00303063">
        <w:rPr>
          <w:rFonts w:ascii="Calibri" w:eastAsia="Calibri" w:hAnsi="Calibri" w:cs="Times New Roman"/>
          <w:i/>
          <w:iCs/>
        </w:rPr>
        <w:t xml:space="preserve">Question 3: </w:t>
      </w:r>
      <w:r w:rsidRPr="00303063">
        <w:rPr>
          <w:rFonts w:ascii="Calibri" w:eastAsia="Calibri" w:hAnsi="Calibri" w:cs="Times New Roman"/>
          <w:i/>
          <w:iCs/>
        </w:rPr>
        <w:tab/>
        <w:t>Should the CPA be amended to eliminate the monetary threshold (currently $50) for consumer protections for “online” contracts?  What are the potential benefits and drawbacks of eliminating the monetary threshold?</w:t>
      </w:r>
    </w:p>
    <w:p w14:paraId="3DD37292" w14:textId="77777777" w:rsidR="00497C4C" w:rsidRPr="00303063" w:rsidRDefault="00497C4C" w:rsidP="00497C4C">
      <w:pPr>
        <w:spacing w:line="256" w:lineRule="auto"/>
        <w:ind w:left="1440" w:hanging="1440"/>
        <w:rPr>
          <w:rFonts w:ascii="Calibri" w:eastAsia="Calibri" w:hAnsi="Calibri" w:cs="Times New Roman"/>
          <w:iCs/>
        </w:rPr>
      </w:pPr>
    </w:p>
    <w:p w14:paraId="73DF17D6" w14:textId="77777777" w:rsidR="00497C4C" w:rsidRPr="00303063" w:rsidRDefault="00497C4C" w:rsidP="00497C4C">
      <w:pPr>
        <w:spacing w:line="256" w:lineRule="auto"/>
        <w:ind w:left="1440" w:hanging="1440"/>
        <w:rPr>
          <w:rFonts w:ascii="Calibri" w:eastAsia="Calibri" w:hAnsi="Calibri" w:cs="Times New Roman"/>
          <w:b/>
          <w:iCs/>
        </w:rPr>
      </w:pPr>
      <w:r w:rsidRPr="00303063">
        <w:rPr>
          <w:rFonts w:ascii="Calibri" w:eastAsia="Calibri" w:hAnsi="Calibri" w:cs="Times New Roman"/>
          <w:b/>
          <w:iCs/>
        </w:rPr>
        <w:t xml:space="preserve">Unilateral Changes </w:t>
      </w:r>
    </w:p>
    <w:p w14:paraId="50A273EA" w14:textId="77777777" w:rsidR="00497C4C" w:rsidRPr="00303063" w:rsidRDefault="00497C4C" w:rsidP="00497C4C">
      <w:pPr>
        <w:spacing w:line="256" w:lineRule="auto"/>
        <w:ind w:left="1440" w:hanging="1440"/>
        <w:rPr>
          <w:rFonts w:ascii="Calibri" w:eastAsia="Calibri" w:hAnsi="Calibri" w:cs="Times New Roman"/>
          <w:i/>
          <w:iCs/>
        </w:rPr>
      </w:pPr>
      <w:r w:rsidRPr="00303063">
        <w:rPr>
          <w:rFonts w:ascii="Calibri" w:eastAsia="Calibri" w:hAnsi="Calibri" w:cs="Times New Roman"/>
          <w:i/>
          <w:iCs/>
        </w:rPr>
        <w:t xml:space="preserve">Question 4: </w:t>
      </w:r>
      <w:r w:rsidRPr="00303063">
        <w:rPr>
          <w:rFonts w:ascii="Calibri" w:eastAsia="Calibri" w:hAnsi="Calibri" w:cs="Times New Roman"/>
          <w:i/>
          <w:iCs/>
        </w:rPr>
        <w:tab/>
        <w:t>Should the CPA be amended to reflect to provide more consumer protections against unilateral changes in terms of service (ToS) in the digital marketplace?  If so, could this be achieved by:</w:t>
      </w:r>
    </w:p>
    <w:p w14:paraId="0345A590" w14:textId="77777777" w:rsidR="00497C4C" w:rsidRPr="00303063" w:rsidRDefault="00497C4C" w:rsidP="00470F77">
      <w:pPr>
        <w:numPr>
          <w:ilvl w:val="0"/>
          <w:numId w:val="72"/>
        </w:numPr>
        <w:spacing w:after="0" w:line="256" w:lineRule="auto"/>
        <w:contextualSpacing/>
        <w:rPr>
          <w:rFonts w:ascii="Calibri" w:eastAsia="Calibri" w:hAnsi="Calibri" w:cs="Times New Roman"/>
          <w:i/>
          <w:iCs/>
        </w:rPr>
      </w:pPr>
      <w:r w:rsidRPr="00303063">
        <w:rPr>
          <w:rFonts w:ascii="Calibri" w:eastAsia="Calibri" w:hAnsi="Calibri" w:cs="Times New Roman"/>
          <w:i/>
          <w:iCs/>
        </w:rPr>
        <w:t>Prohibiting unilateral changes related to “key information” or “market contexts”?</w:t>
      </w:r>
    </w:p>
    <w:p w14:paraId="7AA866C9" w14:textId="77777777" w:rsidR="00F32BE2" w:rsidRPr="00303063" w:rsidRDefault="00497C4C" w:rsidP="00F32BE2">
      <w:pPr>
        <w:numPr>
          <w:ilvl w:val="0"/>
          <w:numId w:val="14"/>
        </w:numPr>
        <w:spacing w:after="0" w:line="256" w:lineRule="auto"/>
        <w:contextualSpacing/>
        <w:rPr>
          <w:rFonts w:ascii="Calibri" w:eastAsia="Calibri" w:hAnsi="Calibri" w:cs="Times New Roman"/>
          <w:i/>
          <w:iCs/>
        </w:rPr>
      </w:pPr>
      <w:r w:rsidRPr="00303063">
        <w:rPr>
          <w:rFonts w:ascii="Calibri" w:eastAsia="Calibri" w:hAnsi="Calibri" w:cs="Times New Roman"/>
          <w:i/>
          <w:iCs/>
        </w:rPr>
        <w:t>Providing a right to cancel a contract without penalty under proscribed circumstances?</w:t>
      </w:r>
      <w:r w:rsidR="00F32BE2" w:rsidRPr="00303063">
        <w:rPr>
          <w:rFonts w:ascii="Calibri" w:eastAsia="Calibri" w:hAnsi="Calibri" w:cs="Times New Roman"/>
          <w:i/>
          <w:iCs/>
        </w:rPr>
        <w:t xml:space="preserve"> </w:t>
      </w:r>
    </w:p>
    <w:p w14:paraId="237E5A17" w14:textId="2288BCD0" w:rsidR="00F32BE2" w:rsidRPr="00303063" w:rsidRDefault="00F32BE2" w:rsidP="008546ED">
      <w:pPr>
        <w:numPr>
          <w:ilvl w:val="0"/>
          <w:numId w:val="14"/>
        </w:numPr>
        <w:spacing w:after="0" w:line="256" w:lineRule="auto"/>
        <w:contextualSpacing/>
        <w:rPr>
          <w:rFonts w:ascii="Calibri" w:eastAsia="Calibri" w:hAnsi="Calibri" w:cs="Times New Roman"/>
          <w:i/>
          <w:iCs/>
        </w:rPr>
      </w:pPr>
      <w:r w:rsidRPr="00303063">
        <w:rPr>
          <w:rFonts w:ascii="Calibri" w:eastAsia="Calibri" w:hAnsi="Calibri" w:cs="Times New Roman"/>
          <w:i/>
          <w:iCs/>
        </w:rPr>
        <w:t xml:space="preserve">Better ensuring a “duty of good faith” to distinguish routine from consequential unilateral changes?  </w:t>
      </w:r>
    </w:p>
    <w:p w14:paraId="24A58F30" w14:textId="77777777" w:rsidR="00497C4C" w:rsidRPr="00303063" w:rsidRDefault="00497C4C" w:rsidP="00470F77">
      <w:pPr>
        <w:numPr>
          <w:ilvl w:val="0"/>
          <w:numId w:val="72"/>
        </w:numPr>
        <w:spacing w:after="0" w:line="256" w:lineRule="auto"/>
        <w:contextualSpacing/>
        <w:rPr>
          <w:rFonts w:ascii="Calibri" w:eastAsia="Calibri" w:hAnsi="Calibri" w:cs="Times New Roman"/>
          <w:i/>
          <w:iCs/>
        </w:rPr>
      </w:pPr>
      <w:r w:rsidRPr="00303063">
        <w:rPr>
          <w:rFonts w:ascii="Calibri" w:eastAsia="Calibri" w:hAnsi="Calibri" w:cs="Times New Roman"/>
          <w:i/>
          <w:iCs/>
        </w:rPr>
        <w:t xml:space="preserve">Creating a ToS registry, consumer welfare agency, or other audit mechanism to review unilateral changes and prepare independent summaries for consumers about potential risks and consequences. </w:t>
      </w:r>
    </w:p>
    <w:p w14:paraId="7E72F296" w14:textId="77777777" w:rsidR="00497C4C" w:rsidRPr="00303063" w:rsidRDefault="00497C4C" w:rsidP="00470F77">
      <w:pPr>
        <w:numPr>
          <w:ilvl w:val="0"/>
          <w:numId w:val="72"/>
        </w:numPr>
        <w:spacing w:after="0" w:line="256" w:lineRule="auto"/>
        <w:contextualSpacing/>
        <w:rPr>
          <w:rFonts w:ascii="Calibri" w:eastAsia="Calibri" w:hAnsi="Calibri" w:cs="Times New Roman"/>
          <w:i/>
          <w:iCs/>
        </w:rPr>
      </w:pPr>
      <w:r w:rsidRPr="00303063">
        <w:rPr>
          <w:rFonts w:ascii="Calibri" w:eastAsia="Calibri" w:hAnsi="Calibri" w:cs="Times New Roman"/>
          <w:i/>
          <w:iCs/>
        </w:rPr>
        <w:t>Other potential reforms?</w:t>
      </w:r>
    </w:p>
    <w:p w14:paraId="1AD14FA4" w14:textId="77777777" w:rsidR="00497C4C" w:rsidRPr="00303063" w:rsidRDefault="00497C4C" w:rsidP="00497C4C">
      <w:pPr>
        <w:spacing w:after="0" w:line="256" w:lineRule="auto"/>
        <w:rPr>
          <w:rFonts w:ascii="Calibri" w:eastAsia="Calibri" w:hAnsi="Calibri" w:cs="Times New Roman"/>
          <w:iCs/>
        </w:rPr>
      </w:pPr>
    </w:p>
    <w:p w14:paraId="6AE916D3" w14:textId="77777777" w:rsidR="00497C4C" w:rsidRPr="00303063" w:rsidRDefault="00497C4C" w:rsidP="00497C4C">
      <w:pPr>
        <w:spacing w:line="256" w:lineRule="auto"/>
        <w:ind w:left="1440" w:hanging="1440"/>
        <w:rPr>
          <w:rFonts w:ascii="Calibri" w:eastAsia="Calibri" w:hAnsi="Calibri" w:cs="Times New Roman"/>
          <w:i/>
        </w:rPr>
      </w:pPr>
      <w:r w:rsidRPr="00303063">
        <w:rPr>
          <w:rFonts w:ascii="Calibri" w:eastAsia="Calibri" w:hAnsi="Calibri" w:cs="Times New Roman"/>
          <w:i/>
        </w:rPr>
        <w:t>Question 5:</w:t>
      </w:r>
      <w:r w:rsidRPr="00303063">
        <w:rPr>
          <w:rFonts w:ascii="Calibri" w:eastAsia="Calibri" w:hAnsi="Calibri" w:cs="Times New Roman"/>
          <w:i/>
        </w:rPr>
        <w:tab/>
        <w:t xml:space="preserve">How should potential reforms to better protect consumers against unilateral changes be balanced against the legitimate interests of online suppliers? </w:t>
      </w:r>
    </w:p>
    <w:p w14:paraId="076E0E09" w14:textId="7FF89BEC" w:rsidR="00497C4C" w:rsidRPr="00303063" w:rsidRDefault="00497C4C" w:rsidP="00497C4C">
      <w:pPr>
        <w:spacing w:line="256" w:lineRule="auto"/>
        <w:rPr>
          <w:rFonts w:ascii="Calibri" w:eastAsia="Calibri" w:hAnsi="Calibri" w:cs="Times New Roman"/>
          <w:b/>
          <w:iCs/>
        </w:rPr>
      </w:pPr>
    </w:p>
    <w:p w14:paraId="241D1B7B" w14:textId="77777777" w:rsidR="00497C4C" w:rsidRPr="00303063" w:rsidRDefault="00497C4C" w:rsidP="00497C4C">
      <w:pPr>
        <w:spacing w:line="256" w:lineRule="auto"/>
        <w:ind w:left="1440" w:hanging="1440"/>
        <w:rPr>
          <w:rFonts w:ascii="Calibri" w:eastAsia="Calibri" w:hAnsi="Calibri" w:cs="Times New Roman"/>
          <w:b/>
          <w:iCs/>
        </w:rPr>
      </w:pPr>
      <w:r w:rsidRPr="00303063">
        <w:rPr>
          <w:rFonts w:ascii="Calibri" w:eastAsia="Calibri" w:hAnsi="Calibri" w:cs="Times New Roman"/>
          <w:b/>
          <w:iCs/>
        </w:rPr>
        <w:t>Notice and Disclosure</w:t>
      </w:r>
    </w:p>
    <w:p w14:paraId="0BB3F79B" w14:textId="77777777" w:rsidR="00497C4C" w:rsidRPr="00303063" w:rsidRDefault="00497C4C" w:rsidP="00497C4C">
      <w:pPr>
        <w:spacing w:line="256" w:lineRule="auto"/>
        <w:ind w:left="1440" w:hanging="1440"/>
        <w:rPr>
          <w:rFonts w:ascii="Calibri" w:eastAsia="Calibri" w:hAnsi="Calibri" w:cs="Times New Roman"/>
          <w:i/>
          <w:iCs/>
        </w:rPr>
      </w:pPr>
      <w:r w:rsidRPr="00303063">
        <w:rPr>
          <w:rFonts w:ascii="Calibri" w:eastAsia="Calibri" w:hAnsi="Calibri" w:cs="Times New Roman"/>
          <w:i/>
          <w:iCs/>
        </w:rPr>
        <w:t xml:space="preserve">Question 6: </w:t>
      </w:r>
      <w:r w:rsidRPr="00303063">
        <w:rPr>
          <w:rFonts w:ascii="Calibri" w:eastAsia="Calibri" w:hAnsi="Calibri" w:cs="Times New Roman"/>
          <w:i/>
          <w:iCs/>
        </w:rPr>
        <w:tab/>
        <w:t>Should the CPA be amended to require online suppliers to provide more meaningful and effective notice of material terms and online consumer risks?  If so,</w:t>
      </w:r>
    </w:p>
    <w:p w14:paraId="122EB873" w14:textId="77777777" w:rsidR="00497C4C" w:rsidRPr="00303063" w:rsidRDefault="00497C4C" w:rsidP="00470F77">
      <w:pPr>
        <w:numPr>
          <w:ilvl w:val="0"/>
          <w:numId w:val="73"/>
        </w:numPr>
        <w:spacing w:line="256" w:lineRule="auto"/>
        <w:contextualSpacing/>
        <w:rPr>
          <w:rFonts w:ascii="Calibri" w:eastAsia="Calibri" w:hAnsi="Calibri" w:cs="Times New Roman"/>
          <w:i/>
          <w:iCs/>
        </w:rPr>
      </w:pPr>
      <w:r w:rsidRPr="00303063">
        <w:rPr>
          <w:rFonts w:ascii="Calibri" w:eastAsia="Calibri" w:hAnsi="Calibri" w:cs="Times New Roman"/>
          <w:i/>
          <w:iCs/>
        </w:rPr>
        <w:t>What is the best way to improve online consumer notice while avoiding consumer information overload?</w:t>
      </w:r>
    </w:p>
    <w:p w14:paraId="2566BDAA" w14:textId="77777777" w:rsidR="00497C4C" w:rsidRPr="00303063" w:rsidRDefault="00497C4C" w:rsidP="00470F77">
      <w:pPr>
        <w:numPr>
          <w:ilvl w:val="0"/>
          <w:numId w:val="73"/>
        </w:numPr>
        <w:spacing w:line="256" w:lineRule="auto"/>
        <w:contextualSpacing/>
        <w:rPr>
          <w:rFonts w:ascii="Calibri" w:eastAsia="Calibri" w:hAnsi="Calibri" w:cs="Times New Roman"/>
          <w:i/>
          <w:iCs/>
        </w:rPr>
      </w:pPr>
      <w:r w:rsidRPr="00303063">
        <w:rPr>
          <w:rFonts w:ascii="Calibri" w:eastAsia="Calibri" w:hAnsi="Calibri" w:cs="Times New Roman"/>
          <w:i/>
          <w:iCs/>
        </w:rPr>
        <w:t xml:space="preserve">What “key information” should be disclosed to Ontario’s online consumers? </w:t>
      </w:r>
    </w:p>
    <w:p w14:paraId="7186EAD6" w14:textId="77777777" w:rsidR="00497C4C" w:rsidRPr="00303063" w:rsidRDefault="00497C4C" w:rsidP="00470F77">
      <w:pPr>
        <w:numPr>
          <w:ilvl w:val="0"/>
          <w:numId w:val="73"/>
        </w:numPr>
        <w:spacing w:line="256" w:lineRule="auto"/>
        <w:contextualSpacing/>
        <w:rPr>
          <w:rFonts w:ascii="Calibri" w:eastAsia="Calibri" w:hAnsi="Calibri" w:cs="Times New Roman"/>
          <w:i/>
          <w:iCs/>
        </w:rPr>
      </w:pPr>
      <w:r w:rsidRPr="00303063">
        <w:rPr>
          <w:rFonts w:ascii="Calibri" w:eastAsia="Calibri" w:hAnsi="Calibri" w:cs="Times New Roman"/>
          <w:i/>
          <w:iCs/>
        </w:rPr>
        <w:lastRenderedPageBreak/>
        <w:t>Should online “market contexts” and “deceptive practices” be disclosed to Ontario’s online consumers?  If so, what contexts or practices should be disclosed?</w:t>
      </w:r>
    </w:p>
    <w:p w14:paraId="5FEC09E7" w14:textId="77777777" w:rsidR="00497C4C" w:rsidRPr="00303063" w:rsidRDefault="00497C4C" w:rsidP="00470F77">
      <w:pPr>
        <w:numPr>
          <w:ilvl w:val="0"/>
          <w:numId w:val="73"/>
        </w:numPr>
        <w:spacing w:line="256" w:lineRule="auto"/>
        <w:contextualSpacing/>
        <w:rPr>
          <w:rFonts w:ascii="Calibri" w:eastAsia="Calibri" w:hAnsi="Calibri" w:cs="Times New Roman"/>
          <w:i/>
          <w:iCs/>
        </w:rPr>
      </w:pPr>
      <w:r w:rsidRPr="00303063">
        <w:rPr>
          <w:rFonts w:ascii="Calibri" w:eastAsia="Calibri" w:hAnsi="Calibri" w:cs="Times New Roman"/>
          <w:i/>
          <w:iCs/>
        </w:rPr>
        <w:t xml:space="preserve">Are reforms enacted or proposed in other jurisdictions (such as the EU and by the American Law Institute) appropriate for Ontario? </w:t>
      </w:r>
    </w:p>
    <w:p w14:paraId="54BC56B4" w14:textId="77777777" w:rsidR="005D3C15" w:rsidRPr="00303063" w:rsidRDefault="005D3C15" w:rsidP="005D3C15">
      <w:pPr>
        <w:spacing w:line="256" w:lineRule="auto"/>
        <w:ind w:left="1800"/>
        <w:contextualSpacing/>
        <w:rPr>
          <w:rFonts w:ascii="Calibri" w:eastAsia="Calibri" w:hAnsi="Calibri" w:cs="Times New Roman"/>
          <w:i/>
          <w:iCs/>
        </w:rPr>
      </w:pPr>
    </w:p>
    <w:p w14:paraId="7D44CDFD" w14:textId="43043842" w:rsidR="00497C4C" w:rsidRPr="00303063" w:rsidRDefault="00497C4C" w:rsidP="00497C4C">
      <w:pPr>
        <w:spacing w:after="0" w:line="240" w:lineRule="auto"/>
        <w:ind w:left="1440" w:hanging="1440"/>
        <w:rPr>
          <w:rFonts w:ascii="Calibri" w:eastAsia="Calibri" w:hAnsi="Calibri" w:cs="Times New Roman"/>
          <w:i/>
          <w:iCs/>
          <w:szCs w:val="21"/>
        </w:rPr>
      </w:pPr>
      <w:r w:rsidRPr="00303063">
        <w:rPr>
          <w:rFonts w:ascii="Calibri" w:eastAsia="Calibri" w:hAnsi="Calibri" w:cs="Times New Roman"/>
          <w:i/>
          <w:iCs/>
          <w:szCs w:val="21"/>
        </w:rPr>
        <w:t xml:space="preserve">Question 7: </w:t>
      </w:r>
      <w:r w:rsidRPr="00303063">
        <w:rPr>
          <w:rFonts w:ascii="Calibri" w:eastAsia="Calibri" w:hAnsi="Calibri" w:cs="Times New Roman"/>
          <w:i/>
          <w:iCs/>
          <w:szCs w:val="21"/>
        </w:rPr>
        <w:tab/>
        <w:t>There are many other options</w:t>
      </w:r>
      <w:r w:rsidR="005D3C15" w:rsidRPr="00303063">
        <w:rPr>
          <w:rFonts w:ascii="Calibri" w:eastAsia="Calibri" w:hAnsi="Calibri" w:cs="Times New Roman"/>
          <w:i/>
          <w:iCs/>
          <w:szCs w:val="21"/>
        </w:rPr>
        <w:t xml:space="preserve"> to</w:t>
      </w:r>
      <w:r w:rsidRPr="00303063">
        <w:rPr>
          <w:rFonts w:ascii="Calibri" w:eastAsia="Calibri" w:hAnsi="Calibri" w:cs="Times New Roman"/>
          <w:i/>
          <w:iCs/>
          <w:szCs w:val="21"/>
        </w:rPr>
        <w:t xml:space="preserve"> improve notice for online consumers, including standard terms, </w:t>
      </w:r>
      <w:r w:rsidR="005D3C15" w:rsidRPr="00303063">
        <w:rPr>
          <w:rFonts w:ascii="Calibri" w:eastAsia="Calibri" w:hAnsi="Calibri" w:cs="Times New Roman"/>
          <w:i/>
          <w:iCs/>
          <w:szCs w:val="21"/>
        </w:rPr>
        <w:t xml:space="preserve">prohibiting certain practices, </w:t>
      </w:r>
      <w:r w:rsidRPr="00303063">
        <w:rPr>
          <w:rFonts w:ascii="Calibri" w:eastAsia="Calibri" w:hAnsi="Calibri" w:cs="Times New Roman"/>
          <w:i/>
          <w:iCs/>
          <w:szCs w:val="21"/>
        </w:rPr>
        <w:t xml:space="preserve">trustmarks, etc. Which options should be adopted in Ontario, if any? </w:t>
      </w:r>
    </w:p>
    <w:p w14:paraId="539F5267" w14:textId="77777777" w:rsidR="00497C4C" w:rsidRPr="00303063" w:rsidRDefault="00497C4C" w:rsidP="00497C4C">
      <w:pPr>
        <w:spacing w:after="0" w:line="240" w:lineRule="auto"/>
        <w:ind w:left="1440" w:hanging="1440"/>
        <w:rPr>
          <w:rFonts w:ascii="Calibri" w:eastAsia="Calibri" w:hAnsi="Calibri" w:cs="Times New Roman"/>
          <w:i/>
          <w:iCs/>
          <w:szCs w:val="21"/>
        </w:rPr>
      </w:pPr>
    </w:p>
    <w:p w14:paraId="22291E0C" w14:textId="77777777" w:rsidR="00497C4C" w:rsidRPr="00303063" w:rsidRDefault="00497C4C" w:rsidP="00497C4C">
      <w:pPr>
        <w:spacing w:line="256" w:lineRule="auto"/>
        <w:ind w:left="1440" w:hanging="1440"/>
        <w:rPr>
          <w:rFonts w:ascii="Calibri" w:eastAsia="Calibri" w:hAnsi="Calibri" w:cs="Times New Roman"/>
          <w:i/>
          <w:iCs/>
        </w:rPr>
      </w:pPr>
      <w:r w:rsidRPr="00303063">
        <w:rPr>
          <w:rFonts w:ascii="Calibri" w:eastAsia="Calibri" w:hAnsi="Calibri" w:cs="Times New Roman"/>
          <w:i/>
          <w:iCs/>
        </w:rPr>
        <w:t>Question 8:</w:t>
      </w:r>
      <w:r w:rsidRPr="00303063">
        <w:rPr>
          <w:rFonts w:ascii="Calibri" w:eastAsia="Calibri" w:hAnsi="Calibri" w:cs="Times New Roman"/>
          <w:i/>
          <w:iCs/>
        </w:rPr>
        <w:tab/>
        <w:t>How should potential reforms to provide better or more meaningful notice to consumers be balanced against the legitimate interests of online suppliers?</w:t>
      </w:r>
    </w:p>
    <w:p w14:paraId="1E728A07" w14:textId="77777777" w:rsidR="00497C4C" w:rsidRPr="00303063" w:rsidRDefault="00497C4C" w:rsidP="00497C4C">
      <w:pPr>
        <w:spacing w:after="0" w:line="240" w:lineRule="auto"/>
        <w:rPr>
          <w:rFonts w:ascii="Calibri" w:eastAsia="Calibri" w:hAnsi="Calibri" w:cs="Times New Roman"/>
          <w:i/>
          <w:iCs/>
          <w:szCs w:val="21"/>
        </w:rPr>
      </w:pPr>
    </w:p>
    <w:p w14:paraId="2B25F5F4" w14:textId="77777777" w:rsidR="00497C4C" w:rsidRPr="00303063" w:rsidRDefault="00497C4C" w:rsidP="00497C4C">
      <w:pPr>
        <w:spacing w:line="256" w:lineRule="auto"/>
        <w:rPr>
          <w:rFonts w:ascii="Calibri" w:eastAsia="Calibri" w:hAnsi="Calibri" w:cs="Times New Roman"/>
          <w:b/>
        </w:rPr>
      </w:pPr>
      <w:r w:rsidRPr="00303063">
        <w:rPr>
          <w:rFonts w:ascii="Calibri" w:eastAsia="Calibri" w:hAnsi="Calibri" w:cs="Times New Roman"/>
          <w:b/>
        </w:rPr>
        <w:t>Dark Patterns</w:t>
      </w:r>
    </w:p>
    <w:p w14:paraId="6A594916" w14:textId="77113F9C" w:rsidR="00497C4C" w:rsidRPr="00303063" w:rsidRDefault="00497C4C" w:rsidP="00497C4C">
      <w:pPr>
        <w:spacing w:line="256" w:lineRule="auto"/>
        <w:ind w:left="1440" w:hanging="1440"/>
        <w:rPr>
          <w:rFonts w:ascii="Calibri" w:eastAsia="Calibri" w:hAnsi="Calibri" w:cs="Times New Roman"/>
          <w:i/>
          <w:iCs/>
        </w:rPr>
      </w:pPr>
      <w:r w:rsidRPr="00303063">
        <w:rPr>
          <w:rFonts w:ascii="Calibri" w:eastAsia="Calibri" w:hAnsi="Calibri" w:cs="Times New Roman"/>
          <w:i/>
          <w:iCs/>
          <w:szCs w:val="21"/>
        </w:rPr>
        <w:t xml:space="preserve">Question 9: </w:t>
      </w:r>
      <w:r w:rsidRPr="00303063">
        <w:rPr>
          <w:rFonts w:ascii="Calibri" w:eastAsia="Calibri" w:hAnsi="Calibri" w:cs="Times New Roman"/>
          <w:i/>
          <w:iCs/>
          <w:szCs w:val="21"/>
        </w:rPr>
        <w:tab/>
        <w:t xml:space="preserve">Should Ontario’s consumers have more protections against “dark patterns” in the digital marketplace?  </w:t>
      </w:r>
      <w:r w:rsidRPr="00303063">
        <w:rPr>
          <w:rFonts w:ascii="Calibri" w:eastAsia="Calibri" w:hAnsi="Calibri" w:cs="Times New Roman"/>
          <w:i/>
          <w:iCs/>
        </w:rPr>
        <w:t xml:space="preserve">If so, should the CPA </w:t>
      </w:r>
      <w:r w:rsidR="005D3C15" w:rsidRPr="00303063">
        <w:rPr>
          <w:rFonts w:ascii="Calibri" w:eastAsia="Calibri" w:hAnsi="Calibri" w:cs="Times New Roman"/>
          <w:i/>
          <w:iCs/>
        </w:rPr>
        <w:t>be</w:t>
      </w:r>
      <w:r w:rsidRPr="00303063">
        <w:rPr>
          <w:rFonts w:ascii="Calibri" w:eastAsia="Calibri" w:hAnsi="Calibri" w:cs="Times New Roman"/>
          <w:i/>
          <w:iCs/>
        </w:rPr>
        <w:t xml:space="preserve"> amended to prohibit these practices?  How would “dark pattern” practices be defined in the CPA?  </w:t>
      </w:r>
    </w:p>
    <w:p w14:paraId="7E55BAB6" w14:textId="77777777" w:rsidR="00497C4C" w:rsidRPr="00303063" w:rsidRDefault="00497C4C" w:rsidP="00497C4C">
      <w:pPr>
        <w:spacing w:line="256" w:lineRule="auto"/>
        <w:ind w:left="1440" w:hanging="1440"/>
        <w:rPr>
          <w:rFonts w:ascii="Calibri" w:eastAsia="Calibri" w:hAnsi="Calibri" w:cs="Times New Roman"/>
          <w:i/>
          <w:iCs/>
          <w:szCs w:val="21"/>
        </w:rPr>
      </w:pPr>
      <w:r w:rsidRPr="00303063">
        <w:rPr>
          <w:rFonts w:ascii="Calibri" w:eastAsia="Calibri" w:hAnsi="Calibri" w:cs="Times New Roman"/>
          <w:i/>
          <w:iCs/>
          <w:szCs w:val="21"/>
        </w:rPr>
        <w:t>Question 10:</w:t>
      </w:r>
      <w:r w:rsidRPr="00303063">
        <w:rPr>
          <w:rFonts w:ascii="Calibri" w:eastAsia="Calibri" w:hAnsi="Calibri" w:cs="Times New Roman"/>
          <w:i/>
          <w:iCs/>
        </w:rPr>
        <w:tab/>
        <w:t>In addition to a statutory definition, should the CPA be amended to include a list of “</w:t>
      </w:r>
      <w:r w:rsidRPr="00303063">
        <w:rPr>
          <w:rFonts w:ascii="Calibri" w:eastAsia="Calibri" w:hAnsi="Calibri" w:cs="Times New Roman"/>
          <w:i/>
          <w:iCs/>
          <w:szCs w:val="21"/>
        </w:rPr>
        <w:t>dark pattern” practices that should be prohibited or proscribed?  If so, which practices should be identified?</w:t>
      </w:r>
    </w:p>
    <w:p w14:paraId="39E8E3A2" w14:textId="77777777" w:rsidR="00497C4C" w:rsidRPr="00303063" w:rsidRDefault="00497C4C" w:rsidP="00497C4C">
      <w:pPr>
        <w:spacing w:after="0" w:line="240" w:lineRule="auto"/>
        <w:ind w:left="1440" w:hanging="1440"/>
        <w:rPr>
          <w:rFonts w:ascii="Calibri" w:eastAsia="Calibri" w:hAnsi="Calibri" w:cs="Times New Roman"/>
          <w:i/>
          <w:iCs/>
          <w:szCs w:val="21"/>
        </w:rPr>
      </w:pPr>
      <w:r w:rsidRPr="00303063">
        <w:rPr>
          <w:rFonts w:ascii="Calibri" w:eastAsia="Calibri" w:hAnsi="Calibri" w:cs="Times New Roman"/>
          <w:i/>
          <w:iCs/>
          <w:szCs w:val="21"/>
        </w:rPr>
        <w:t>Question 11:</w:t>
      </w:r>
      <w:r w:rsidRPr="00303063">
        <w:rPr>
          <w:rFonts w:ascii="Calibri" w:eastAsia="Calibri" w:hAnsi="Calibri" w:cs="Times New Roman"/>
          <w:i/>
          <w:iCs/>
          <w:szCs w:val="21"/>
        </w:rPr>
        <w:tab/>
        <w:t>What other reforms or initiatives should be adopted to improve consumer protections in this area?</w:t>
      </w:r>
    </w:p>
    <w:p w14:paraId="3671A015" w14:textId="77777777" w:rsidR="00497C4C" w:rsidRPr="00303063" w:rsidRDefault="00497C4C" w:rsidP="00497C4C">
      <w:pPr>
        <w:spacing w:after="0" w:line="240" w:lineRule="auto"/>
        <w:ind w:left="1440" w:hanging="1440"/>
        <w:rPr>
          <w:rFonts w:ascii="Calibri" w:eastAsia="Calibri" w:hAnsi="Calibri" w:cs="Times New Roman"/>
          <w:i/>
          <w:iCs/>
          <w:szCs w:val="21"/>
        </w:rPr>
      </w:pPr>
    </w:p>
    <w:p w14:paraId="52DFA79A" w14:textId="7325037F" w:rsidR="00497C4C" w:rsidRPr="00303063" w:rsidRDefault="003619BD" w:rsidP="00497C4C">
      <w:pPr>
        <w:spacing w:line="256" w:lineRule="auto"/>
        <w:rPr>
          <w:rFonts w:ascii="Calibri" w:eastAsia="Calibri" w:hAnsi="Calibri" w:cs="Times New Roman"/>
          <w:i/>
          <w:iCs/>
        </w:rPr>
      </w:pPr>
      <w:r w:rsidRPr="00303063">
        <w:rPr>
          <w:rFonts w:ascii="Calibri" w:eastAsia="Calibri" w:hAnsi="Calibri" w:cs="Times New Roman"/>
          <w:b/>
          <w:iCs/>
        </w:rPr>
        <w:t xml:space="preserve">Protecting </w:t>
      </w:r>
      <w:r w:rsidR="00497C4C" w:rsidRPr="00303063">
        <w:rPr>
          <w:rFonts w:ascii="Calibri" w:eastAsia="Calibri" w:hAnsi="Calibri" w:cs="Times New Roman"/>
          <w:b/>
          <w:iCs/>
        </w:rPr>
        <w:t>Youth</w:t>
      </w:r>
      <w:r w:rsidRPr="00303063">
        <w:rPr>
          <w:rFonts w:ascii="Calibri" w:eastAsia="Calibri" w:hAnsi="Calibri" w:cs="Times New Roman"/>
          <w:b/>
          <w:iCs/>
        </w:rPr>
        <w:t>, Elderly,</w:t>
      </w:r>
      <w:r w:rsidR="00497C4C" w:rsidRPr="00303063">
        <w:rPr>
          <w:rFonts w:ascii="Calibri" w:eastAsia="Calibri" w:hAnsi="Calibri" w:cs="Times New Roman"/>
          <w:b/>
          <w:iCs/>
        </w:rPr>
        <w:t xml:space="preserve"> and </w:t>
      </w:r>
      <w:r w:rsidRPr="00303063">
        <w:rPr>
          <w:rFonts w:ascii="Calibri" w:eastAsia="Calibri" w:hAnsi="Calibri" w:cs="Times New Roman"/>
          <w:b/>
          <w:iCs/>
        </w:rPr>
        <w:t xml:space="preserve">other </w:t>
      </w:r>
      <w:r w:rsidR="00497C4C" w:rsidRPr="00303063">
        <w:rPr>
          <w:rFonts w:ascii="Calibri" w:eastAsia="Calibri" w:hAnsi="Calibri" w:cs="Times New Roman"/>
          <w:b/>
          <w:iCs/>
        </w:rPr>
        <w:t>Vulnerable Consumers</w:t>
      </w:r>
    </w:p>
    <w:p w14:paraId="692D90C4" w14:textId="5DA17584" w:rsidR="00497C4C" w:rsidRPr="00303063" w:rsidRDefault="00497C4C" w:rsidP="00497C4C">
      <w:pPr>
        <w:spacing w:line="256" w:lineRule="auto"/>
        <w:ind w:left="1440" w:hanging="1440"/>
        <w:rPr>
          <w:rFonts w:ascii="Calibri" w:eastAsia="Calibri" w:hAnsi="Calibri" w:cs="Times New Roman"/>
          <w:i/>
          <w:iCs/>
        </w:rPr>
      </w:pPr>
      <w:r w:rsidRPr="00303063">
        <w:rPr>
          <w:rFonts w:ascii="Calibri" w:eastAsia="Calibri" w:hAnsi="Calibri" w:cs="Times New Roman"/>
          <w:i/>
          <w:iCs/>
          <w:szCs w:val="21"/>
        </w:rPr>
        <w:t xml:space="preserve">Question 12: </w:t>
      </w:r>
      <w:r w:rsidRPr="00303063">
        <w:rPr>
          <w:rFonts w:ascii="Calibri" w:eastAsia="Calibri" w:hAnsi="Calibri" w:cs="Times New Roman"/>
          <w:i/>
          <w:iCs/>
          <w:szCs w:val="21"/>
        </w:rPr>
        <w:tab/>
        <w:t>Do CPA sections 5 and s.15(2) provide sufficient consumer protections to youth</w:t>
      </w:r>
      <w:r w:rsidR="003619BD" w:rsidRPr="00303063">
        <w:rPr>
          <w:rFonts w:ascii="Calibri" w:eastAsia="Calibri" w:hAnsi="Calibri" w:cs="Times New Roman"/>
          <w:i/>
          <w:iCs/>
          <w:szCs w:val="21"/>
        </w:rPr>
        <w:t>, elderly</w:t>
      </w:r>
      <w:r w:rsidRPr="00303063">
        <w:rPr>
          <w:rFonts w:ascii="Calibri" w:eastAsia="Calibri" w:hAnsi="Calibri" w:cs="Times New Roman"/>
          <w:i/>
          <w:iCs/>
          <w:szCs w:val="21"/>
        </w:rPr>
        <w:t xml:space="preserve"> and </w:t>
      </w:r>
      <w:r w:rsidR="003619BD" w:rsidRPr="00303063">
        <w:rPr>
          <w:rFonts w:ascii="Calibri" w:eastAsia="Calibri" w:hAnsi="Calibri" w:cs="Times New Roman"/>
          <w:i/>
          <w:iCs/>
          <w:szCs w:val="21"/>
        </w:rPr>
        <w:t xml:space="preserve">other </w:t>
      </w:r>
      <w:r w:rsidRPr="00303063">
        <w:rPr>
          <w:rFonts w:ascii="Calibri" w:eastAsia="Calibri" w:hAnsi="Calibri" w:cs="Times New Roman"/>
          <w:i/>
          <w:iCs/>
          <w:szCs w:val="21"/>
        </w:rPr>
        <w:t xml:space="preserve">vulnerable communities against consumer risks in the digital marketplace?  Are additional or more specific consumer protections necessary?  </w:t>
      </w:r>
      <w:r w:rsidRPr="00303063">
        <w:rPr>
          <w:rFonts w:ascii="Calibri" w:eastAsia="Calibri" w:hAnsi="Calibri" w:cs="Times New Roman"/>
          <w:i/>
          <w:iCs/>
        </w:rPr>
        <w:t>If so, could this be achieved by:</w:t>
      </w:r>
    </w:p>
    <w:p w14:paraId="7C33B9D4" w14:textId="17A94A15" w:rsidR="00497C4C" w:rsidRPr="00303063" w:rsidRDefault="00497C4C" w:rsidP="00470F77">
      <w:pPr>
        <w:numPr>
          <w:ilvl w:val="0"/>
          <w:numId w:val="74"/>
        </w:numPr>
        <w:spacing w:after="0" w:line="240" w:lineRule="auto"/>
        <w:contextualSpacing/>
        <w:rPr>
          <w:rFonts w:ascii="Calibri" w:eastAsia="Calibri" w:hAnsi="Calibri" w:cs="Times New Roman"/>
          <w:i/>
          <w:iCs/>
          <w:szCs w:val="21"/>
        </w:rPr>
      </w:pPr>
      <w:r w:rsidRPr="00303063">
        <w:rPr>
          <w:rFonts w:ascii="Calibri" w:eastAsia="Calibri" w:hAnsi="Calibri" w:cs="Times New Roman"/>
          <w:i/>
          <w:iCs/>
          <w:szCs w:val="21"/>
        </w:rPr>
        <w:t>Creating regulations or best practices guidelines to clarify CPA s. 5’s “comprehensibility” requirement?</w:t>
      </w:r>
    </w:p>
    <w:p w14:paraId="1064C32C" w14:textId="77777777" w:rsidR="003B2202" w:rsidRPr="00303063" w:rsidRDefault="003B2202" w:rsidP="003B2202">
      <w:pPr>
        <w:pStyle w:val="ListParagraph"/>
        <w:numPr>
          <w:ilvl w:val="0"/>
          <w:numId w:val="74"/>
        </w:numPr>
      </w:pPr>
      <w:r w:rsidRPr="00303063">
        <w:t xml:space="preserve">A defined regime for parental or substitute consent with “best interests” fiduciary duties that takes into account childhood development goals, freedom of expression, and vulnerable groups </w:t>
      </w:r>
    </w:p>
    <w:p w14:paraId="04A02C34" w14:textId="77777777" w:rsidR="003B2202" w:rsidRPr="00303063" w:rsidRDefault="003B2202" w:rsidP="003B2202">
      <w:pPr>
        <w:pStyle w:val="ListParagraph"/>
        <w:numPr>
          <w:ilvl w:val="0"/>
          <w:numId w:val="74"/>
        </w:numPr>
      </w:pPr>
      <w:r w:rsidRPr="00303063">
        <w:t>Development of standard terms or procurement rules for institutions like government services, schools, or long-term care homes requiring specific platforms or products where consumers have little choice but to agree</w:t>
      </w:r>
    </w:p>
    <w:p w14:paraId="0FCC89BB" w14:textId="77777777" w:rsidR="003B2202" w:rsidRPr="00303063" w:rsidRDefault="003B2202" w:rsidP="003B2202">
      <w:pPr>
        <w:pStyle w:val="ListParagraph"/>
        <w:numPr>
          <w:ilvl w:val="0"/>
          <w:numId w:val="74"/>
        </w:numPr>
      </w:pPr>
      <w:r w:rsidRPr="00303063">
        <w:t>Improved, mandatory, upfront forms of notice and disclosure when youth or parental consent is required. This could include newly mandated disclosure and notice provisions requiring lifetime or yearly projections of an average users costs, as well as other identifiable piece of “key information” and “market contexts” such as health risks or the addictiveness of a product or platform</w:t>
      </w:r>
    </w:p>
    <w:p w14:paraId="34CC7F4F" w14:textId="77777777" w:rsidR="003B2202" w:rsidRPr="00303063" w:rsidRDefault="003B2202" w:rsidP="003B2202">
      <w:pPr>
        <w:pStyle w:val="ListParagraph"/>
        <w:numPr>
          <w:ilvl w:val="0"/>
          <w:numId w:val="74"/>
        </w:numPr>
      </w:pPr>
      <w:r w:rsidRPr="00303063">
        <w:t>Expanded limitation periods to raise unfair practices and subject to the principle of discovery</w:t>
      </w:r>
    </w:p>
    <w:p w14:paraId="243CD244" w14:textId="77777777" w:rsidR="003B2202" w:rsidRPr="00303063" w:rsidRDefault="003B2202" w:rsidP="003B2202">
      <w:pPr>
        <w:pStyle w:val="ListParagraph"/>
        <w:numPr>
          <w:ilvl w:val="0"/>
          <w:numId w:val="74"/>
        </w:numPr>
      </w:pPr>
      <w:r w:rsidRPr="00303063">
        <w:lastRenderedPageBreak/>
        <w:t>Expanded access of consumer to legal and legal aid services to assist with consumer protection issues under the CPA</w:t>
      </w:r>
    </w:p>
    <w:p w14:paraId="4C5B4901" w14:textId="77777777" w:rsidR="003B2202" w:rsidRPr="00303063" w:rsidRDefault="003B2202" w:rsidP="003B2202">
      <w:pPr>
        <w:pStyle w:val="ListParagraph"/>
        <w:numPr>
          <w:ilvl w:val="0"/>
          <w:numId w:val="74"/>
        </w:numPr>
      </w:pPr>
      <w:r w:rsidRPr="00303063">
        <w:t>A statutory duty for online supplier to protect youth?</w:t>
      </w:r>
    </w:p>
    <w:p w14:paraId="650C7E15" w14:textId="77777777" w:rsidR="003B2202" w:rsidRPr="00303063" w:rsidRDefault="003B2202" w:rsidP="003B2202">
      <w:pPr>
        <w:numPr>
          <w:ilvl w:val="0"/>
          <w:numId w:val="74"/>
        </w:numPr>
        <w:spacing w:after="0" w:line="240" w:lineRule="auto"/>
        <w:contextualSpacing/>
        <w:rPr>
          <w:rFonts w:ascii="Calibri" w:eastAsia="Calibri" w:hAnsi="Calibri" w:cs="Times New Roman"/>
          <w:i/>
          <w:iCs/>
          <w:szCs w:val="21"/>
        </w:rPr>
      </w:pPr>
      <w:r w:rsidRPr="00303063">
        <w:t>An expanded list of what constitutes a false, misleading or unconscionable representation to include practices and issues of particular concern to vulnerable groups</w:t>
      </w:r>
    </w:p>
    <w:p w14:paraId="2B4DD9DA" w14:textId="77777777" w:rsidR="003B2202" w:rsidRPr="00303063" w:rsidRDefault="003B2202" w:rsidP="003B2202">
      <w:pPr>
        <w:numPr>
          <w:ilvl w:val="0"/>
          <w:numId w:val="74"/>
        </w:numPr>
        <w:spacing w:after="0" w:line="240" w:lineRule="auto"/>
        <w:contextualSpacing/>
        <w:rPr>
          <w:rFonts w:ascii="Calibri" w:eastAsia="Calibri" w:hAnsi="Calibri" w:cs="Times New Roman"/>
          <w:i/>
          <w:iCs/>
          <w:szCs w:val="21"/>
        </w:rPr>
      </w:pPr>
      <w:r w:rsidRPr="00303063">
        <w:rPr>
          <w:rFonts w:ascii="Calibri" w:eastAsia="Calibri" w:hAnsi="Calibri" w:cs="Times New Roman"/>
          <w:i/>
          <w:iCs/>
          <w:szCs w:val="21"/>
        </w:rPr>
        <w:t>Additional measures to protect persons with disabilities, address language barriers, literacy levels, income, class, cultural norms, or age-related and age vulnerabilities (including the elderly and youth)?</w:t>
      </w:r>
    </w:p>
    <w:p w14:paraId="3F5DFC2D" w14:textId="77777777" w:rsidR="00594CA4" w:rsidRPr="00303063" w:rsidRDefault="00497C4C" w:rsidP="00470F77">
      <w:pPr>
        <w:numPr>
          <w:ilvl w:val="0"/>
          <w:numId w:val="74"/>
        </w:numPr>
        <w:spacing w:after="0" w:line="240" w:lineRule="auto"/>
        <w:contextualSpacing/>
        <w:rPr>
          <w:rFonts w:ascii="Calibri" w:eastAsia="Calibri" w:hAnsi="Calibri" w:cs="Times New Roman"/>
          <w:i/>
          <w:iCs/>
          <w:szCs w:val="21"/>
        </w:rPr>
      </w:pPr>
      <w:r w:rsidRPr="00303063">
        <w:rPr>
          <w:rFonts w:ascii="Calibri" w:eastAsia="Calibri" w:hAnsi="Calibri" w:cs="Times New Roman"/>
          <w:i/>
          <w:iCs/>
          <w:szCs w:val="21"/>
        </w:rPr>
        <w:t>Additional measures to protect persons with disabilities, address language barriers, literacy levels, income, class, cultural norms, or age-related and age vulnerabilities (including the elderly and youth)?</w:t>
      </w:r>
    </w:p>
    <w:p w14:paraId="676CE550" w14:textId="20C1A184" w:rsidR="00497C4C" w:rsidRPr="00303063" w:rsidRDefault="00497C4C" w:rsidP="00594CA4">
      <w:pPr>
        <w:spacing w:after="0" w:line="240" w:lineRule="auto"/>
        <w:ind w:left="1800"/>
        <w:contextualSpacing/>
        <w:rPr>
          <w:rFonts w:ascii="Calibri" w:eastAsia="Calibri" w:hAnsi="Calibri" w:cs="Times New Roman"/>
          <w:i/>
          <w:iCs/>
          <w:szCs w:val="21"/>
        </w:rPr>
      </w:pPr>
      <w:r w:rsidRPr="00303063">
        <w:rPr>
          <w:rFonts w:ascii="Calibri" w:eastAsia="Calibri" w:hAnsi="Calibri" w:cs="Times New Roman"/>
          <w:i/>
          <w:iCs/>
          <w:szCs w:val="21"/>
        </w:rPr>
        <w:t xml:space="preserve"> </w:t>
      </w:r>
    </w:p>
    <w:p w14:paraId="57A60C19" w14:textId="77777777" w:rsidR="00497C4C" w:rsidRPr="00303063" w:rsidRDefault="00497C4C" w:rsidP="00497C4C">
      <w:pPr>
        <w:spacing w:after="0" w:line="256" w:lineRule="auto"/>
        <w:rPr>
          <w:rFonts w:ascii="Calibri" w:eastAsia="Calibri" w:hAnsi="Calibri" w:cs="Times New Roman"/>
          <w:b/>
        </w:rPr>
      </w:pPr>
      <w:bookmarkStart w:id="117" w:name="_Toc132374711"/>
      <w:r w:rsidRPr="00303063">
        <w:rPr>
          <w:rFonts w:ascii="Calibri" w:eastAsia="Calibri" w:hAnsi="Calibri" w:cs="Times New Roman"/>
          <w:b/>
        </w:rPr>
        <w:t>Deception and Unconscionability</w:t>
      </w:r>
      <w:bookmarkEnd w:id="117"/>
    </w:p>
    <w:p w14:paraId="182AF35A" w14:textId="77777777" w:rsidR="00497C4C" w:rsidRPr="00303063" w:rsidRDefault="00497C4C" w:rsidP="00497C4C">
      <w:pPr>
        <w:spacing w:after="0" w:line="256" w:lineRule="auto"/>
        <w:rPr>
          <w:rFonts w:ascii="Calibri" w:eastAsia="Calibri" w:hAnsi="Calibri" w:cs="Times New Roman"/>
        </w:rPr>
      </w:pPr>
    </w:p>
    <w:p w14:paraId="42C6761F" w14:textId="77777777" w:rsidR="00497C4C" w:rsidRPr="00303063" w:rsidRDefault="00497C4C" w:rsidP="00497C4C">
      <w:pPr>
        <w:spacing w:after="0" w:line="256" w:lineRule="auto"/>
        <w:ind w:left="1440" w:hanging="1440"/>
        <w:rPr>
          <w:rFonts w:ascii="Calibri" w:eastAsia="Calibri" w:hAnsi="Calibri" w:cs="Times New Roman"/>
          <w:i/>
          <w:iCs/>
        </w:rPr>
      </w:pPr>
      <w:r w:rsidRPr="00303063">
        <w:rPr>
          <w:rFonts w:ascii="Calibri" w:eastAsia="Calibri" w:hAnsi="Calibri" w:cs="Times New Roman"/>
          <w:i/>
          <w:iCs/>
          <w:szCs w:val="21"/>
        </w:rPr>
        <w:t xml:space="preserve">Question 13: </w:t>
      </w:r>
      <w:r w:rsidRPr="00303063">
        <w:rPr>
          <w:rFonts w:ascii="Calibri" w:eastAsia="Calibri" w:hAnsi="Calibri" w:cs="Times New Roman"/>
          <w:i/>
          <w:iCs/>
          <w:szCs w:val="21"/>
        </w:rPr>
        <w:tab/>
      </w:r>
      <w:r w:rsidRPr="00303063">
        <w:rPr>
          <w:rFonts w:ascii="Calibri" w:eastAsia="Calibri" w:hAnsi="Calibri" w:cs="Times New Roman"/>
          <w:i/>
          <w:iCs/>
        </w:rPr>
        <w:t xml:space="preserve">Should the CPA be amended to provide more consumer protections against </w:t>
      </w:r>
      <w:r w:rsidRPr="00303063">
        <w:rPr>
          <w:rFonts w:ascii="Calibri" w:eastAsia="Calibri" w:hAnsi="Calibri" w:cs="Times New Roman"/>
          <w:i/>
          <w:iCs/>
          <w:szCs w:val="21"/>
        </w:rPr>
        <w:t xml:space="preserve">deceptive and unconscionable practices in the digital marketplace? </w:t>
      </w:r>
      <w:r w:rsidRPr="00303063">
        <w:rPr>
          <w:rFonts w:ascii="Calibri" w:eastAsia="Calibri" w:hAnsi="Calibri" w:cs="Times New Roman"/>
          <w:i/>
          <w:iCs/>
        </w:rPr>
        <w:t xml:space="preserve">If so, how would these </w:t>
      </w:r>
      <w:r w:rsidRPr="00303063">
        <w:rPr>
          <w:rFonts w:ascii="Calibri" w:eastAsia="Calibri" w:hAnsi="Calibri" w:cs="Times New Roman"/>
          <w:i/>
          <w:iCs/>
          <w:szCs w:val="21"/>
        </w:rPr>
        <w:t xml:space="preserve">practices </w:t>
      </w:r>
      <w:r w:rsidRPr="00303063">
        <w:rPr>
          <w:rFonts w:ascii="Calibri" w:eastAsia="Calibri" w:hAnsi="Calibri" w:cs="Times New Roman"/>
          <w:i/>
          <w:iCs/>
        </w:rPr>
        <w:t xml:space="preserve">be defined in the CPA?  </w:t>
      </w:r>
    </w:p>
    <w:p w14:paraId="52AE6677" w14:textId="77777777" w:rsidR="00497C4C" w:rsidRPr="00303063" w:rsidRDefault="00497C4C" w:rsidP="00497C4C">
      <w:pPr>
        <w:spacing w:after="0" w:line="256" w:lineRule="auto"/>
        <w:ind w:left="1440" w:hanging="1440"/>
        <w:rPr>
          <w:rFonts w:ascii="Calibri" w:eastAsia="Calibri" w:hAnsi="Calibri" w:cs="Times New Roman"/>
          <w:i/>
          <w:iCs/>
          <w:szCs w:val="21"/>
        </w:rPr>
      </w:pPr>
    </w:p>
    <w:p w14:paraId="079DCFF5" w14:textId="77777777" w:rsidR="00497C4C" w:rsidRPr="00303063" w:rsidRDefault="00497C4C" w:rsidP="00497C4C">
      <w:pPr>
        <w:spacing w:after="0" w:line="256" w:lineRule="auto"/>
        <w:ind w:left="1440" w:hanging="1440"/>
        <w:rPr>
          <w:rFonts w:ascii="Calibri" w:eastAsia="Calibri" w:hAnsi="Calibri" w:cs="Times New Roman"/>
          <w:i/>
          <w:iCs/>
          <w:szCs w:val="21"/>
        </w:rPr>
      </w:pPr>
      <w:r w:rsidRPr="00303063">
        <w:rPr>
          <w:rFonts w:ascii="Calibri" w:eastAsia="Calibri" w:hAnsi="Calibri" w:cs="Times New Roman"/>
          <w:i/>
          <w:iCs/>
          <w:szCs w:val="21"/>
        </w:rPr>
        <w:t>Question 14:</w:t>
      </w:r>
      <w:r w:rsidRPr="00303063">
        <w:rPr>
          <w:rFonts w:ascii="Calibri" w:eastAsia="Calibri" w:hAnsi="Calibri" w:cs="Times New Roman"/>
          <w:i/>
          <w:iCs/>
        </w:rPr>
        <w:tab/>
        <w:t xml:space="preserve">In addition to a statutory definition, should the CPA be amended to include a list of online </w:t>
      </w:r>
      <w:r w:rsidRPr="00303063">
        <w:rPr>
          <w:rFonts w:ascii="Calibri" w:eastAsia="Calibri" w:hAnsi="Calibri" w:cs="Times New Roman"/>
          <w:i/>
          <w:iCs/>
          <w:szCs w:val="21"/>
        </w:rPr>
        <w:t>deceptive and unconscionable practices that should be prohibited or proscribed?  If so, which practices should be identified?</w:t>
      </w:r>
    </w:p>
    <w:p w14:paraId="4C3F8C9F" w14:textId="77777777" w:rsidR="00497C4C" w:rsidRPr="00303063" w:rsidRDefault="00497C4C" w:rsidP="00497C4C">
      <w:pPr>
        <w:spacing w:after="0" w:line="240" w:lineRule="auto"/>
        <w:ind w:left="1440" w:hanging="1440"/>
        <w:rPr>
          <w:rFonts w:ascii="Calibri" w:eastAsia="Calibri" w:hAnsi="Calibri" w:cs="Times New Roman"/>
          <w:i/>
          <w:iCs/>
          <w:szCs w:val="21"/>
        </w:rPr>
      </w:pPr>
    </w:p>
    <w:p w14:paraId="3D028674" w14:textId="77777777" w:rsidR="00497C4C" w:rsidRPr="00303063" w:rsidRDefault="00497C4C" w:rsidP="00497C4C">
      <w:pPr>
        <w:spacing w:after="0" w:line="240" w:lineRule="auto"/>
        <w:ind w:left="1440" w:hanging="1440"/>
        <w:rPr>
          <w:rFonts w:ascii="Calibri" w:eastAsia="Calibri" w:hAnsi="Calibri" w:cs="Times New Roman"/>
          <w:i/>
          <w:iCs/>
          <w:szCs w:val="21"/>
        </w:rPr>
      </w:pPr>
      <w:r w:rsidRPr="00303063">
        <w:rPr>
          <w:rFonts w:ascii="Calibri" w:eastAsia="Calibri" w:hAnsi="Calibri" w:cs="Times New Roman"/>
          <w:i/>
          <w:iCs/>
          <w:szCs w:val="21"/>
        </w:rPr>
        <w:t xml:space="preserve">Question 15: </w:t>
      </w:r>
      <w:r w:rsidRPr="00303063">
        <w:rPr>
          <w:rFonts w:ascii="Calibri" w:eastAsia="Calibri" w:hAnsi="Calibri" w:cs="Times New Roman"/>
          <w:i/>
          <w:iCs/>
          <w:szCs w:val="21"/>
        </w:rPr>
        <w:tab/>
        <w:t>Regulation of deceptive practices in the digital marketplace potentially affects jurisdiction within Canada and internationally.  Should these rules be harmonized?  If so, what does or doesn’t need harmonization?</w:t>
      </w:r>
    </w:p>
    <w:p w14:paraId="24ECF00D" w14:textId="77777777" w:rsidR="00497C4C" w:rsidRPr="00303063" w:rsidRDefault="00497C4C" w:rsidP="00497C4C">
      <w:pPr>
        <w:spacing w:after="0" w:line="256" w:lineRule="auto"/>
        <w:rPr>
          <w:rFonts w:ascii="Calibri" w:eastAsia="Calibri" w:hAnsi="Calibri" w:cs="Times New Roman"/>
        </w:rPr>
      </w:pPr>
    </w:p>
    <w:p w14:paraId="30C1E962" w14:textId="77777777" w:rsidR="00497C4C" w:rsidRPr="00303063" w:rsidRDefault="00497C4C" w:rsidP="00497C4C">
      <w:pPr>
        <w:spacing w:after="0" w:line="256" w:lineRule="auto"/>
        <w:rPr>
          <w:rFonts w:ascii="Calibri" w:eastAsia="Calibri" w:hAnsi="Calibri" w:cs="Times New Roman"/>
          <w:szCs w:val="21"/>
        </w:rPr>
      </w:pPr>
      <w:bookmarkStart w:id="118" w:name="_Toc132374712"/>
      <w:r w:rsidRPr="00303063">
        <w:rPr>
          <w:rFonts w:ascii="Calibri" w:eastAsia="Calibri" w:hAnsi="Calibri" w:cs="Times New Roman"/>
          <w:b/>
        </w:rPr>
        <w:t>Access to Justice</w:t>
      </w:r>
      <w:bookmarkEnd w:id="118"/>
    </w:p>
    <w:p w14:paraId="1A231318" w14:textId="77777777" w:rsidR="00497C4C" w:rsidRPr="00303063" w:rsidRDefault="00497C4C" w:rsidP="00497C4C">
      <w:pPr>
        <w:spacing w:after="0" w:line="240" w:lineRule="auto"/>
        <w:rPr>
          <w:rFonts w:ascii="Calibri" w:eastAsia="Calibri" w:hAnsi="Calibri" w:cs="Times New Roman"/>
          <w:i/>
          <w:iCs/>
          <w:szCs w:val="21"/>
        </w:rPr>
      </w:pPr>
    </w:p>
    <w:p w14:paraId="4EA045ED" w14:textId="77777777" w:rsidR="00497C4C" w:rsidRPr="00303063" w:rsidRDefault="00497C4C" w:rsidP="00497C4C">
      <w:pPr>
        <w:spacing w:after="0" w:line="240" w:lineRule="auto"/>
        <w:ind w:left="1440" w:hanging="1440"/>
        <w:rPr>
          <w:rFonts w:ascii="Calibri" w:eastAsia="Calibri" w:hAnsi="Calibri" w:cs="Times New Roman"/>
          <w:i/>
          <w:iCs/>
          <w:szCs w:val="21"/>
        </w:rPr>
      </w:pPr>
      <w:r w:rsidRPr="00303063">
        <w:rPr>
          <w:rFonts w:ascii="Calibri" w:eastAsia="Calibri" w:hAnsi="Calibri" w:cs="Times New Roman"/>
          <w:i/>
          <w:iCs/>
          <w:szCs w:val="21"/>
        </w:rPr>
        <w:t>Question 16:</w:t>
      </w:r>
      <w:r w:rsidRPr="00303063">
        <w:rPr>
          <w:rFonts w:ascii="Calibri" w:eastAsia="Calibri" w:hAnsi="Calibri" w:cs="Times New Roman"/>
          <w:i/>
          <w:iCs/>
          <w:szCs w:val="21"/>
        </w:rPr>
        <w:tab/>
        <w:t>Do access to justice, dispute resolution, enforcement and remedies need to be improved for Ontario’s consumers in the digital marketplace?  If so, could these be achieved by:</w:t>
      </w:r>
    </w:p>
    <w:p w14:paraId="75A77680" w14:textId="77777777" w:rsidR="00497C4C" w:rsidRPr="00303063" w:rsidRDefault="00497C4C" w:rsidP="00497C4C">
      <w:pPr>
        <w:spacing w:after="0" w:line="240" w:lineRule="auto"/>
        <w:ind w:left="1440" w:hanging="1440"/>
        <w:rPr>
          <w:rFonts w:ascii="Calibri" w:eastAsia="Calibri" w:hAnsi="Calibri" w:cs="Times New Roman"/>
          <w:i/>
          <w:iCs/>
          <w:szCs w:val="21"/>
        </w:rPr>
      </w:pPr>
    </w:p>
    <w:p w14:paraId="347A11CC" w14:textId="77777777" w:rsidR="00497C4C" w:rsidRPr="00303063" w:rsidRDefault="00497C4C" w:rsidP="00470F77">
      <w:pPr>
        <w:numPr>
          <w:ilvl w:val="0"/>
          <w:numId w:val="75"/>
        </w:numPr>
        <w:spacing w:after="0" w:line="240" w:lineRule="auto"/>
        <w:contextualSpacing/>
        <w:rPr>
          <w:rFonts w:ascii="Calibri" w:eastAsia="Calibri" w:hAnsi="Calibri" w:cs="Times New Roman"/>
          <w:i/>
          <w:iCs/>
          <w:szCs w:val="21"/>
        </w:rPr>
      </w:pPr>
      <w:r w:rsidRPr="00303063">
        <w:rPr>
          <w:rFonts w:ascii="Calibri" w:eastAsia="Calibri" w:hAnsi="Calibri" w:cs="Times New Roman"/>
          <w:i/>
          <w:iCs/>
          <w:szCs w:val="21"/>
        </w:rPr>
        <w:t>Providing clearer guidance/directives to Ontario’s courts adjudicating online consumer disputes?</w:t>
      </w:r>
    </w:p>
    <w:p w14:paraId="4A099E58" w14:textId="77777777" w:rsidR="00497C4C" w:rsidRPr="00303063" w:rsidRDefault="00497C4C" w:rsidP="00470F77">
      <w:pPr>
        <w:numPr>
          <w:ilvl w:val="0"/>
          <w:numId w:val="76"/>
        </w:numPr>
        <w:spacing w:after="0" w:line="240" w:lineRule="auto"/>
        <w:contextualSpacing/>
        <w:rPr>
          <w:rFonts w:ascii="Calibri" w:eastAsia="Calibri" w:hAnsi="Calibri" w:cs="Times New Roman"/>
          <w:i/>
          <w:iCs/>
          <w:szCs w:val="21"/>
        </w:rPr>
      </w:pPr>
      <w:r w:rsidRPr="00303063">
        <w:rPr>
          <w:rFonts w:ascii="Calibri" w:eastAsia="Calibri" w:hAnsi="Calibri" w:cs="Times New Roman"/>
          <w:i/>
          <w:iCs/>
          <w:szCs w:val="21"/>
        </w:rPr>
        <w:t>Amending the CPA to provide more certainty regarding Ontario’s jurisdiction in online consumer disputes?</w:t>
      </w:r>
    </w:p>
    <w:p w14:paraId="6E0C6AA3" w14:textId="77777777" w:rsidR="00497C4C" w:rsidRPr="00303063" w:rsidRDefault="00497C4C" w:rsidP="00470F77">
      <w:pPr>
        <w:numPr>
          <w:ilvl w:val="0"/>
          <w:numId w:val="76"/>
        </w:numPr>
        <w:spacing w:after="0" w:line="240" w:lineRule="auto"/>
        <w:contextualSpacing/>
        <w:rPr>
          <w:rFonts w:ascii="Calibri" w:eastAsia="Calibri" w:hAnsi="Calibri" w:cs="Times New Roman"/>
          <w:i/>
          <w:iCs/>
          <w:szCs w:val="21"/>
        </w:rPr>
      </w:pPr>
      <w:r w:rsidRPr="00303063">
        <w:rPr>
          <w:rFonts w:ascii="Calibri" w:eastAsia="Calibri" w:hAnsi="Calibri" w:cs="Times New Roman"/>
          <w:i/>
          <w:iCs/>
          <w:szCs w:val="21"/>
        </w:rPr>
        <w:t xml:space="preserve">Amending the CPA to prohibit online supplier reprisals? </w:t>
      </w:r>
    </w:p>
    <w:p w14:paraId="6D63D2CB" w14:textId="77777777" w:rsidR="00497C4C" w:rsidRPr="00303063" w:rsidRDefault="00497C4C" w:rsidP="00470F77">
      <w:pPr>
        <w:numPr>
          <w:ilvl w:val="0"/>
          <w:numId w:val="76"/>
        </w:numPr>
        <w:spacing w:after="0" w:line="240" w:lineRule="auto"/>
        <w:contextualSpacing/>
        <w:rPr>
          <w:rFonts w:ascii="Calibri" w:eastAsia="Calibri" w:hAnsi="Calibri" w:cs="Times New Roman"/>
          <w:i/>
          <w:iCs/>
          <w:szCs w:val="21"/>
        </w:rPr>
      </w:pPr>
      <w:r w:rsidRPr="00303063">
        <w:rPr>
          <w:rFonts w:ascii="Calibri" w:eastAsia="Calibri" w:hAnsi="Calibri" w:cs="Times New Roman"/>
          <w:i/>
          <w:iCs/>
          <w:szCs w:val="21"/>
        </w:rPr>
        <w:t>Establishing minimum standards for Ministry complaints?</w:t>
      </w:r>
    </w:p>
    <w:p w14:paraId="299A9F06" w14:textId="77777777" w:rsidR="00497C4C" w:rsidRPr="00303063" w:rsidRDefault="00497C4C" w:rsidP="00470F77">
      <w:pPr>
        <w:numPr>
          <w:ilvl w:val="0"/>
          <w:numId w:val="76"/>
        </w:numPr>
        <w:spacing w:after="0" w:line="240" w:lineRule="auto"/>
        <w:contextualSpacing/>
        <w:rPr>
          <w:rFonts w:ascii="Calibri" w:eastAsia="Calibri" w:hAnsi="Calibri" w:cs="Times New Roman"/>
          <w:i/>
          <w:iCs/>
          <w:szCs w:val="21"/>
        </w:rPr>
      </w:pPr>
      <w:r w:rsidRPr="00303063">
        <w:rPr>
          <w:rFonts w:ascii="Calibri" w:eastAsia="Calibri" w:hAnsi="Calibri" w:cs="Times New Roman"/>
          <w:i/>
          <w:iCs/>
          <w:szCs w:val="21"/>
        </w:rPr>
        <w:t>Establishing regulations or best practices governing private or internal consumer dispute resolution mechanisms?</w:t>
      </w:r>
    </w:p>
    <w:p w14:paraId="2BD36499" w14:textId="77777777" w:rsidR="00497C4C" w:rsidRPr="00303063" w:rsidRDefault="00497C4C" w:rsidP="00470F77">
      <w:pPr>
        <w:numPr>
          <w:ilvl w:val="0"/>
          <w:numId w:val="76"/>
        </w:numPr>
        <w:spacing w:after="0" w:line="240" w:lineRule="auto"/>
        <w:contextualSpacing/>
        <w:rPr>
          <w:rFonts w:ascii="Calibri" w:eastAsia="Calibri" w:hAnsi="Calibri" w:cs="Times New Roman"/>
          <w:i/>
          <w:iCs/>
          <w:szCs w:val="21"/>
        </w:rPr>
      </w:pPr>
      <w:r w:rsidRPr="00303063">
        <w:rPr>
          <w:rFonts w:ascii="Calibri" w:eastAsia="Calibri" w:hAnsi="Calibri" w:cs="Times New Roman"/>
          <w:i/>
          <w:iCs/>
          <w:szCs w:val="21"/>
        </w:rPr>
        <w:t>Amending the CPA to create a collective right of redress or “super-complaints” system?</w:t>
      </w:r>
    </w:p>
    <w:p w14:paraId="67C71CFE" w14:textId="77777777" w:rsidR="00497C4C" w:rsidRPr="00303063" w:rsidRDefault="00497C4C" w:rsidP="00470F77">
      <w:pPr>
        <w:numPr>
          <w:ilvl w:val="0"/>
          <w:numId w:val="76"/>
        </w:numPr>
        <w:spacing w:after="0" w:line="240" w:lineRule="auto"/>
        <w:contextualSpacing/>
        <w:rPr>
          <w:rFonts w:ascii="Calibri" w:eastAsia="Calibri" w:hAnsi="Calibri" w:cs="Times New Roman"/>
          <w:i/>
          <w:iCs/>
          <w:szCs w:val="21"/>
        </w:rPr>
      </w:pPr>
      <w:r w:rsidRPr="00303063">
        <w:rPr>
          <w:rFonts w:ascii="Calibri" w:eastAsia="Calibri" w:hAnsi="Calibri" w:cs="Times New Roman"/>
          <w:i/>
          <w:iCs/>
          <w:szCs w:val="21"/>
        </w:rPr>
        <w:t>Improved support for consumer advocacy organizations or public education?</w:t>
      </w:r>
    </w:p>
    <w:p w14:paraId="5CB02D30" w14:textId="77777777" w:rsidR="00497C4C" w:rsidRPr="00303063" w:rsidRDefault="00497C4C" w:rsidP="00470F77">
      <w:pPr>
        <w:numPr>
          <w:ilvl w:val="0"/>
          <w:numId w:val="76"/>
        </w:numPr>
        <w:spacing w:after="0" w:line="240" w:lineRule="auto"/>
        <w:contextualSpacing/>
        <w:rPr>
          <w:rFonts w:ascii="Calibri" w:eastAsia="Calibri" w:hAnsi="Calibri" w:cs="Times New Roman"/>
          <w:i/>
          <w:iCs/>
          <w:szCs w:val="21"/>
        </w:rPr>
      </w:pPr>
      <w:r w:rsidRPr="00303063">
        <w:rPr>
          <w:rFonts w:ascii="Calibri" w:eastAsia="Calibri" w:hAnsi="Calibri" w:cs="Times New Roman"/>
          <w:i/>
          <w:iCs/>
          <w:szCs w:val="21"/>
        </w:rPr>
        <w:t>Direct to public consumer legal tools?</w:t>
      </w:r>
    </w:p>
    <w:p w14:paraId="6DC2805F" w14:textId="77777777" w:rsidR="00497C4C" w:rsidRPr="00303063" w:rsidRDefault="00497C4C" w:rsidP="00470F77">
      <w:pPr>
        <w:numPr>
          <w:ilvl w:val="0"/>
          <w:numId w:val="76"/>
        </w:numPr>
        <w:spacing w:after="0" w:line="240" w:lineRule="auto"/>
        <w:contextualSpacing/>
        <w:rPr>
          <w:rFonts w:ascii="Calibri" w:eastAsia="Calibri" w:hAnsi="Calibri" w:cs="Times New Roman"/>
          <w:i/>
          <w:iCs/>
          <w:szCs w:val="21"/>
        </w:rPr>
      </w:pPr>
      <w:r w:rsidRPr="00303063">
        <w:rPr>
          <w:rFonts w:ascii="Calibri" w:eastAsia="Calibri" w:hAnsi="Calibri" w:cs="Times New Roman"/>
          <w:i/>
          <w:iCs/>
          <w:szCs w:val="21"/>
        </w:rPr>
        <w:t>A ToS registry?</w:t>
      </w:r>
    </w:p>
    <w:p w14:paraId="59C3B8F7" w14:textId="77777777" w:rsidR="00497C4C" w:rsidRPr="00303063" w:rsidRDefault="00497C4C" w:rsidP="00497C4C">
      <w:pPr>
        <w:spacing w:after="0" w:line="240" w:lineRule="auto"/>
        <w:rPr>
          <w:rFonts w:ascii="Calibri" w:eastAsia="Calibri" w:hAnsi="Calibri" w:cs="Times New Roman"/>
          <w:i/>
          <w:iCs/>
          <w:szCs w:val="21"/>
        </w:rPr>
      </w:pPr>
    </w:p>
    <w:p w14:paraId="449BD0B2" w14:textId="77777777" w:rsidR="00497C4C" w:rsidRPr="00303063" w:rsidRDefault="00497C4C" w:rsidP="00497C4C">
      <w:pPr>
        <w:spacing w:after="0" w:line="256" w:lineRule="auto"/>
        <w:ind w:left="1440" w:hanging="1440"/>
        <w:rPr>
          <w:rFonts w:ascii="Calibri" w:eastAsia="Calibri" w:hAnsi="Calibri" w:cs="Times New Roman"/>
          <w:i/>
          <w:iCs/>
        </w:rPr>
      </w:pPr>
      <w:r w:rsidRPr="00303063">
        <w:rPr>
          <w:rFonts w:ascii="Calibri" w:eastAsia="Calibri" w:hAnsi="Calibri" w:cs="Times New Roman"/>
          <w:i/>
          <w:iCs/>
        </w:rPr>
        <w:lastRenderedPageBreak/>
        <w:t>Question 17:</w:t>
      </w:r>
      <w:r w:rsidRPr="00303063">
        <w:rPr>
          <w:rFonts w:ascii="Calibri" w:eastAsia="Calibri" w:hAnsi="Calibri" w:cs="Times New Roman"/>
          <w:i/>
          <w:iCs/>
        </w:rPr>
        <w:tab/>
        <w:t xml:space="preserve">How should potential reforms to improve consumer’s </w:t>
      </w:r>
      <w:r w:rsidRPr="00303063">
        <w:rPr>
          <w:rFonts w:ascii="Calibri" w:eastAsia="Calibri" w:hAnsi="Calibri" w:cs="Times New Roman"/>
          <w:i/>
          <w:iCs/>
          <w:szCs w:val="21"/>
        </w:rPr>
        <w:t xml:space="preserve">access to justice, dispute resolution, enforcement and remedies </w:t>
      </w:r>
      <w:r w:rsidRPr="00303063">
        <w:rPr>
          <w:rFonts w:ascii="Calibri" w:eastAsia="Calibri" w:hAnsi="Calibri" w:cs="Times New Roman"/>
          <w:i/>
          <w:iCs/>
        </w:rPr>
        <w:t>be balanced against the legitimate interests of online suppliers?</w:t>
      </w:r>
    </w:p>
    <w:p w14:paraId="28A204E6" w14:textId="77777777" w:rsidR="00497C4C" w:rsidRPr="00303063" w:rsidRDefault="00497C4C" w:rsidP="00497C4C">
      <w:pPr>
        <w:spacing w:after="0" w:line="240" w:lineRule="auto"/>
        <w:ind w:left="1440" w:hanging="1440"/>
        <w:rPr>
          <w:rFonts w:ascii="Calibri" w:eastAsia="Calibri" w:hAnsi="Calibri" w:cs="Times New Roman"/>
          <w:i/>
          <w:iCs/>
          <w:szCs w:val="21"/>
        </w:rPr>
      </w:pPr>
    </w:p>
    <w:p w14:paraId="6AA2A2ED" w14:textId="77777777" w:rsidR="00497C4C" w:rsidRPr="00303063" w:rsidRDefault="00497C4C" w:rsidP="00497C4C">
      <w:pPr>
        <w:spacing w:after="0" w:line="240" w:lineRule="auto"/>
        <w:ind w:left="1440" w:hanging="1440"/>
        <w:rPr>
          <w:rFonts w:ascii="Calibri" w:eastAsia="Calibri" w:hAnsi="Calibri" w:cs="Times New Roman"/>
          <w:i/>
          <w:iCs/>
          <w:szCs w:val="21"/>
        </w:rPr>
      </w:pPr>
      <w:r w:rsidRPr="00303063">
        <w:rPr>
          <w:rFonts w:ascii="Calibri" w:eastAsia="Calibri" w:hAnsi="Calibri" w:cs="Times New Roman"/>
          <w:i/>
          <w:iCs/>
          <w:szCs w:val="21"/>
        </w:rPr>
        <w:t>Question 18:</w:t>
      </w:r>
      <w:r w:rsidRPr="00303063">
        <w:rPr>
          <w:rFonts w:ascii="Calibri" w:eastAsia="Calibri" w:hAnsi="Calibri" w:cs="Times New Roman"/>
          <w:i/>
          <w:iCs/>
          <w:szCs w:val="21"/>
        </w:rPr>
        <w:tab/>
        <w:t>Should the Ministry of Public and Business Service Delivery be given a stronger mandate to investigate and prosecute consumer complaints in the digital marketplace?  If so, what additional powers should be given to the Ministry?</w:t>
      </w:r>
    </w:p>
    <w:p w14:paraId="7C5140DA" w14:textId="77777777" w:rsidR="00497C4C" w:rsidRPr="00303063" w:rsidRDefault="00497C4C" w:rsidP="00497C4C">
      <w:pPr>
        <w:spacing w:after="0" w:line="240" w:lineRule="auto"/>
        <w:ind w:left="1440" w:hanging="1440"/>
        <w:rPr>
          <w:rFonts w:ascii="Calibri" w:eastAsia="Calibri" w:hAnsi="Calibri" w:cs="Times New Roman"/>
          <w:i/>
          <w:iCs/>
          <w:szCs w:val="21"/>
        </w:rPr>
      </w:pPr>
    </w:p>
    <w:p w14:paraId="5431D478" w14:textId="77777777" w:rsidR="00497C4C" w:rsidRPr="00497C4C" w:rsidRDefault="00497C4C" w:rsidP="00497C4C">
      <w:pPr>
        <w:spacing w:after="0" w:line="240" w:lineRule="auto"/>
        <w:ind w:left="1440" w:hanging="1440"/>
        <w:rPr>
          <w:rFonts w:ascii="Calibri" w:eastAsia="Calibri" w:hAnsi="Calibri" w:cs="Times New Roman"/>
        </w:rPr>
      </w:pPr>
      <w:r w:rsidRPr="00303063">
        <w:rPr>
          <w:rFonts w:ascii="Calibri" w:eastAsia="Calibri" w:hAnsi="Calibri" w:cs="Times New Roman"/>
          <w:i/>
          <w:iCs/>
          <w:szCs w:val="21"/>
        </w:rPr>
        <w:t>Question 19:</w:t>
      </w:r>
      <w:r w:rsidRPr="00303063">
        <w:rPr>
          <w:rFonts w:ascii="Calibri" w:eastAsia="Calibri" w:hAnsi="Calibri" w:cs="Times New Roman"/>
          <w:i/>
          <w:iCs/>
          <w:szCs w:val="21"/>
        </w:rPr>
        <w:tab/>
        <w:t>What other initiatives could supplement improved consumer protection laws in Ontario?</w:t>
      </w:r>
      <w:r w:rsidRPr="00497C4C">
        <w:rPr>
          <w:rFonts w:ascii="Calibri" w:eastAsia="Calibri" w:hAnsi="Calibri" w:cs="Times New Roman"/>
          <w:i/>
          <w:iCs/>
          <w:szCs w:val="21"/>
        </w:rPr>
        <w:t xml:space="preserve"> </w:t>
      </w:r>
    </w:p>
    <w:p w14:paraId="3E53AF7D" w14:textId="77777777" w:rsidR="00902B06" w:rsidRDefault="00902B06" w:rsidP="00157722">
      <w:pPr>
        <w:pStyle w:val="PlainText"/>
      </w:pPr>
    </w:p>
    <w:p w14:paraId="0710FD33" w14:textId="13D176A1" w:rsidR="00224B25" w:rsidRDefault="00224B25">
      <w:pPr>
        <w:rPr>
          <w:rFonts w:ascii="Calibri" w:hAnsi="Calibri"/>
          <w:szCs w:val="21"/>
        </w:rPr>
      </w:pPr>
      <w:r>
        <w:br w:type="page"/>
      </w:r>
    </w:p>
    <w:p w14:paraId="7D015E24" w14:textId="77777777" w:rsidR="00A76153" w:rsidRDefault="00A76153" w:rsidP="00A76153">
      <w:pPr>
        <w:pStyle w:val="Heading1"/>
      </w:pPr>
      <w:bookmarkStart w:id="119" w:name="_Toc138151885"/>
      <w:r>
        <w:lastRenderedPageBreak/>
        <w:t>Appendix B – Definitions</w:t>
      </w:r>
      <w:bookmarkEnd w:id="119"/>
    </w:p>
    <w:p w14:paraId="7642DAA4" w14:textId="77777777" w:rsidR="00A76153" w:rsidRDefault="00A76153" w:rsidP="00A76153"/>
    <w:p w14:paraId="672FD86C" w14:textId="77777777" w:rsidR="00A76153" w:rsidRPr="002C1560" w:rsidRDefault="00A76153" w:rsidP="00A76153">
      <w:r w:rsidRPr="00A76153">
        <w:rPr>
          <w:b/>
          <w:bCs/>
          <w:color w:val="FF0000"/>
        </w:rPr>
        <w:t>Dark Patterns</w:t>
      </w:r>
      <w:r w:rsidRPr="00A76153">
        <w:rPr>
          <w:color w:val="FF0000"/>
        </w:rPr>
        <w:t>:</w:t>
      </w:r>
      <w:r w:rsidRPr="002C1560">
        <w:t xml:space="preserve"> </w:t>
      </w:r>
      <w:r>
        <w:t>“Dark patterns” refer to contracting, software, and user interface design practices to “steer, deceive, coerce, or manipulate consumers into making choices that often are not in their best interests.”</w:t>
      </w:r>
      <w:r>
        <w:rPr>
          <w:rStyle w:val="EndnoteReference"/>
        </w:rPr>
        <w:endnoteReference w:id="430"/>
      </w:r>
      <w:r>
        <w:t xml:space="preserve"> Typical examples include consent boxes checked by default; preference toggles with unclear coloring; obscured “cancel” or “unsubscribe” buttons; the use of tiny text; misleading disclosures; preference or privacy settings buried deep within a multi-layered menu structure or website; requiring </w:t>
      </w:r>
      <w:r w:rsidRPr="002C1560">
        <w:t>consumer</w:t>
      </w:r>
      <w:r>
        <w:t>s</w:t>
      </w:r>
      <w:r w:rsidRPr="002C1560">
        <w:t xml:space="preserve"> to “opt-out” with unnecessarily onerous procedures; </w:t>
      </w:r>
      <w:r>
        <w:t>or</w:t>
      </w:r>
      <w:r w:rsidRPr="002C1560">
        <w:t xml:space="preserve"> sign-up and onboarding practices that minimize notice of relevant risks and consequences of business practices to the consumer.</w:t>
      </w:r>
      <w:r w:rsidRPr="002C1560">
        <w:rPr>
          <w:rStyle w:val="EndnoteReference"/>
        </w:rPr>
        <w:endnoteReference w:id="431"/>
      </w:r>
    </w:p>
    <w:p w14:paraId="2DB6F44F" w14:textId="77777777" w:rsidR="00A76153" w:rsidRDefault="00A76153" w:rsidP="00A76153">
      <w:r w:rsidRPr="00A76153">
        <w:rPr>
          <w:b/>
          <w:bCs/>
          <w:color w:val="FF0000"/>
        </w:rPr>
        <w:t>Data Brokering:</w:t>
      </w:r>
      <w:r w:rsidRPr="002C1560">
        <w:t xml:space="preserve"> Data brokers are companies “whose primary business is collecting personal information about consumers from a variety of sources and aggregating, analyzing, and sharing that information, or information derived from it, for purposes such as marketing products, verifying an individual’s identity, or detecting fraud.”</w:t>
      </w:r>
      <w:r>
        <w:rPr>
          <w:rStyle w:val="EndnoteReference"/>
        </w:rPr>
        <w:endnoteReference w:id="432"/>
      </w:r>
      <w:r w:rsidRPr="002C1560">
        <w:t xml:space="preserve"> More recently, data brokering has been criticized as contributing to socially hostile activities such as </w:t>
      </w:r>
      <w:r>
        <w:t xml:space="preserve">platform misogyny, </w:t>
      </w:r>
      <w:r w:rsidRPr="002C1560">
        <w:t>election interference, online content shaping, and to train algorithms and AI products.</w:t>
      </w:r>
      <w:r>
        <w:rPr>
          <w:rStyle w:val="EndnoteReference"/>
        </w:rPr>
        <w:endnoteReference w:id="433"/>
      </w:r>
      <w:r w:rsidRPr="002C1560">
        <w:t xml:space="preserve"> </w:t>
      </w:r>
      <w:r>
        <w:t>ToS are often used to facilitate data brokering through vague or misleading terms like “tailoring products” or “sharing information to improve experiences.”</w:t>
      </w:r>
      <w:r>
        <w:rPr>
          <w:rStyle w:val="EndnoteReference"/>
        </w:rPr>
        <w:endnoteReference w:id="434"/>
      </w:r>
    </w:p>
    <w:p w14:paraId="42641F79" w14:textId="77777777" w:rsidR="00592B41" w:rsidRDefault="00A76153" w:rsidP="00A76153">
      <w:r w:rsidRPr="00D91797">
        <w:rPr>
          <w:b/>
          <w:bCs/>
          <w:color w:val="FF0000"/>
        </w:rPr>
        <w:t>Digital Marketplace</w:t>
      </w:r>
      <w:r>
        <w:t xml:space="preserve">: </w:t>
      </w:r>
      <w:r w:rsidRPr="00A76153">
        <w:t>The “digital marketplace” is the broad and inclusive term adopted by the LCO for this project. It reflects an emerging international approach on how to reconcile and modernize classic consumer protection concepts in the era of digital transactions.</w:t>
      </w:r>
      <w:r w:rsidRPr="00A76153">
        <w:rPr>
          <w:rStyle w:val="EndnoteReference"/>
        </w:rPr>
        <w:endnoteReference w:id="435"/>
      </w:r>
      <w:r w:rsidRPr="00A76153">
        <w:t xml:space="preserve"> Ontario’s </w:t>
      </w:r>
      <w:r w:rsidRPr="1F5E9E68">
        <w:rPr>
          <w:i/>
          <w:iCs/>
        </w:rPr>
        <w:t>Consumer Protection Act</w:t>
      </w:r>
      <w:r w:rsidRPr="00A76153">
        <w:t xml:space="preserve"> has a very broad mandate covering most consumer contracts. But most consumers now conduct these transactions in the “digital marketplace,” either directly with service and product suppliers or through digital intermediaries, and almost always under contractual terms of use. For the CPA to remain relevant it must continue to effectively provide core consumer rights – for instance against deception or unfair terms, and to accessible dispute resolution – anywhere in the “digital marketplace.” This also means addressing new challenges magnified in, and unique to, the digital marketplace – such as platform lock-in, coercive software design, and rapidly escalating concern for platform misogyny – among other issues </w:t>
      </w:r>
      <w:r w:rsidRPr="005C3870">
        <w:t>discussed later in this paper.</w:t>
      </w:r>
      <w:r w:rsidR="00592B41">
        <w:t xml:space="preserve"> </w:t>
      </w:r>
    </w:p>
    <w:p w14:paraId="54006529" w14:textId="7F35F222" w:rsidR="00A76153" w:rsidRDefault="00592B41" w:rsidP="00A76153">
      <w:r w:rsidRPr="00592B41">
        <w:t>There are many potential definitions for “digital marketplace.” SAP’s Future of Commerce website notes the term “digital marketplace” is inclusive of a variety of business-to-business, business-to-consumer, intermediary, and consumer-to-consumer practices, among many others</w:t>
      </w:r>
      <w:r w:rsidR="008F4822">
        <w:t xml:space="preserve">. </w:t>
      </w:r>
      <w:r w:rsidRPr="00592B41">
        <w:t xml:space="preserve">As discussed </w:t>
      </w:r>
      <w:r w:rsidR="004321B6">
        <w:t>elsewhere</w:t>
      </w:r>
      <w:r w:rsidRPr="00592B41">
        <w:t xml:space="preserve"> in this paper, jurisdictions like the European Union have adopted the notion of the “digital marketplace” and “digital services” as appropriate categories and frameworks for modernized consumer protection legislation</w:t>
      </w:r>
      <w:r w:rsidR="00303063">
        <w:t>.</w:t>
      </w:r>
    </w:p>
    <w:p w14:paraId="5979D0EF" w14:textId="6252A124" w:rsidR="007D7280" w:rsidRPr="00FD2F08" w:rsidRDefault="007D7280" w:rsidP="007D7280">
      <w:r w:rsidRPr="007D7280">
        <w:rPr>
          <w:b/>
          <w:bCs/>
          <w:color w:val="FF0000"/>
        </w:rPr>
        <w:t>Market context</w:t>
      </w:r>
      <w:r w:rsidRPr="007D7280">
        <w:rPr>
          <w:b/>
          <w:bCs/>
        </w:rPr>
        <w:t>:</w:t>
      </w:r>
      <w:r w:rsidRPr="00FD2F08">
        <w:t xml:space="preserve"> refers to the wider business models and practices which are often unknown to consumers but may have serious consequences and risks. A classic example in the digital marketplace is a notice that a supplier “may share information about you with our partners to improve your experience.” Absent disclosure of market context, a consumer may not know that these provisions have been used to monetize the consumer, shape consumer content or prices, and share consumer profiles with other businesses.</w:t>
      </w:r>
      <w:r>
        <w:t xml:space="preserve"> Canadian courts have recognized market conditions and market contexts in interpreting the adequacy of notice, disclosure and consent practices. </w:t>
      </w:r>
      <w:r w:rsidRPr="00FD2F08">
        <w:t>The American Law Institute (ALI)</w:t>
      </w:r>
      <w:r>
        <w:t xml:space="preserve"> </w:t>
      </w:r>
      <w:r>
        <w:lastRenderedPageBreak/>
        <w:t xml:space="preserve">Restatement on Consumer Contract Law highlights </w:t>
      </w:r>
      <w:r w:rsidRPr="00FD2F08">
        <w:t>how consumer disclosure practices in the digital marketplace often lack “market context” to make the disclosure meaningful.</w:t>
      </w:r>
    </w:p>
    <w:p w14:paraId="4AFD3CBE" w14:textId="3A5A4D58" w:rsidR="00A76153" w:rsidRPr="002C1560" w:rsidRDefault="00A76153" w:rsidP="00A76153">
      <w:r w:rsidRPr="00A76153">
        <w:rPr>
          <w:b/>
          <w:bCs/>
          <w:color w:val="FF0000"/>
        </w:rPr>
        <w:t xml:space="preserve">Network Effects and Platform Lock-in: </w:t>
      </w:r>
      <w:r w:rsidRPr="002C1560">
        <w:t xml:space="preserve">Consumers are routinely </w:t>
      </w:r>
      <w:r w:rsidR="00081907">
        <w:t xml:space="preserve">enticed </w:t>
      </w:r>
      <w:r w:rsidRPr="002C1560">
        <w:t xml:space="preserve">into buying related products from the same supplier due to concerns like interoperable formats, the ease of backup functions, or the inability to easily export portable data. This can result in “platform lock-in” that diminishes the desire for consumers to exercise choice (and increases the time and effort required to do so). </w:t>
      </w:r>
    </w:p>
    <w:p w14:paraId="26DA5FD3" w14:textId="3DDED927" w:rsidR="00516AFF" w:rsidRDefault="00516AFF">
      <w:pPr>
        <w:rPr>
          <w:rFonts w:asciiTheme="majorHAnsi" w:eastAsiaTheme="majorEastAsia" w:hAnsiTheme="majorHAnsi" w:cstheme="majorBidi"/>
          <w:b/>
          <w:color w:val="2F5496" w:themeColor="accent1" w:themeShade="BF"/>
          <w:sz w:val="28"/>
          <w:szCs w:val="32"/>
        </w:rPr>
      </w:pPr>
      <w:r>
        <w:br w:type="page"/>
      </w:r>
    </w:p>
    <w:p w14:paraId="082EAAEB" w14:textId="3BA9ADD0" w:rsidR="009172D5" w:rsidRPr="00336822" w:rsidRDefault="00E20F94" w:rsidP="00E20F94">
      <w:pPr>
        <w:pStyle w:val="Heading1"/>
      </w:pPr>
      <w:bookmarkStart w:id="120" w:name="_Toc113832398"/>
      <w:bookmarkStart w:id="121" w:name="_Toc138151886"/>
      <w:r>
        <w:lastRenderedPageBreak/>
        <w:t>Endnotes</w:t>
      </w:r>
      <w:bookmarkEnd w:id="120"/>
      <w:bookmarkEnd w:id="121"/>
    </w:p>
    <w:p w14:paraId="48354E52" w14:textId="77777777" w:rsidR="00BF13B8" w:rsidRDefault="00BF13B8" w:rsidP="00BF13B8"/>
    <w:sectPr w:rsidR="00BF13B8" w:rsidSect="006D0377">
      <w:footerReference w:type="even" r:id="rId41"/>
      <w:footerReference w:type="default" r:id="rId42"/>
      <w:endnotePr>
        <w:numFmt w:val="decimal"/>
      </w:endnotePr>
      <w:pgSz w:w="12240" w:h="15840"/>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F412" w14:textId="77777777" w:rsidR="00BF01F0" w:rsidRDefault="00BF01F0" w:rsidP="0075053D">
      <w:pPr>
        <w:spacing w:after="0" w:line="240" w:lineRule="auto"/>
      </w:pPr>
      <w:r>
        <w:separator/>
      </w:r>
    </w:p>
  </w:endnote>
  <w:endnote w:type="continuationSeparator" w:id="0">
    <w:p w14:paraId="36FD73C7" w14:textId="77777777" w:rsidR="00BF01F0" w:rsidRDefault="00BF01F0" w:rsidP="0075053D">
      <w:pPr>
        <w:spacing w:after="0" w:line="240" w:lineRule="auto"/>
      </w:pPr>
      <w:r>
        <w:continuationSeparator/>
      </w:r>
    </w:p>
  </w:endnote>
  <w:endnote w:id="1">
    <w:p w14:paraId="32BBAFE9" w14:textId="536516F8" w:rsidR="00BC26C0" w:rsidRPr="00740FD0" w:rsidRDefault="00BC26C0" w:rsidP="00943449">
      <w:pPr>
        <w:pStyle w:val="EndnoteText"/>
        <w:rPr>
          <w:sz w:val="18"/>
          <w:szCs w:val="18"/>
        </w:rPr>
      </w:pPr>
      <w:r w:rsidRPr="00740FD0">
        <w:rPr>
          <w:rStyle w:val="EndnoteReference"/>
          <w:sz w:val="18"/>
          <w:szCs w:val="18"/>
        </w:rPr>
        <w:endnoteRef/>
      </w:r>
      <w:r w:rsidRPr="00740FD0">
        <w:rPr>
          <w:sz w:val="18"/>
          <w:szCs w:val="18"/>
        </w:rPr>
        <w:t xml:space="preserve"> Ontario, </w:t>
      </w:r>
      <w:r w:rsidRPr="00740FD0">
        <w:rPr>
          <w:i/>
          <w:iCs/>
          <w:sz w:val="18"/>
          <w:szCs w:val="18"/>
        </w:rPr>
        <w:t>Building a Digital Ontario</w:t>
      </w:r>
      <w:r w:rsidRPr="00740FD0">
        <w:rPr>
          <w:sz w:val="18"/>
          <w:szCs w:val="18"/>
        </w:rPr>
        <w:t xml:space="preserve"> (2021), online: </w:t>
      </w:r>
      <w:hyperlink r:id="rId1" w:history="1">
        <w:r w:rsidRPr="00740FD0">
          <w:rPr>
            <w:rStyle w:val="Hyperlink"/>
            <w:sz w:val="18"/>
            <w:szCs w:val="18"/>
          </w:rPr>
          <w:t>https://www.ontario.ca/page/building-digital-ontario</w:t>
        </w:r>
      </w:hyperlink>
      <w:r w:rsidRPr="00740FD0">
        <w:rPr>
          <w:sz w:val="18"/>
          <w:szCs w:val="18"/>
        </w:rPr>
        <w:t xml:space="preserve"> . The newly organized </w:t>
      </w:r>
      <w:hyperlink r:id="rId2" w:history="1">
        <w:r w:rsidRPr="00740FD0">
          <w:rPr>
            <w:rStyle w:val="Hyperlink"/>
            <w:sz w:val="18"/>
            <w:szCs w:val="18"/>
          </w:rPr>
          <w:t>Ministry of Public and Business Service Delivery</w:t>
        </w:r>
      </w:hyperlink>
      <w:r w:rsidRPr="00740FD0">
        <w:rPr>
          <w:sz w:val="18"/>
          <w:szCs w:val="18"/>
        </w:rPr>
        <w:t xml:space="preserve"> is responsible for Ontario’s </w:t>
      </w:r>
      <w:r w:rsidRPr="00740FD0">
        <w:rPr>
          <w:i/>
          <w:iCs/>
          <w:sz w:val="18"/>
          <w:szCs w:val="18"/>
        </w:rPr>
        <w:t>Consumer Protection Act</w:t>
      </w:r>
      <w:r w:rsidRPr="00740FD0">
        <w:rPr>
          <w:sz w:val="18"/>
          <w:szCs w:val="18"/>
        </w:rPr>
        <w:t xml:space="preserve"> (2002, S.O. 2002, c. 30, Sched. A)</w:t>
      </w:r>
      <w:r w:rsidR="00BE6CCE" w:rsidRPr="00740FD0">
        <w:rPr>
          <w:sz w:val="18"/>
          <w:szCs w:val="18"/>
        </w:rPr>
        <w:t xml:space="preserve"> (CPA)</w:t>
      </w:r>
      <w:r w:rsidRPr="00740FD0">
        <w:rPr>
          <w:sz w:val="18"/>
          <w:szCs w:val="18"/>
        </w:rPr>
        <w:t xml:space="preserve">, online: </w:t>
      </w:r>
      <w:hyperlink r:id="rId3" w:history="1">
        <w:r w:rsidRPr="00740FD0">
          <w:rPr>
            <w:rStyle w:val="Hyperlink"/>
            <w:sz w:val="18"/>
            <w:szCs w:val="18"/>
          </w:rPr>
          <w:t>https://www.ontario.ca/laws/statute/02c30</w:t>
        </w:r>
      </w:hyperlink>
      <w:r w:rsidRPr="00740FD0">
        <w:rPr>
          <w:sz w:val="18"/>
          <w:szCs w:val="18"/>
        </w:rPr>
        <w:t xml:space="preserve">. </w:t>
      </w:r>
    </w:p>
  </w:endnote>
  <w:endnote w:id="2">
    <w:p w14:paraId="5322044E" w14:textId="2C88F3EE" w:rsidR="00C5276B" w:rsidRPr="00740FD0" w:rsidRDefault="00C5276B">
      <w:pPr>
        <w:pStyle w:val="EndnoteText"/>
        <w:rPr>
          <w:sz w:val="18"/>
          <w:szCs w:val="18"/>
        </w:rPr>
      </w:pPr>
      <w:r w:rsidRPr="00740FD0">
        <w:rPr>
          <w:rStyle w:val="EndnoteReference"/>
          <w:sz w:val="18"/>
          <w:szCs w:val="18"/>
        </w:rPr>
        <w:endnoteRef/>
      </w:r>
      <w:r w:rsidRPr="00740FD0">
        <w:rPr>
          <w:sz w:val="18"/>
          <w:szCs w:val="18"/>
        </w:rPr>
        <w:t xml:space="preserve"> See generally, European Commission, </w:t>
      </w:r>
      <w:r w:rsidRPr="00740FD0">
        <w:rPr>
          <w:i/>
          <w:iCs/>
          <w:sz w:val="18"/>
          <w:szCs w:val="18"/>
        </w:rPr>
        <w:t>The New Consumer Agend</w:t>
      </w:r>
      <w:r w:rsidR="00BE6CCE" w:rsidRPr="00740FD0">
        <w:rPr>
          <w:i/>
          <w:iCs/>
          <w:sz w:val="18"/>
          <w:szCs w:val="18"/>
        </w:rPr>
        <w:t xml:space="preserve">a </w:t>
      </w:r>
      <w:r w:rsidRPr="00740FD0">
        <w:rPr>
          <w:sz w:val="18"/>
          <w:szCs w:val="18"/>
        </w:rPr>
        <w:t xml:space="preserve"> (2020)</w:t>
      </w:r>
      <w:r w:rsidR="00BE6CCE" w:rsidRPr="00740FD0">
        <w:rPr>
          <w:sz w:val="18"/>
          <w:szCs w:val="18"/>
        </w:rPr>
        <w:t>,</w:t>
      </w:r>
      <w:r w:rsidRPr="00740FD0">
        <w:rPr>
          <w:sz w:val="18"/>
          <w:szCs w:val="18"/>
        </w:rPr>
        <w:t xml:space="preserve"> </w:t>
      </w:r>
      <w:r w:rsidR="00BE6CCE" w:rsidRPr="00740FD0">
        <w:rPr>
          <w:sz w:val="18"/>
          <w:szCs w:val="18"/>
        </w:rPr>
        <w:t>online:</w:t>
      </w:r>
      <w:r w:rsidRPr="00740FD0">
        <w:rPr>
          <w:sz w:val="18"/>
          <w:szCs w:val="18"/>
        </w:rPr>
        <w:t xml:space="preserve"> </w:t>
      </w:r>
      <w:hyperlink r:id="rId4" w:history="1">
        <w:r w:rsidRPr="00740FD0">
          <w:rPr>
            <w:rStyle w:val="Hyperlink"/>
            <w:sz w:val="18"/>
            <w:szCs w:val="18"/>
          </w:rPr>
          <w:t>https://commission.europa.eu/strategy-and-policy/policies/consumers/consumer-protection-policy/consumer-strategy_en</w:t>
        </w:r>
      </w:hyperlink>
      <w:r w:rsidRPr="00740FD0">
        <w:rPr>
          <w:sz w:val="18"/>
          <w:szCs w:val="18"/>
        </w:rPr>
        <w:t>.</w:t>
      </w:r>
      <w:r w:rsidR="009E0094" w:rsidRPr="00740FD0">
        <w:rPr>
          <w:sz w:val="18"/>
          <w:szCs w:val="18"/>
        </w:rPr>
        <w:t xml:space="preserve"> </w:t>
      </w:r>
    </w:p>
  </w:endnote>
  <w:endnote w:id="3">
    <w:p w14:paraId="4821D5A3" w14:textId="299B8A07" w:rsidR="00F55F8D" w:rsidRPr="00740FD0" w:rsidRDefault="00F55F8D" w:rsidP="00F55F8D">
      <w:pPr>
        <w:pStyle w:val="EndnoteText"/>
        <w:rPr>
          <w:sz w:val="18"/>
          <w:szCs w:val="18"/>
          <w:lang w:val="en-US"/>
        </w:rPr>
      </w:pPr>
      <w:r w:rsidRPr="00740FD0">
        <w:rPr>
          <w:rStyle w:val="EndnoteReference"/>
          <w:sz w:val="18"/>
          <w:szCs w:val="18"/>
        </w:rPr>
        <w:endnoteRef/>
      </w:r>
      <w:r w:rsidRPr="00740FD0">
        <w:rPr>
          <w:sz w:val="18"/>
          <w:szCs w:val="18"/>
        </w:rPr>
        <w:t xml:space="preserve"> There are many potential definitions for “digital marketplace.” SAP’s </w:t>
      </w:r>
      <w:r w:rsidRPr="00740FD0">
        <w:rPr>
          <w:i/>
          <w:iCs/>
          <w:sz w:val="18"/>
          <w:szCs w:val="18"/>
        </w:rPr>
        <w:t>Future of Commerce</w:t>
      </w:r>
      <w:r w:rsidRPr="00740FD0">
        <w:rPr>
          <w:sz w:val="18"/>
          <w:szCs w:val="18"/>
        </w:rPr>
        <w:t xml:space="preserve"> website notes the term “digital marketplace” is inclusive of a variety of business-to-business, business-to-consumer, intermediary, and consumer-to-consumer practices, among many others (see for instance </w:t>
      </w:r>
      <w:r w:rsidR="00BE6CCE" w:rsidRPr="00740FD0">
        <w:rPr>
          <w:sz w:val="18"/>
          <w:szCs w:val="18"/>
        </w:rPr>
        <w:t xml:space="preserve">SAP. </w:t>
      </w:r>
      <w:r w:rsidRPr="00740FD0">
        <w:rPr>
          <w:sz w:val="18"/>
          <w:szCs w:val="18"/>
        </w:rPr>
        <w:t>“Digital marketplaces: examples, benefits, strategies” (May 12, 2021)</w:t>
      </w:r>
      <w:r w:rsidR="00BE6CCE" w:rsidRPr="00740FD0">
        <w:rPr>
          <w:sz w:val="18"/>
          <w:szCs w:val="18"/>
        </w:rPr>
        <w:t xml:space="preserve">, </w:t>
      </w:r>
      <w:r w:rsidRPr="00740FD0">
        <w:rPr>
          <w:sz w:val="18"/>
          <w:szCs w:val="18"/>
        </w:rPr>
        <w:t xml:space="preserve">online: </w:t>
      </w:r>
      <w:hyperlink r:id="rId5" w:history="1">
        <w:r w:rsidRPr="00740FD0">
          <w:rPr>
            <w:rStyle w:val="Hyperlink"/>
            <w:sz w:val="18"/>
            <w:szCs w:val="18"/>
          </w:rPr>
          <w:t>https://www.the-future-of-commerce.com/2021/05/12/digital-marketplaces/</w:t>
        </w:r>
      </w:hyperlink>
      <w:r w:rsidRPr="00740FD0">
        <w:rPr>
          <w:sz w:val="18"/>
          <w:szCs w:val="18"/>
        </w:rPr>
        <w:t>). As discussed later in this paper, jurisdictions like the European Union have adopted the notion of the “digital marketplace” and “digital services” as appropriate categories and frameworks for modernized consumer protection legislation.</w:t>
      </w:r>
    </w:p>
  </w:endnote>
  <w:endnote w:id="4">
    <w:p w14:paraId="4E00D3EE" w14:textId="28ABFDFA" w:rsidR="00996630" w:rsidRPr="00740FD0" w:rsidRDefault="00996630" w:rsidP="00996630">
      <w:pPr>
        <w:pStyle w:val="EndnoteText"/>
        <w:rPr>
          <w:sz w:val="18"/>
          <w:szCs w:val="18"/>
        </w:rPr>
      </w:pPr>
      <w:r w:rsidRPr="00740FD0">
        <w:rPr>
          <w:rStyle w:val="EndnoteReference"/>
          <w:sz w:val="18"/>
          <w:szCs w:val="18"/>
        </w:rPr>
        <w:endnoteRef/>
      </w:r>
      <w:r w:rsidRPr="00740FD0">
        <w:rPr>
          <w:sz w:val="18"/>
          <w:szCs w:val="18"/>
        </w:rPr>
        <w:t xml:space="preserve"> Ministry of Government and Consumer Services, </w:t>
      </w:r>
      <w:r w:rsidRPr="00740FD0">
        <w:rPr>
          <w:i/>
          <w:iCs/>
          <w:sz w:val="18"/>
          <w:szCs w:val="18"/>
        </w:rPr>
        <w:t xml:space="preserve">Improving Ontario’s Consumer Protection Act: Strengthening Consumer Protection in Ontario </w:t>
      </w:r>
      <w:r w:rsidRPr="00740FD0">
        <w:rPr>
          <w:sz w:val="18"/>
          <w:szCs w:val="18"/>
        </w:rPr>
        <w:t xml:space="preserve">(December 2020), online: </w:t>
      </w:r>
      <w:hyperlink r:id="rId6" w:history="1">
        <w:r w:rsidR="00BE6CCE" w:rsidRPr="00740FD0">
          <w:rPr>
            <w:rStyle w:val="Hyperlink"/>
            <w:sz w:val="18"/>
            <w:szCs w:val="18"/>
          </w:rPr>
          <w:t>https://www.ontariocanada.com/registry/view.do?language=en&amp;postingId=35387</w:t>
        </w:r>
      </w:hyperlink>
      <w:r w:rsidR="00BE6CCE" w:rsidRPr="00740FD0">
        <w:rPr>
          <w:sz w:val="18"/>
          <w:szCs w:val="18"/>
        </w:rPr>
        <w:t xml:space="preserve"> </w:t>
      </w:r>
      <w:r w:rsidRPr="00740FD0">
        <w:rPr>
          <w:sz w:val="18"/>
          <w:szCs w:val="18"/>
        </w:rPr>
        <w:t>at 3.</w:t>
      </w:r>
    </w:p>
  </w:endnote>
  <w:endnote w:id="5">
    <w:p w14:paraId="581941DF" w14:textId="77777777" w:rsidR="003455CD" w:rsidRPr="00740FD0" w:rsidRDefault="003455CD" w:rsidP="003455CD">
      <w:pPr>
        <w:pStyle w:val="EndnoteText"/>
        <w:rPr>
          <w:sz w:val="18"/>
          <w:szCs w:val="18"/>
        </w:rPr>
      </w:pPr>
      <w:r w:rsidRPr="00740FD0">
        <w:rPr>
          <w:rStyle w:val="EndnoteReference"/>
          <w:sz w:val="18"/>
          <w:szCs w:val="18"/>
        </w:rPr>
        <w:endnoteRef/>
      </w:r>
      <w:r w:rsidRPr="00740FD0">
        <w:rPr>
          <w:sz w:val="18"/>
          <w:szCs w:val="18"/>
        </w:rPr>
        <w:t xml:space="preserve"> </w:t>
      </w:r>
      <w:bookmarkStart w:id="8" w:name="_Hlk138065476"/>
      <w:r w:rsidRPr="00740FD0">
        <w:rPr>
          <w:sz w:val="18"/>
          <w:szCs w:val="18"/>
        </w:rPr>
        <w:t xml:space="preserve">Ontario, </w:t>
      </w:r>
      <w:r w:rsidRPr="00740FD0">
        <w:rPr>
          <w:i/>
          <w:iCs/>
          <w:sz w:val="18"/>
          <w:szCs w:val="18"/>
        </w:rPr>
        <w:t xml:space="preserve">Modernizing Consumer Protection in Ontario Strengthening the Consumer Protection Act </w:t>
      </w:r>
      <w:r w:rsidRPr="00740FD0">
        <w:rPr>
          <w:sz w:val="18"/>
          <w:szCs w:val="18"/>
        </w:rPr>
        <w:t xml:space="preserve">(Ministry of Public and Business Service Delivery, February 2023), online: </w:t>
      </w:r>
      <w:hyperlink r:id="rId7" w:history="1">
        <w:r w:rsidRPr="00740FD0">
          <w:rPr>
            <w:rStyle w:val="Hyperlink"/>
            <w:sz w:val="18"/>
            <w:szCs w:val="18"/>
          </w:rPr>
          <w:t>https://www.ontariocanada.com/registry/view.do?postingId=43452&amp;language=en</w:t>
        </w:r>
      </w:hyperlink>
      <w:r w:rsidRPr="00740FD0">
        <w:rPr>
          <w:sz w:val="18"/>
          <w:szCs w:val="18"/>
        </w:rPr>
        <w:t xml:space="preserve">. </w:t>
      </w:r>
      <w:bookmarkEnd w:id="8"/>
    </w:p>
  </w:endnote>
  <w:endnote w:id="6">
    <w:p w14:paraId="75751457" w14:textId="77777777" w:rsidR="00996630" w:rsidRPr="00740FD0" w:rsidRDefault="00996630" w:rsidP="00996630">
      <w:pPr>
        <w:pStyle w:val="EndnoteText"/>
        <w:rPr>
          <w:sz w:val="18"/>
          <w:szCs w:val="18"/>
        </w:rPr>
      </w:pPr>
      <w:r w:rsidRPr="00740FD0">
        <w:rPr>
          <w:rStyle w:val="EndnoteReference"/>
          <w:sz w:val="18"/>
          <w:szCs w:val="18"/>
        </w:rPr>
        <w:endnoteRef/>
      </w:r>
      <w:r w:rsidRPr="00740FD0">
        <w:rPr>
          <w:sz w:val="18"/>
          <w:szCs w:val="18"/>
        </w:rPr>
        <w:t xml:space="preserve"> </w:t>
      </w:r>
      <w:bookmarkStart w:id="9" w:name="_Hlk138065492"/>
      <w:r w:rsidRPr="00740FD0">
        <w:rPr>
          <w:sz w:val="18"/>
          <w:szCs w:val="18"/>
        </w:rPr>
        <w:t xml:space="preserve">Ontario, </w:t>
      </w:r>
      <w:r w:rsidRPr="00740FD0">
        <w:rPr>
          <w:i/>
          <w:iCs/>
          <w:sz w:val="18"/>
          <w:szCs w:val="18"/>
        </w:rPr>
        <w:t xml:space="preserve">Modernizing Consumer Protection in Ontario Strengthening the Consumer Protection Act </w:t>
      </w:r>
      <w:r w:rsidRPr="00740FD0">
        <w:rPr>
          <w:sz w:val="18"/>
          <w:szCs w:val="18"/>
        </w:rPr>
        <w:t xml:space="preserve">(Ministry of Public and Business Service Delivery, February 2023), online: </w:t>
      </w:r>
      <w:hyperlink r:id="rId8" w:history="1">
        <w:r w:rsidRPr="00740FD0">
          <w:rPr>
            <w:rStyle w:val="Hyperlink"/>
            <w:sz w:val="18"/>
            <w:szCs w:val="18"/>
          </w:rPr>
          <w:t>https://www.ontariocanada.com/registry/view.do?postingId=43452&amp;language=en</w:t>
        </w:r>
      </w:hyperlink>
      <w:r w:rsidRPr="00740FD0">
        <w:rPr>
          <w:sz w:val="18"/>
          <w:szCs w:val="18"/>
        </w:rPr>
        <w:t>.</w:t>
      </w:r>
      <w:bookmarkEnd w:id="9"/>
      <w:r w:rsidRPr="00740FD0">
        <w:rPr>
          <w:sz w:val="18"/>
          <w:szCs w:val="18"/>
        </w:rPr>
        <w:t xml:space="preserve"> </w:t>
      </w:r>
    </w:p>
  </w:endnote>
  <w:endnote w:id="7">
    <w:p w14:paraId="1EB98E52" w14:textId="49742CEB" w:rsidR="00F81524" w:rsidRPr="00740FD0" w:rsidRDefault="00F81524" w:rsidP="002D20E5">
      <w:pPr>
        <w:pStyle w:val="EndnoteText"/>
        <w:rPr>
          <w:sz w:val="18"/>
          <w:szCs w:val="18"/>
        </w:rPr>
      </w:pPr>
      <w:r w:rsidRPr="00740FD0">
        <w:rPr>
          <w:rStyle w:val="EndnoteReference"/>
          <w:sz w:val="18"/>
          <w:szCs w:val="18"/>
        </w:rPr>
        <w:endnoteRef/>
      </w:r>
      <w:r w:rsidRPr="00740FD0">
        <w:rPr>
          <w:sz w:val="18"/>
          <w:szCs w:val="18"/>
        </w:rPr>
        <w:t xml:space="preserve"> </w:t>
      </w:r>
      <w:r w:rsidR="000A0FA6" w:rsidRPr="00740FD0">
        <w:rPr>
          <w:i/>
          <w:iCs/>
          <w:sz w:val="18"/>
          <w:szCs w:val="18"/>
        </w:rPr>
        <w:t>Consumer Protection Act</w:t>
      </w:r>
      <w:r w:rsidR="000A0FA6" w:rsidRPr="00740FD0">
        <w:rPr>
          <w:sz w:val="18"/>
          <w:szCs w:val="18"/>
        </w:rPr>
        <w:t xml:space="preserve"> (2002, S.O. 2002, c. 30, Sched. A), online: </w:t>
      </w:r>
      <w:hyperlink r:id="rId9" w:history="1">
        <w:r w:rsidR="000A0FA6" w:rsidRPr="00740FD0">
          <w:rPr>
            <w:rStyle w:val="Hyperlink"/>
            <w:sz w:val="18"/>
            <w:szCs w:val="18"/>
          </w:rPr>
          <w:t>https://www.ontario.ca/laws/statute/02c30</w:t>
        </w:r>
      </w:hyperlink>
      <w:r w:rsidR="000A0FA6" w:rsidRPr="00740FD0">
        <w:rPr>
          <w:sz w:val="18"/>
          <w:szCs w:val="18"/>
        </w:rPr>
        <w:t>.</w:t>
      </w:r>
    </w:p>
  </w:endnote>
  <w:endnote w:id="8">
    <w:p w14:paraId="5617F85E" w14:textId="7FEA936A" w:rsidR="00A47A5D" w:rsidRPr="00740FD0" w:rsidRDefault="00A47A5D" w:rsidP="00A47A5D">
      <w:pPr>
        <w:pStyle w:val="EndnoteText"/>
        <w:rPr>
          <w:sz w:val="18"/>
          <w:szCs w:val="18"/>
        </w:rPr>
      </w:pPr>
      <w:r w:rsidRPr="00740FD0">
        <w:rPr>
          <w:rStyle w:val="EndnoteReference"/>
          <w:sz w:val="18"/>
          <w:szCs w:val="18"/>
        </w:rPr>
        <w:endnoteRef/>
      </w:r>
      <w:r w:rsidRPr="00740FD0">
        <w:rPr>
          <w:sz w:val="18"/>
          <w:szCs w:val="18"/>
        </w:rPr>
        <w:t xml:space="preserve"> Ministry of Government and Consumer Services, </w:t>
      </w:r>
      <w:r w:rsidRPr="00740FD0">
        <w:rPr>
          <w:i/>
          <w:iCs/>
          <w:sz w:val="18"/>
          <w:szCs w:val="18"/>
        </w:rPr>
        <w:t xml:space="preserve">Improving Ontario’s Consumer Protection Act: Strengthening Consumer Protection in Ontario </w:t>
      </w:r>
      <w:r w:rsidRPr="00740FD0">
        <w:rPr>
          <w:sz w:val="18"/>
          <w:szCs w:val="18"/>
        </w:rPr>
        <w:t xml:space="preserve">(December 2020), online: </w:t>
      </w:r>
      <w:hyperlink r:id="rId10" w:history="1">
        <w:r w:rsidR="00036654" w:rsidRPr="00740FD0">
          <w:rPr>
            <w:rStyle w:val="Hyperlink"/>
            <w:sz w:val="18"/>
            <w:szCs w:val="18"/>
          </w:rPr>
          <w:t>https://www.ontariocanada.com/registry/view.do?language=en&amp;postingId=35387</w:t>
        </w:r>
      </w:hyperlink>
      <w:r w:rsidR="00036654" w:rsidRPr="00740FD0">
        <w:rPr>
          <w:sz w:val="18"/>
          <w:szCs w:val="18"/>
        </w:rPr>
        <w:t xml:space="preserve"> </w:t>
      </w:r>
      <w:r w:rsidRPr="00740FD0">
        <w:rPr>
          <w:sz w:val="18"/>
          <w:szCs w:val="18"/>
        </w:rPr>
        <w:t>at 3.</w:t>
      </w:r>
    </w:p>
  </w:endnote>
  <w:endnote w:id="9">
    <w:p w14:paraId="7816A678" w14:textId="15AA1386" w:rsidR="00A47A5D" w:rsidRPr="00740FD0" w:rsidRDefault="00A47A5D" w:rsidP="00A47A5D">
      <w:pPr>
        <w:pStyle w:val="EndnoteText"/>
        <w:rPr>
          <w:sz w:val="18"/>
          <w:szCs w:val="18"/>
        </w:rPr>
      </w:pPr>
      <w:r w:rsidRPr="00740FD0">
        <w:rPr>
          <w:rStyle w:val="EndnoteReference"/>
          <w:sz w:val="18"/>
          <w:szCs w:val="18"/>
        </w:rPr>
        <w:endnoteRef/>
      </w:r>
      <w:r w:rsidRPr="00740FD0">
        <w:rPr>
          <w:sz w:val="18"/>
          <w:szCs w:val="18"/>
        </w:rPr>
        <w:t xml:space="preserve"> </w:t>
      </w:r>
      <w:r w:rsidR="00036654" w:rsidRPr="00740FD0">
        <w:rPr>
          <w:sz w:val="18"/>
          <w:szCs w:val="18"/>
        </w:rPr>
        <w:t>Organization for Economic Cooperation and Development,</w:t>
      </w:r>
      <w:r w:rsidRPr="00740FD0">
        <w:rPr>
          <w:sz w:val="18"/>
          <w:szCs w:val="18"/>
        </w:rPr>
        <w:t xml:space="preserve"> </w:t>
      </w:r>
      <w:r w:rsidR="00036654" w:rsidRPr="00740FD0">
        <w:rPr>
          <w:i/>
          <w:iCs/>
          <w:sz w:val="18"/>
          <w:szCs w:val="18"/>
        </w:rPr>
        <w:t xml:space="preserve">The Role of </w:t>
      </w:r>
      <w:r w:rsidRPr="00740FD0">
        <w:rPr>
          <w:i/>
          <w:iCs/>
          <w:sz w:val="18"/>
          <w:szCs w:val="18"/>
        </w:rPr>
        <w:t>Online Marketplaces in Protecting and Empowering Consumers</w:t>
      </w:r>
      <w:r w:rsidRPr="00740FD0">
        <w:rPr>
          <w:sz w:val="18"/>
          <w:szCs w:val="18"/>
        </w:rPr>
        <w:t xml:space="preserve"> </w:t>
      </w:r>
      <w:r w:rsidR="00036654" w:rsidRPr="00740FD0">
        <w:rPr>
          <w:sz w:val="18"/>
          <w:szCs w:val="18"/>
        </w:rPr>
        <w:t xml:space="preserve">(July 2022), at 6, online: </w:t>
      </w:r>
      <w:hyperlink r:id="rId11" w:history="1">
        <w:r w:rsidR="00036654" w:rsidRPr="00740FD0">
          <w:rPr>
            <w:rStyle w:val="Hyperlink"/>
            <w:sz w:val="18"/>
            <w:szCs w:val="18"/>
          </w:rPr>
          <w:t>https://www.oecd.org/publications/the-role-of-online-marketplaces-in-protecting-and-empowering-consumers-9d8cc586-en.htm</w:t>
        </w:r>
      </w:hyperlink>
      <w:r w:rsidR="0073297A" w:rsidRPr="00740FD0">
        <w:rPr>
          <w:sz w:val="18"/>
          <w:szCs w:val="18"/>
        </w:rPr>
        <w:t xml:space="preserve"> (OECD Empowering Consumers).</w:t>
      </w:r>
    </w:p>
  </w:endnote>
  <w:endnote w:id="10">
    <w:p w14:paraId="65944648" w14:textId="6A37835B" w:rsidR="008E49B7" w:rsidRPr="00740FD0" w:rsidRDefault="008E49B7" w:rsidP="008E49B7">
      <w:pPr>
        <w:pStyle w:val="EndnoteText"/>
        <w:rPr>
          <w:i/>
          <w:iCs/>
          <w:sz w:val="18"/>
          <w:szCs w:val="18"/>
          <w:lang w:val="en-US"/>
        </w:rPr>
      </w:pPr>
      <w:r w:rsidRPr="00740FD0">
        <w:rPr>
          <w:rStyle w:val="EndnoteReference"/>
          <w:sz w:val="18"/>
          <w:szCs w:val="18"/>
        </w:rPr>
        <w:endnoteRef/>
      </w:r>
      <w:r w:rsidRPr="00740FD0">
        <w:rPr>
          <w:sz w:val="18"/>
          <w:szCs w:val="18"/>
        </w:rPr>
        <w:t xml:space="preserve"> </w:t>
      </w:r>
      <w:r w:rsidR="00036654" w:rsidRPr="00740FD0">
        <w:rPr>
          <w:sz w:val="18"/>
          <w:szCs w:val="18"/>
        </w:rPr>
        <w:t xml:space="preserve">Organization for Economic Cooperation and Development, </w:t>
      </w:r>
      <w:r w:rsidR="00036654" w:rsidRPr="00740FD0">
        <w:rPr>
          <w:i/>
          <w:iCs/>
          <w:sz w:val="18"/>
          <w:szCs w:val="18"/>
        </w:rPr>
        <w:t>The Role of Online Marketplaces in Protecting and Empowering Consumers</w:t>
      </w:r>
      <w:r w:rsidR="00036654" w:rsidRPr="00740FD0">
        <w:rPr>
          <w:sz w:val="18"/>
          <w:szCs w:val="18"/>
        </w:rPr>
        <w:t xml:space="preserve"> (July 2022), at 11, online: </w:t>
      </w:r>
      <w:hyperlink r:id="rId12" w:history="1">
        <w:r w:rsidR="00036654" w:rsidRPr="00740FD0">
          <w:rPr>
            <w:rStyle w:val="Hyperlink"/>
            <w:sz w:val="18"/>
            <w:szCs w:val="18"/>
          </w:rPr>
          <w:t>https://www.oecd.org/publications/the-role-of-online-marketplaces-in-protecting-and-empowering-consumers-9d8cc586-en.htm</w:t>
        </w:r>
      </w:hyperlink>
      <w:r w:rsidR="00036654" w:rsidRPr="00740FD0">
        <w:rPr>
          <w:sz w:val="18"/>
          <w:szCs w:val="18"/>
        </w:rPr>
        <w:t>.</w:t>
      </w:r>
    </w:p>
  </w:endnote>
  <w:endnote w:id="11">
    <w:p w14:paraId="02ECEB67" w14:textId="27AFF711" w:rsidR="00064378" w:rsidRPr="00740FD0" w:rsidRDefault="00064378" w:rsidP="00064378">
      <w:pPr>
        <w:pStyle w:val="EndnoteText"/>
        <w:rPr>
          <w:sz w:val="18"/>
          <w:szCs w:val="18"/>
        </w:rPr>
      </w:pPr>
      <w:r w:rsidRPr="00740FD0">
        <w:rPr>
          <w:rStyle w:val="EndnoteReference"/>
          <w:sz w:val="18"/>
          <w:szCs w:val="18"/>
        </w:rPr>
        <w:endnoteRef/>
      </w:r>
      <w:r w:rsidRPr="00740FD0">
        <w:rPr>
          <w:sz w:val="18"/>
          <w:szCs w:val="18"/>
        </w:rPr>
        <w:t xml:space="preserve"> </w:t>
      </w:r>
      <w:r w:rsidR="00036654" w:rsidRPr="00740FD0">
        <w:rPr>
          <w:sz w:val="18"/>
          <w:szCs w:val="18"/>
        </w:rPr>
        <w:t xml:space="preserve">Business Insider, “You're not alone, no one reads terms of service agreements” (November 15, 2017), online: </w:t>
      </w:r>
      <w:hyperlink r:id="rId13" w:history="1">
        <w:r w:rsidR="00036654" w:rsidRPr="00740FD0">
          <w:rPr>
            <w:rStyle w:val="Hyperlink"/>
            <w:sz w:val="18"/>
            <w:szCs w:val="18"/>
          </w:rPr>
          <w:t>https://www.businessinsider.com/deloitte-study-91-percent-agree-terms-of-service-without-reading-2017-11</w:t>
        </w:r>
      </w:hyperlink>
      <w:r w:rsidR="00036654" w:rsidRPr="00740FD0">
        <w:rPr>
          <w:sz w:val="18"/>
          <w:szCs w:val="18"/>
        </w:rPr>
        <w:t xml:space="preserve">, citing Jonathan Obar and Anne </w:t>
      </w:r>
      <w:r w:rsidR="00036654" w:rsidRPr="00740FD0">
        <w:rPr>
          <w:sz w:val="18"/>
          <w:szCs w:val="18"/>
        </w:rPr>
        <w:t xml:space="preserve">Oeldorf-Hirsch, “The Biggest Lie on the Internet: Ignoring the Privacy Policies and Terms of Service Policies of Social Networking Services” (2018 Information, Communication &amp; Society 1-20), online: </w:t>
      </w:r>
      <w:hyperlink r:id="rId14" w:history="1">
        <w:r w:rsidR="00036654" w:rsidRPr="00740FD0">
          <w:rPr>
            <w:rStyle w:val="Hyperlink"/>
            <w:sz w:val="18"/>
            <w:szCs w:val="18"/>
          </w:rPr>
          <w:t>https://papers.ssrn.com/sol3/papers.cfm?abstract_id=2757465</w:t>
        </w:r>
      </w:hyperlink>
      <w:r w:rsidR="00306B38" w:rsidRPr="00740FD0">
        <w:rPr>
          <w:sz w:val="18"/>
          <w:szCs w:val="18"/>
        </w:rPr>
        <w:t>.</w:t>
      </w:r>
      <w:r w:rsidR="00036654" w:rsidRPr="00740FD0">
        <w:rPr>
          <w:sz w:val="18"/>
          <w:szCs w:val="18"/>
        </w:rPr>
        <w:t xml:space="preserve"> </w:t>
      </w:r>
      <w:r w:rsidR="001C5DD1" w:rsidRPr="00740FD0">
        <w:rPr>
          <w:sz w:val="18"/>
          <w:szCs w:val="18"/>
        </w:rPr>
        <w:t xml:space="preserve">See also New York Times, “What Happens When You Click ‘Agree’?” (July 23, 2021), online: </w:t>
      </w:r>
      <w:hyperlink r:id="rId15" w:history="1">
        <w:r w:rsidR="001C5DD1" w:rsidRPr="00740FD0">
          <w:rPr>
            <w:rStyle w:val="Hyperlink"/>
            <w:sz w:val="18"/>
            <w:szCs w:val="18"/>
          </w:rPr>
          <w:t>https://www.nytimes.com/2021/01/23/opinion/sunday/online-terms-of-service.html</w:t>
        </w:r>
      </w:hyperlink>
      <w:r w:rsidR="001C5DD1" w:rsidRPr="00740FD0">
        <w:rPr>
          <w:sz w:val="18"/>
          <w:szCs w:val="18"/>
        </w:rPr>
        <w:t xml:space="preserve">. </w:t>
      </w:r>
    </w:p>
  </w:endnote>
  <w:endnote w:id="12">
    <w:p w14:paraId="2E3156AD" w14:textId="2099C8D0" w:rsidR="00621018" w:rsidRPr="00740FD0" w:rsidRDefault="00621018" w:rsidP="00621018">
      <w:pPr>
        <w:pStyle w:val="EndnoteText"/>
        <w:rPr>
          <w:sz w:val="18"/>
          <w:szCs w:val="18"/>
        </w:rPr>
      </w:pPr>
      <w:r w:rsidRPr="00740FD0">
        <w:rPr>
          <w:rStyle w:val="EndnoteReference"/>
          <w:sz w:val="18"/>
          <w:szCs w:val="18"/>
        </w:rPr>
        <w:endnoteRef/>
      </w:r>
      <w:r w:rsidRPr="00740FD0">
        <w:rPr>
          <w:sz w:val="18"/>
          <w:szCs w:val="18"/>
        </w:rPr>
        <w:t xml:space="preserve"> </w:t>
      </w:r>
      <w:r w:rsidR="00036654" w:rsidRPr="00740FD0">
        <w:rPr>
          <w:sz w:val="18"/>
          <w:szCs w:val="18"/>
        </w:rPr>
        <w:t xml:space="preserve">The Guardian, “Click to agree with what? No one reads terms of service, studies confirm” (March 3, 2017), online: </w:t>
      </w:r>
      <w:hyperlink r:id="rId16" w:history="1">
        <w:r w:rsidR="00036654" w:rsidRPr="00740FD0">
          <w:rPr>
            <w:rStyle w:val="Hyperlink"/>
            <w:sz w:val="18"/>
            <w:szCs w:val="18"/>
          </w:rPr>
          <w:t>https://www.theguardian.com/technology/2017/mar/03/terms-of-service-online-contracts-fine-print</w:t>
        </w:r>
      </w:hyperlink>
      <w:r w:rsidR="00306B38" w:rsidRPr="00740FD0">
        <w:rPr>
          <w:sz w:val="18"/>
          <w:szCs w:val="18"/>
        </w:rPr>
        <w:t xml:space="preserve">, citing Jonathan Obar and Anne </w:t>
      </w:r>
      <w:r w:rsidR="00306B38" w:rsidRPr="00740FD0">
        <w:rPr>
          <w:sz w:val="18"/>
          <w:szCs w:val="18"/>
        </w:rPr>
        <w:t xml:space="preserve">Oeldorf-Hirsch, “The Biggest Lie on the Internet: Ignoring the Privacy Policies and Terms of Service Policies of Social Networking Services” (2018 Information, Communication &amp; Society 1-20), online: </w:t>
      </w:r>
      <w:hyperlink r:id="rId17" w:history="1">
        <w:r w:rsidR="00306B38" w:rsidRPr="00740FD0">
          <w:rPr>
            <w:rStyle w:val="Hyperlink"/>
            <w:sz w:val="18"/>
            <w:szCs w:val="18"/>
          </w:rPr>
          <w:t>https://papers.ssrn.com/sol3/papers.cfm?abstract_id=2757465</w:t>
        </w:r>
      </w:hyperlink>
      <w:r w:rsidR="00306B38" w:rsidRPr="00740FD0">
        <w:rPr>
          <w:sz w:val="18"/>
          <w:szCs w:val="18"/>
        </w:rPr>
        <w:t>.</w:t>
      </w:r>
      <w:r w:rsidR="00DF6A2B" w:rsidRPr="00740FD0">
        <w:rPr>
          <w:sz w:val="18"/>
          <w:szCs w:val="18"/>
        </w:rPr>
        <w:t xml:space="preserve"> See also Visual Capitalist, “Visualizing the Length of the Fine Print, for 14 Popular Apps” (April 18, 2020), online: </w:t>
      </w:r>
      <w:hyperlink r:id="rId18" w:history="1">
        <w:r w:rsidR="00DF6A2B" w:rsidRPr="00740FD0">
          <w:rPr>
            <w:rStyle w:val="Hyperlink"/>
            <w:sz w:val="18"/>
            <w:szCs w:val="18"/>
          </w:rPr>
          <w:t>https://www.visualcapitalist.com/terms-of-service-visualizing-the-length-of-internet-agreements/</w:t>
        </w:r>
      </w:hyperlink>
      <w:r w:rsidR="00DF6A2B" w:rsidRPr="00740FD0">
        <w:rPr>
          <w:sz w:val="18"/>
          <w:szCs w:val="18"/>
        </w:rPr>
        <w:t xml:space="preserve">. </w:t>
      </w:r>
    </w:p>
  </w:endnote>
  <w:endnote w:id="13">
    <w:p w14:paraId="60AE1B99" w14:textId="322401FC" w:rsidR="00621018" w:rsidRPr="00740FD0" w:rsidRDefault="00621018" w:rsidP="00621018">
      <w:pPr>
        <w:pStyle w:val="EndnoteText"/>
        <w:rPr>
          <w:sz w:val="18"/>
          <w:szCs w:val="18"/>
        </w:rPr>
      </w:pPr>
      <w:r w:rsidRPr="00740FD0">
        <w:rPr>
          <w:rStyle w:val="EndnoteReference"/>
          <w:sz w:val="18"/>
          <w:szCs w:val="18"/>
        </w:rPr>
        <w:endnoteRef/>
      </w:r>
      <w:r w:rsidRPr="00740FD0">
        <w:rPr>
          <w:sz w:val="18"/>
          <w:szCs w:val="18"/>
        </w:rPr>
        <w:t xml:space="preserve"> </w:t>
      </w:r>
      <w:r w:rsidR="00181345" w:rsidRPr="00740FD0">
        <w:rPr>
          <w:sz w:val="18"/>
          <w:szCs w:val="18"/>
        </w:rPr>
        <w:t xml:space="preserve">Vice News, “Most Online ‘Terms of Service’ Are Incomprehensible to Adults, Study Finds” (December 2, 2019), online: </w:t>
      </w:r>
      <w:hyperlink r:id="rId19" w:history="1">
        <w:r w:rsidR="00181345" w:rsidRPr="00740FD0">
          <w:rPr>
            <w:rStyle w:val="Hyperlink"/>
            <w:sz w:val="18"/>
            <w:szCs w:val="18"/>
          </w:rPr>
          <w:t>https://www.vice.com/en/article/xwbg7j/online-contract-terms-of-service-are-incomprehensible-to-adults-study-finds</w:t>
        </w:r>
      </w:hyperlink>
      <w:r w:rsidR="00181345" w:rsidRPr="00740FD0">
        <w:rPr>
          <w:sz w:val="18"/>
          <w:szCs w:val="18"/>
        </w:rPr>
        <w:t xml:space="preserve">, citing Uri </w:t>
      </w:r>
      <w:r w:rsidR="00181345" w:rsidRPr="00740FD0">
        <w:rPr>
          <w:sz w:val="18"/>
          <w:szCs w:val="18"/>
        </w:rPr>
        <w:t xml:space="preserve">Benoliel and Samuel Becher, “The Duty to Read the Unreadable” (60 Boston College Law Review 2255 (2019)), online: </w:t>
      </w:r>
      <w:hyperlink r:id="rId20" w:history="1">
        <w:r w:rsidR="00181345" w:rsidRPr="00740FD0">
          <w:rPr>
            <w:rStyle w:val="Hyperlink"/>
            <w:sz w:val="18"/>
            <w:szCs w:val="18"/>
          </w:rPr>
          <w:t>https://papers.ssrn.com/sol3/papers.cfm?abstract_id=3313837</w:t>
        </w:r>
      </w:hyperlink>
      <w:r w:rsidR="00181345" w:rsidRPr="00740FD0">
        <w:rPr>
          <w:sz w:val="18"/>
          <w:szCs w:val="18"/>
        </w:rPr>
        <w:t xml:space="preserve">. </w:t>
      </w:r>
    </w:p>
  </w:endnote>
  <w:endnote w:id="14">
    <w:p w14:paraId="236E556D" w14:textId="6798ACB6" w:rsidR="00147A2C" w:rsidRPr="00740FD0" w:rsidRDefault="00147A2C">
      <w:pPr>
        <w:pStyle w:val="EndnoteText"/>
        <w:rPr>
          <w:sz w:val="18"/>
          <w:szCs w:val="18"/>
        </w:rPr>
      </w:pPr>
      <w:r w:rsidRPr="00740FD0">
        <w:rPr>
          <w:rStyle w:val="EndnoteReference"/>
          <w:sz w:val="18"/>
          <w:szCs w:val="18"/>
        </w:rPr>
        <w:endnoteRef/>
      </w:r>
      <w:r w:rsidRPr="00740FD0">
        <w:rPr>
          <w:sz w:val="18"/>
          <w:szCs w:val="18"/>
        </w:rPr>
        <w:t xml:space="preserve"> </w:t>
      </w:r>
      <w:r w:rsidR="00192480" w:rsidRPr="00740FD0">
        <w:rPr>
          <w:sz w:val="18"/>
          <w:szCs w:val="18"/>
        </w:rPr>
        <w:t xml:space="preserve">See “Terms of Service; Didn’t Read”, online: </w:t>
      </w:r>
      <w:hyperlink r:id="rId21" w:history="1">
        <w:r w:rsidR="00192480" w:rsidRPr="00740FD0">
          <w:rPr>
            <w:rStyle w:val="Hyperlink"/>
            <w:sz w:val="18"/>
            <w:szCs w:val="18"/>
          </w:rPr>
          <w:t>https://tosdr.org/</w:t>
        </w:r>
      </w:hyperlink>
      <w:r w:rsidR="00192480" w:rsidRPr="00740FD0">
        <w:rPr>
          <w:sz w:val="18"/>
          <w:szCs w:val="18"/>
        </w:rPr>
        <w:t xml:space="preserve">. </w:t>
      </w:r>
    </w:p>
  </w:endnote>
  <w:endnote w:id="15">
    <w:p w14:paraId="5FFF99BD" w14:textId="77777777" w:rsidR="00F81524" w:rsidRPr="00740FD0" w:rsidRDefault="00F81524" w:rsidP="00ED42F3">
      <w:pPr>
        <w:pStyle w:val="EndnoteText"/>
        <w:rPr>
          <w:sz w:val="18"/>
          <w:szCs w:val="18"/>
        </w:rPr>
      </w:pPr>
      <w:r w:rsidRPr="00740FD0">
        <w:rPr>
          <w:rStyle w:val="EndnoteReference"/>
          <w:sz w:val="18"/>
          <w:szCs w:val="18"/>
        </w:rPr>
        <w:endnoteRef/>
      </w:r>
      <w:r w:rsidRPr="00740FD0">
        <w:rPr>
          <w:sz w:val="18"/>
          <w:szCs w:val="18"/>
        </w:rPr>
        <w:t xml:space="preserve"> See Florencia Marotta-Wurgler, “Does Contract Disclosure Matter?” (168 Journal of Institutional and Theoretical Economics 1 (March 2012); Florencia Marotta-Wurgler, “Will Increased Disclosure Help? Evaluating the Recommendations of the ALI’s Principles of the Law of Software Contracts” (78 University of Chicago Law Review 165 (2011)); and Yannis </w:t>
      </w:r>
      <w:r w:rsidRPr="00740FD0">
        <w:rPr>
          <w:sz w:val="18"/>
          <w:szCs w:val="18"/>
        </w:rPr>
        <w:t>Bakos, Florencia Marotta-Wurgler, and David R Trossen, “Does Anyone Read the Fine Print? Consumer Attention to Standard-Form Contracts” (43 Journal of Legal Studies 1 (January 2014).</w:t>
      </w:r>
    </w:p>
  </w:endnote>
  <w:endnote w:id="16">
    <w:p w14:paraId="2576B4A2" w14:textId="1A978840" w:rsidR="00147A2C" w:rsidRPr="00740FD0" w:rsidRDefault="00147A2C">
      <w:pPr>
        <w:pStyle w:val="EndnoteText"/>
        <w:rPr>
          <w:sz w:val="18"/>
          <w:szCs w:val="18"/>
        </w:rPr>
      </w:pPr>
      <w:r w:rsidRPr="00740FD0">
        <w:rPr>
          <w:rStyle w:val="EndnoteReference"/>
          <w:sz w:val="18"/>
          <w:szCs w:val="18"/>
        </w:rPr>
        <w:endnoteRef/>
      </w:r>
      <w:r w:rsidRPr="00740FD0">
        <w:rPr>
          <w:sz w:val="18"/>
          <w:szCs w:val="18"/>
        </w:rPr>
        <w:t xml:space="preserve"> </w:t>
      </w:r>
      <w:r w:rsidR="0063295C" w:rsidRPr="00740FD0">
        <w:rPr>
          <w:sz w:val="18"/>
          <w:szCs w:val="18"/>
        </w:rPr>
        <w:t xml:space="preserve">See “Terms of Service; Didn’t Read”, online: </w:t>
      </w:r>
      <w:hyperlink r:id="rId22" w:history="1">
        <w:r w:rsidR="0063295C" w:rsidRPr="00740FD0">
          <w:rPr>
            <w:rStyle w:val="Hyperlink"/>
            <w:sz w:val="18"/>
            <w:szCs w:val="18"/>
          </w:rPr>
          <w:t>https://tosdr.org/</w:t>
        </w:r>
      </w:hyperlink>
      <w:r w:rsidR="0063295C" w:rsidRPr="00740FD0">
        <w:rPr>
          <w:sz w:val="18"/>
          <w:szCs w:val="18"/>
        </w:rPr>
        <w:t>.</w:t>
      </w:r>
    </w:p>
  </w:endnote>
  <w:endnote w:id="17">
    <w:p w14:paraId="0DCA34F4" w14:textId="7AD5CD46" w:rsidR="00417D48" w:rsidRPr="00740FD0" w:rsidRDefault="00417D48" w:rsidP="00417D48">
      <w:pPr>
        <w:pStyle w:val="EndnoteText"/>
        <w:rPr>
          <w:sz w:val="18"/>
          <w:szCs w:val="18"/>
        </w:rPr>
      </w:pPr>
      <w:r w:rsidRPr="00740FD0">
        <w:rPr>
          <w:rStyle w:val="EndnoteReference"/>
          <w:sz w:val="18"/>
          <w:szCs w:val="18"/>
        </w:rPr>
        <w:endnoteRef/>
      </w:r>
      <w:r w:rsidRPr="00740FD0">
        <w:rPr>
          <w:sz w:val="18"/>
          <w:szCs w:val="18"/>
        </w:rPr>
        <w:t xml:space="preserve"> </w:t>
      </w:r>
      <w:r w:rsidR="0063295C" w:rsidRPr="00740FD0">
        <w:rPr>
          <w:sz w:val="18"/>
          <w:szCs w:val="18"/>
        </w:rPr>
        <w:t xml:space="preserve">See “Terms of Service; Didn’t Read”, online: </w:t>
      </w:r>
      <w:hyperlink r:id="rId23" w:history="1">
        <w:r w:rsidR="0063295C" w:rsidRPr="00740FD0">
          <w:rPr>
            <w:rStyle w:val="Hyperlink"/>
            <w:sz w:val="18"/>
            <w:szCs w:val="18"/>
          </w:rPr>
          <w:t>https://tosdr.org/</w:t>
        </w:r>
      </w:hyperlink>
      <w:r w:rsidR="0063295C" w:rsidRPr="00740FD0">
        <w:rPr>
          <w:sz w:val="18"/>
          <w:szCs w:val="18"/>
        </w:rPr>
        <w:t>.</w:t>
      </w:r>
    </w:p>
  </w:endnote>
  <w:endnote w:id="18">
    <w:p w14:paraId="2100EB36" w14:textId="31618D41" w:rsidR="00417D48" w:rsidRPr="00740FD0" w:rsidRDefault="00417D48">
      <w:pPr>
        <w:pStyle w:val="EndnoteText"/>
        <w:rPr>
          <w:sz w:val="18"/>
          <w:szCs w:val="18"/>
        </w:rPr>
      </w:pPr>
      <w:r w:rsidRPr="00740FD0">
        <w:rPr>
          <w:rStyle w:val="EndnoteReference"/>
          <w:sz w:val="18"/>
          <w:szCs w:val="18"/>
        </w:rPr>
        <w:endnoteRef/>
      </w:r>
      <w:r w:rsidRPr="00740FD0">
        <w:rPr>
          <w:sz w:val="18"/>
          <w:szCs w:val="18"/>
        </w:rPr>
        <w:t xml:space="preserve"> </w:t>
      </w:r>
      <w:r w:rsidR="0063295C" w:rsidRPr="00740FD0">
        <w:rPr>
          <w:sz w:val="18"/>
          <w:szCs w:val="18"/>
        </w:rPr>
        <w:t xml:space="preserve">See Marina Pavlovic, “Consumer First, Digital Citizenry Second: Through the Gateway of Standard-Form Contracts” in Elizabeth Dubois and Florian Martin-Bariteau (eds.), </w:t>
      </w:r>
      <w:r w:rsidR="0063295C" w:rsidRPr="00740FD0">
        <w:rPr>
          <w:i/>
          <w:iCs/>
          <w:sz w:val="18"/>
          <w:szCs w:val="18"/>
        </w:rPr>
        <w:t xml:space="preserve">Citizenship in a Connected Canada: A Research and Policy Agenda </w:t>
      </w:r>
      <w:r w:rsidR="0063295C" w:rsidRPr="00740FD0">
        <w:rPr>
          <w:sz w:val="18"/>
          <w:szCs w:val="18"/>
        </w:rPr>
        <w:t>(University of Ottawa Press, 2020) at 160-163.</w:t>
      </w:r>
    </w:p>
  </w:endnote>
  <w:endnote w:id="19">
    <w:p w14:paraId="0027B83A" w14:textId="38670671" w:rsidR="00417D48" w:rsidRPr="00740FD0" w:rsidRDefault="00417D48">
      <w:pPr>
        <w:pStyle w:val="EndnoteText"/>
        <w:rPr>
          <w:sz w:val="18"/>
          <w:szCs w:val="18"/>
        </w:rPr>
      </w:pPr>
      <w:r w:rsidRPr="00740FD0">
        <w:rPr>
          <w:rStyle w:val="EndnoteReference"/>
          <w:sz w:val="18"/>
          <w:szCs w:val="18"/>
        </w:rPr>
        <w:endnoteRef/>
      </w:r>
      <w:r w:rsidRPr="00740FD0">
        <w:rPr>
          <w:sz w:val="18"/>
          <w:szCs w:val="18"/>
        </w:rPr>
        <w:t xml:space="preserve"> </w:t>
      </w:r>
      <w:r w:rsidR="0063295C" w:rsidRPr="00740FD0">
        <w:rPr>
          <w:sz w:val="18"/>
          <w:szCs w:val="18"/>
        </w:rPr>
        <w:t xml:space="preserve">See Marina Pavlovic, “Consumer First, Digital Citizenry Second: Through the Gateway of Standard-Form Contracts” in Elizabeth Dubois and Florian Martin-Bariteau (eds.), </w:t>
      </w:r>
      <w:r w:rsidR="0063295C" w:rsidRPr="00740FD0">
        <w:rPr>
          <w:i/>
          <w:iCs/>
          <w:sz w:val="18"/>
          <w:szCs w:val="18"/>
        </w:rPr>
        <w:t xml:space="preserve">Citizenship in a Connected Canada: A Research and Policy Agenda </w:t>
      </w:r>
      <w:r w:rsidR="0063295C" w:rsidRPr="00740FD0">
        <w:rPr>
          <w:sz w:val="18"/>
          <w:szCs w:val="18"/>
        </w:rPr>
        <w:t>(University of Ottawa Press, 2020) at 160-163.</w:t>
      </w:r>
    </w:p>
  </w:endnote>
  <w:endnote w:id="20">
    <w:p w14:paraId="321BB16C" w14:textId="5873B016" w:rsidR="00417D48" w:rsidRPr="00740FD0" w:rsidRDefault="00417D48">
      <w:pPr>
        <w:pStyle w:val="EndnoteText"/>
        <w:rPr>
          <w:sz w:val="18"/>
          <w:szCs w:val="18"/>
        </w:rPr>
      </w:pPr>
      <w:r w:rsidRPr="00740FD0">
        <w:rPr>
          <w:rStyle w:val="EndnoteReference"/>
          <w:sz w:val="18"/>
          <w:szCs w:val="18"/>
        </w:rPr>
        <w:endnoteRef/>
      </w:r>
      <w:r w:rsidRPr="00740FD0">
        <w:rPr>
          <w:sz w:val="18"/>
          <w:szCs w:val="18"/>
        </w:rPr>
        <w:t xml:space="preserve"> </w:t>
      </w:r>
      <w:r w:rsidR="0063295C" w:rsidRPr="00740FD0">
        <w:rPr>
          <w:sz w:val="18"/>
          <w:szCs w:val="18"/>
        </w:rPr>
        <w:t xml:space="preserve">See Marina Pavlovic, “Consumer First, Digital Citizenry Second: Through the Gateway of Standard-Form Contracts” in Elizabeth Dubois and Florian Martin-Bariteau (eds.), </w:t>
      </w:r>
      <w:r w:rsidR="0063295C" w:rsidRPr="00740FD0">
        <w:rPr>
          <w:i/>
          <w:iCs/>
          <w:sz w:val="18"/>
          <w:szCs w:val="18"/>
        </w:rPr>
        <w:t xml:space="preserve">Citizenship in a Connected Canada: A Research and Policy Agenda </w:t>
      </w:r>
      <w:r w:rsidR="0063295C" w:rsidRPr="00740FD0">
        <w:rPr>
          <w:sz w:val="18"/>
          <w:szCs w:val="18"/>
        </w:rPr>
        <w:t>(University of Ottawa Press, 2020) at 160-163.</w:t>
      </w:r>
    </w:p>
  </w:endnote>
  <w:endnote w:id="21">
    <w:p w14:paraId="0F7F548B" w14:textId="6345D355" w:rsidR="006B5D88" w:rsidRPr="00740FD0" w:rsidRDefault="006B5D88">
      <w:pPr>
        <w:pStyle w:val="EndnoteText"/>
        <w:rPr>
          <w:sz w:val="18"/>
          <w:szCs w:val="18"/>
        </w:rPr>
      </w:pPr>
      <w:r w:rsidRPr="00740FD0">
        <w:rPr>
          <w:rStyle w:val="EndnoteReference"/>
          <w:sz w:val="18"/>
          <w:szCs w:val="18"/>
        </w:rPr>
        <w:endnoteRef/>
      </w:r>
      <w:r w:rsidRPr="00740FD0">
        <w:rPr>
          <w:sz w:val="18"/>
          <w:szCs w:val="18"/>
        </w:rPr>
        <w:t xml:space="preserve"> </w:t>
      </w:r>
      <w:r w:rsidR="00EA38DD" w:rsidRPr="00740FD0">
        <w:rPr>
          <w:sz w:val="18"/>
          <w:szCs w:val="18"/>
        </w:rPr>
        <w:t xml:space="preserve">Margaret Jane </w:t>
      </w:r>
      <w:r w:rsidR="00EA38DD" w:rsidRPr="00740FD0">
        <w:rPr>
          <w:sz w:val="18"/>
          <w:szCs w:val="18"/>
        </w:rPr>
        <w:t xml:space="preserve">Radin, </w:t>
      </w:r>
      <w:r w:rsidR="00EA38DD" w:rsidRPr="00740FD0">
        <w:rPr>
          <w:i/>
          <w:iCs/>
          <w:sz w:val="18"/>
          <w:szCs w:val="18"/>
        </w:rPr>
        <w:t xml:space="preserve">Boilerplate: The Fine Print, Vanishing Rights, and the Rule of Law </w:t>
      </w:r>
      <w:r w:rsidR="00EA38DD" w:rsidRPr="00740FD0">
        <w:rPr>
          <w:sz w:val="18"/>
          <w:szCs w:val="18"/>
        </w:rPr>
        <w:t>(Princeton University Press, 2013) at 12.</w:t>
      </w:r>
    </w:p>
  </w:endnote>
  <w:endnote w:id="22">
    <w:p w14:paraId="72C56E80" w14:textId="35F2B832" w:rsidR="00961840" w:rsidRPr="00740FD0" w:rsidRDefault="00961840">
      <w:pPr>
        <w:pStyle w:val="EndnoteText"/>
        <w:rPr>
          <w:sz w:val="18"/>
          <w:szCs w:val="18"/>
        </w:rPr>
      </w:pPr>
      <w:r w:rsidRPr="00740FD0">
        <w:rPr>
          <w:rStyle w:val="EndnoteReference"/>
          <w:sz w:val="18"/>
          <w:szCs w:val="18"/>
        </w:rPr>
        <w:endnoteRef/>
      </w:r>
      <w:r w:rsidRPr="00740FD0">
        <w:rPr>
          <w:sz w:val="18"/>
          <w:szCs w:val="18"/>
        </w:rPr>
        <w:t xml:space="preserve"> </w:t>
      </w:r>
      <w:r w:rsidR="00992727" w:rsidRPr="00740FD0">
        <w:rPr>
          <w:sz w:val="18"/>
          <w:szCs w:val="18"/>
        </w:rPr>
        <w:t xml:space="preserve">Organization for Economic Cooperation and Development, </w:t>
      </w:r>
      <w:r w:rsidR="00992727" w:rsidRPr="00740FD0">
        <w:rPr>
          <w:i/>
          <w:iCs/>
          <w:sz w:val="18"/>
          <w:szCs w:val="18"/>
        </w:rPr>
        <w:t xml:space="preserve">Dark Commercial Patterns </w:t>
      </w:r>
      <w:r w:rsidR="00992727" w:rsidRPr="00740FD0">
        <w:rPr>
          <w:sz w:val="18"/>
          <w:szCs w:val="18"/>
        </w:rPr>
        <w:t>(October 2022)</w:t>
      </w:r>
      <w:r w:rsidRPr="00740FD0">
        <w:rPr>
          <w:sz w:val="18"/>
          <w:szCs w:val="18"/>
        </w:rPr>
        <w:t xml:space="preserve">, at </w:t>
      </w:r>
      <w:r w:rsidR="00437547" w:rsidRPr="00740FD0">
        <w:rPr>
          <w:sz w:val="18"/>
          <w:szCs w:val="18"/>
        </w:rPr>
        <w:t>7</w:t>
      </w:r>
      <w:r w:rsidR="00992727" w:rsidRPr="00740FD0">
        <w:rPr>
          <w:sz w:val="18"/>
          <w:szCs w:val="18"/>
        </w:rPr>
        <w:t xml:space="preserve">, online: </w:t>
      </w:r>
      <w:hyperlink r:id="rId24" w:history="1">
        <w:r w:rsidR="00992727" w:rsidRPr="00740FD0">
          <w:rPr>
            <w:rStyle w:val="Hyperlink"/>
            <w:sz w:val="18"/>
            <w:szCs w:val="18"/>
          </w:rPr>
          <w:t>https://www.oecd.org/digital/dark-commercial-patterns-44f5e846-en.htm</w:t>
        </w:r>
      </w:hyperlink>
      <w:r w:rsidR="006C04CE" w:rsidRPr="00740FD0">
        <w:rPr>
          <w:sz w:val="18"/>
          <w:szCs w:val="18"/>
        </w:rPr>
        <w:t xml:space="preserve"> (OECD Dark Patterns)</w:t>
      </w:r>
      <w:r w:rsidR="00992727" w:rsidRPr="00740FD0">
        <w:rPr>
          <w:sz w:val="18"/>
          <w:szCs w:val="18"/>
        </w:rPr>
        <w:t xml:space="preserve">. </w:t>
      </w:r>
      <w:r w:rsidR="006C04CE" w:rsidRPr="00740FD0">
        <w:rPr>
          <w:sz w:val="18"/>
          <w:szCs w:val="18"/>
        </w:rPr>
        <w:t xml:space="preserve">The term “dark pattern” was originally coined by Harry </w:t>
      </w:r>
      <w:r w:rsidR="006C04CE" w:rsidRPr="00740FD0">
        <w:rPr>
          <w:sz w:val="18"/>
          <w:szCs w:val="18"/>
        </w:rPr>
        <w:t xml:space="preserve">Brignull, who maintains an active database of scholarship and reports on the practice. See the Deceptive Patterns website, online: </w:t>
      </w:r>
      <w:hyperlink r:id="rId25" w:history="1">
        <w:r w:rsidR="006C04CE" w:rsidRPr="00740FD0">
          <w:rPr>
            <w:rStyle w:val="Hyperlink"/>
            <w:sz w:val="18"/>
            <w:szCs w:val="18"/>
          </w:rPr>
          <w:t>https://www.deceptive.design/reading-list</w:t>
        </w:r>
      </w:hyperlink>
      <w:r w:rsidR="006C04CE" w:rsidRPr="00740FD0">
        <w:rPr>
          <w:sz w:val="18"/>
          <w:szCs w:val="18"/>
        </w:rPr>
        <w:t xml:space="preserve">. </w:t>
      </w:r>
    </w:p>
  </w:endnote>
  <w:endnote w:id="23">
    <w:p w14:paraId="6C1673BB" w14:textId="254A1D49" w:rsidR="00356D54" w:rsidRPr="00740FD0" w:rsidRDefault="00356D54" w:rsidP="00356D54">
      <w:pPr>
        <w:pStyle w:val="EndnoteText"/>
        <w:rPr>
          <w:sz w:val="18"/>
          <w:szCs w:val="18"/>
        </w:rPr>
      </w:pPr>
      <w:r w:rsidRPr="00740FD0">
        <w:rPr>
          <w:rStyle w:val="EndnoteReference"/>
          <w:sz w:val="18"/>
          <w:szCs w:val="18"/>
        </w:rPr>
        <w:endnoteRef/>
      </w:r>
      <w:r w:rsidRPr="00740FD0">
        <w:rPr>
          <w:sz w:val="18"/>
          <w:szCs w:val="18"/>
        </w:rPr>
        <w:t xml:space="preserve"> </w:t>
      </w:r>
      <w:r w:rsidR="0087561F" w:rsidRPr="00740FD0">
        <w:rPr>
          <w:sz w:val="18"/>
          <w:szCs w:val="18"/>
        </w:rPr>
        <w:t xml:space="preserve">The OECD indexes a taxonomy of 24 distinct forms of “dark pattern” design techniques. See </w:t>
      </w:r>
      <w:r w:rsidR="0073297A" w:rsidRPr="00740FD0">
        <w:rPr>
          <w:sz w:val="18"/>
          <w:szCs w:val="18"/>
        </w:rPr>
        <w:t xml:space="preserve">Organization for Economic Cooperation and Development, </w:t>
      </w:r>
      <w:r w:rsidR="0073297A" w:rsidRPr="00740FD0">
        <w:rPr>
          <w:i/>
          <w:iCs/>
          <w:sz w:val="18"/>
          <w:szCs w:val="18"/>
        </w:rPr>
        <w:t xml:space="preserve">Dark Commercial Patterns </w:t>
      </w:r>
      <w:r w:rsidR="0073297A" w:rsidRPr="00740FD0">
        <w:rPr>
          <w:sz w:val="18"/>
          <w:szCs w:val="18"/>
        </w:rPr>
        <w:t xml:space="preserve">(October 2022), at 53, online: </w:t>
      </w:r>
      <w:hyperlink r:id="rId26" w:history="1">
        <w:r w:rsidR="0073297A" w:rsidRPr="00740FD0">
          <w:rPr>
            <w:rStyle w:val="Hyperlink"/>
            <w:sz w:val="18"/>
            <w:szCs w:val="18"/>
          </w:rPr>
          <w:t>https://www.oecd.org/digital/dark-commercial-patterns-44f5e846-en.htm</w:t>
        </w:r>
      </w:hyperlink>
      <w:r w:rsidRPr="00740FD0">
        <w:rPr>
          <w:sz w:val="18"/>
          <w:szCs w:val="18"/>
        </w:rPr>
        <w:t>.</w:t>
      </w:r>
    </w:p>
  </w:endnote>
  <w:endnote w:id="24">
    <w:p w14:paraId="07364821" w14:textId="10CDDFF0" w:rsidR="002D133E" w:rsidRPr="00740FD0" w:rsidRDefault="002D133E">
      <w:pPr>
        <w:pStyle w:val="EndnoteText"/>
        <w:rPr>
          <w:sz w:val="18"/>
          <w:szCs w:val="18"/>
        </w:rPr>
      </w:pPr>
      <w:r w:rsidRPr="00740FD0">
        <w:rPr>
          <w:rStyle w:val="EndnoteReference"/>
          <w:sz w:val="18"/>
          <w:szCs w:val="18"/>
        </w:rPr>
        <w:endnoteRef/>
      </w:r>
      <w:r w:rsidRPr="00740FD0">
        <w:rPr>
          <w:sz w:val="18"/>
          <w:szCs w:val="18"/>
        </w:rPr>
        <w:t xml:space="preserve"> </w:t>
      </w:r>
      <w:r w:rsidR="0073297A" w:rsidRPr="00740FD0">
        <w:rPr>
          <w:sz w:val="18"/>
          <w:szCs w:val="18"/>
        </w:rPr>
        <w:t xml:space="preserve">Organization for Economic Cooperation and Development, </w:t>
      </w:r>
      <w:r w:rsidR="0073297A" w:rsidRPr="00740FD0">
        <w:rPr>
          <w:i/>
          <w:iCs/>
          <w:sz w:val="18"/>
          <w:szCs w:val="18"/>
        </w:rPr>
        <w:t xml:space="preserve">Dark Commercial Patterns </w:t>
      </w:r>
      <w:r w:rsidR="0073297A" w:rsidRPr="00740FD0">
        <w:rPr>
          <w:sz w:val="18"/>
          <w:szCs w:val="18"/>
        </w:rPr>
        <w:t xml:space="preserve">(October 2022), at 8, online: </w:t>
      </w:r>
      <w:hyperlink r:id="rId27" w:history="1">
        <w:r w:rsidR="0073297A" w:rsidRPr="00740FD0">
          <w:rPr>
            <w:rStyle w:val="Hyperlink"/>
            <w:sz w:val="18"/>
            <w:szCs w:val="18"/>
          </w:rPr>
          <w:t>https://www.oecd.org/digital/dark-commercial-patterns-44f5e846-en.htm</w:t>
        </w:r>
      </w:hyperlink>
      <w:r w:rsidRPr="00740FD0">
        <w:rPr>
          <w:sz w:val="18"/>
          <w:szCs w:val="18"/>
        </w:rPr>
        <w:t>.</w:t>
      </w:r>
    </w:p>
  </w:endnote>
  <w:endnote w:id="25">
    <w:p w14:paraId="1FA8E103" w14:textId="317E6305" w:rsidR="00581698" w:rsidRPr="00740FD0" w:rsidRDefault="00581698" w:rsidP="00581698">
      <w:pPr>
        <w:pStyle w:val="EndnoteText"/>
        <w:rPr>
          <w:sz w:val="18"/>
          <w:szCs w:val="18"/>
        </w:rPr>
      </w:pPr>
      <w:r w:rsidRPr="00740FD0">
        <w:rPr>
          <w:rStyle w:val="EndnoteReference"/>
          <w:sz w:val="18"/>
          <w:szCs w:val="18"/>
        </w:rPr>
        <w:endnoteRef/>
      </w:r>
      <w:r w:rsidRPr="00740FD0">
        <w:rPr>
          <w:sz w:val="18"/>
          <w:szCs w:val="18"/>
        </w:rPr>
        <w:t xml:space="preserve"> </w:t>
      </w:r>
      <w:r w:rsidR="0073297A" w:rsidRPr="00740FD0">
        <w:rPr>
          <w:sz w:val="18"/>
          <w:szCs w:val="18"/>
        </w:rPr>
        <w:t>Organization for Economic Cooperation and Development</w:t>
      </w:r>
      <w:r w:rsidRPr="00740FD0">
        <w:rPr>
          <w:sz w:val="18"/>
          <w:szCs w:val="18"/>
        </w:rPr>
        <w:t xml:space="preserve">, “Consumers in the Digital and Global Marketplace” (2021), online: </w:t>
      </w:r>
      <w:hyperlink r:id="rId28" w:history="1">
        <w:r w:rsidRPr="00740FD0">
          <w:rPr>
            <w:rStyle w:val="Hyperlink"/>
            <w:sz w:val="18"/>
            <w:szCs w:val="18"/>
          </w:rPr>
          <w:t>https://www.oecd.org/digital/consumer/infographic-consumers-digital-global-marketplace.pdf</w:t>
        </w:r>
      </w:hyperlink>
      <w:r w:rsidRPr="00740FD0">
        <w:rPr>
          <w:sz w:val="18"/>
          <w:szCs w:val="18"/>
        </w:rPr>
        <w:t xml:space="preserve">. </w:t>
      </w:r>
    </w:p>
  </w:endnote>
  <w:endnote w:id="26">
    <w:p w14:paraId="2CCCE5F7" w14:textId="5775FD80" w:rsidR="00581698" w:rsidRPr="00740FD0" w:rsidRDefault="00581698" w:rsidP="00581698">
      <w:pPr>
        <w:pStyle w:val="EndnoteText"/>
        <w:rPr>
          <w:sz w:val="18"/>
          <w:szCs w:val="18"/>
        </w:rPr>
      </w:pPr>
      <w:r w:rsidRPr="00740FD0">
        <w:rPr>
          <w:rStyle w:val="EndnoteReference"/>
          <w:sz w:val="18"/>
          <w:szCs w:val="18"/>
        </w:rPr>
        <w:endnoteRef/>
      </w:r>
      <w:r w:rsidRPr="00740FD0">
        <w:rPr>
          <w:sz w:val="18"/>
          <w:szCs w:val="18"/>
        </w:rPr>
        <w:t xml:space="preserve"> </w:t>
      </w:r>
      <w:r w:rsidR="00CD444B" w:rsidRPr="00740FD0">
        <w:rPr>
          <w:sz w:val="18"/>
          <w:szCs w:val="18"/>
        </w:rPr>
        <w:t xml:space="preserve">Organization for Economic Cooperation and Development, </w:t>
      </w:r>
      <w:r w:rsidR="00CD444B" w:rsidRPr="00740FD0">
        <w:rPr>
          <w:i/>
          <w:iCs/>
          <w:sz w:val="18"/>
          <w:szCs w:val="18"/>
        </w:rPr>
        <w:t xml:space="preserve">Dark Commercial Patterns </w:t>
      </w:r>
      <w:r w:rsidR="00CD444B" w:rsidRPr="00740FD0">
        <w:rPr>
          <w:sz w:val="18"/>
          <w:szCs w:val="18"/>
        </w:rPr>
        <w:t xml:space="preserve">(October 2022), at 17-18, online: </w:t>
      </w:r>
      <w:hyperlink r:id="rId29" w:history="1">
        <w:r w:rsidR="00CD444B" w:rsidRPr="00740FD0">
          <w:rPr>
            <w:rStyle w:val="Hyperlink"/>
            <w:sz w:val="18"/>
            <w:szCs w:val="18"/>
          </w:rPr>
          <w:t>https://www.oecd.org/digital/dark-commercial-patterns-44f5e846-en.htm</w:t>
        </w:r>
      </w:hyperlink>
      <w:r w:rsidR="00CD444B" w:rsidRPr="00740FD0">
        <w:rPr>
          <w:sz w:val="18"/>
          <w:szCs w:val="18"/>
        </w:rPr>
        <w:t>.</w:t>
      </w:r>
    </w:p>
  </w:endnote>
  <w:endnote w:id="27">
    <w:p w14:paraId="4B9EFF35" w14:textId="02C6C7A7" w:rsidR="00581698" w:rsidRPr="00740FD0" w:rsidRDefault="00581698" w:rsidP="00581698">
      <w:pPr>
        <w:pStyle w:val="EndnoteText"/>
        <w:rPr>
          <w:sz w:val="18"/>
          <w:szCs w:val="18"/>
        </w:rPr>
      </w:pPr>
      <w:r w:rsidRPr="00740FD0">
        <w:rPr>
          <w:rStyle w:val="EndnoteReference"/>
          <w:sz w:val="18"/>
          <w:szCs w:val="18"/>
        </w:rPr>
        <w:endnoteRef/>
      </w:r>
      <w:r w:rsidRPr="00740FD0">
        <w:rPr>
          <w:sz w:val="18"/>
          <w:szCs w:val="18"/>
        </w:rPr>
        <w:t xml:space="preserve"> </w:t>
      </w:r>
      <w:r w:rsidR="00CD444B" w:rsidRPr="00740FD0">
        <w:rPr>
          <w:sz w:val="18"/>
          <w:szCs w:val="18"/>
        </w:rPr>
        <w:t xml:space="preserve">Organization for Economic Cooperation and Development, </w:t>
      </w:r>
      <w:r w:rsidR="00CD444B" w:rsidRPr="00740FD0">
        <w:rPr>
          <w:i/>
          <w:iCs/>
          <w:sz w:val="18"/>
          <w:szCs w:val="18"/>
        </w:rPr>
        <w:t xml:space="preserve">Dark Commercial Patterns </w:t>
      </w:r>
      <w:r w:rsidR="00CD444B" w:rsidRPr="00740FD0">
        <w:rPr>
          <w:sz w:val="18"/>
          <w:szCs w:val="18"/>
        </w:rPr>
        <w:t xml:space="preserve">(October 2022), at 13, online: </w:t>
      </w:r>
      <w:hyperlink r:id="rId30" w:history="1">
        <w:r w:rsidR="00CD444B" w:rsidRPr="00740FD0">
          <w:rPr>
            <w:rStyle w:val="Hyperlink"/>
            <w:sz w:val="18"/>
            <w:szCs w:val="18"/>
          </w:rPr>
          <w:t>https://www.oecd.org/digital/dark-commercial-patterns-44f5e846-en.htm</w:t>
        </w:r>
      </w:hyperlink>
      <w:r w:rsidR="00CD444B" w:rsidRPr="00740FD0">
        <w:rPr>
          <w:sz w:val="18"/>
          <w:szCs w:val="18"/>
        </w:rPr>
        <w:t>.</w:t>
      </w:r>
    </w:p>
  </w:endnote>
  <w:endnote w:id="28">
    <w:p w14:paraId="018977CF" w14:textId="2068C589" w:rsidR="00FB5218" w:rsidRPr="00740FD0" w:rsidRDefault="00FB5218">
      <w:pPr>
        <w:pStyle w:val="EndnoteText"/>
        <w:rPr>
          <w:sz w:val="18"/>
          <w:szCs w:val="18"/>
        </w:rPr>
      </w:pPr>
      <w:r w:rsidRPr="00740FD0">
        <w:rPr>
          <w:rStyle w:val="EndnoteReference"/>
          <w:sz w:val="18"/>
          <w:szCs w:val="18"/>
        </w:rPr>
        <w:endnoteRef/>
      </w:r>
      <w:r w:rsidRPr="00740FD0">
        <w:rPr>
          <w:sz w:val="18"/>
          <w:szCs w:val="18"/>
        </w:rPr>
        <w:t xml:space="preserve"> </w:t>
      </w:r>
      <w:bookmarkStart w:id="20" w:name="_Hlk138065062"/>
      <w:r w:rsidRPr="00740FD0">
        <w:rPr>
          <w:sz w:val="18"/>
          <w:szCs w:val="18"/>
        </w:rPr>
        <w:t xml:space="preserve">US Federal Trade Commission, “FTC Report Shows Rise in Sophisticated Dark Patterns Designed to Trick and Trap Consumers” (September 15, 2022), online: </w:t>
      </w:r>
      <w:hyperlink r:id="rId31" w:history="1">
        <w:r w:rsidRPr="00740FD0">
          <w:rPr>
            <w:rStyle w:val="Hyperlink"/>
            <w:sz w:val="18"/>
            <w:szCs w:val="18"/>
          </w:rPr>
          <w:t>https://www.ftc.gov/news-events/news/press-releases/2022/09/ftc-report-shows-rise-sophisticated-dark-patterns-designed-trick-trap-consumers</w:t>
        </w:r>
      </w:hyperlink>
      <w:r w:rsidRPr="00740FD0">
        <w:rPr>
          <w:sz w:val="18"/>
          <w:szCs w:val="18"/>
        </w:rPr>
        <w:t xml:space="preserve">, citing </w:t>
      </w:r>
      <w:r w:rsidR="006C183D" w:rsidRPr="00740FD0">
        <w:rPr>
          <w:i/>
          <w:iCs/>
          <w:sz w:val="18"/>
          <w:szCs w:val="18"/>
        </w:rPr>
        <w:t>B</w:t>
      </w:r>
      <w:r w:rsidRPr="00740FD0">
        <w:rPr>
          <w:i/>
          <w:iCs/>
          <w:sz w:val="18"/>
          <w:szCs w:val="18"/>
        </w:rPr>
        <w:t xml:space="preserve">ringing Dark Patterns To Light: Staff Report </w:t>
      </w:r>
      <w:r w:rsidRPr="00740FD0">
        <w:rPr>
          <w:sz w:val="18"/>
          <w:szCs w:val="18"/>
        </w:rPr>
        <w:t xml:space="preserve">(September 2022), online: </w:t>
      </w:r>
      <w:hyperlink r:id="rId32" w:history="1">
        <w:r w:rsidRPr="00740FD0">
          <w:rPr>
            <w:rStyle w:val="Hyperlink"/>
            <w:sz w:val="18"/>
            <w:szCs w:val="18"/>
          </w:rPr>
          <w:t>https://www.ftc.gov/system/files/ftc_gov/pdf/P214800%20Dark%20Patterns%20Report%209.14.2022%20-%20FINAL.pdf</w:t>
        </w:r>
      </w:hyperlink>
      <w:r w:rsidRPr="00740FD0">
        <w:rPr>
          <w:sz w:val="18"/>
          <w:szCs w:val="18"/>
        </w:rPr>
        <w:t xml:space="preserve">. </w:t>
      </w:r>
      <w:bookmarkEnd w:id="20"/>
    </w:p>
  </w:endnote>
  <w:endnote w:id="29">
    <w:p w14:paraId="3D5C04B6" w14:textId="77777777" w:rsidR="002E1735" w:rsidRPr="00740FD0" w:rsidRDefault="002E1735" w:rsidP="002E1735">
      <w:pPr>
        <w:pStyle w:val="EndnoteText"/>
        <w:rPr>
          <w:sz w:val="18"/>
          <w:szCs w:val="18"/>
        </w:rPr>
      </w:pPr>
      <w:r w:rsidRPr="00740FD0">
        <w:rPr>
          <w:rStyle w:val="EndnoteReference"/>
          <w:sz w:val="18"/>
          <w:szCs w:val="18"/>
        </w:rPr>
        <w:endnoteRef/>
      </w:r>
      <w:r w:rsidRPr="00740FD0">
        <w:rPr>
          <w:sz w:val="18"/>
          <w:szCs w:val="18"/>
        </w:rPr>
        <w:t xml:space="preserve"> </w:t>
      </w:r>
      <w:bookmarkStart w:id="22" w:name="_Hlk138065049"/>
      <w:r w:rsidRPr="00740FD0">
        <w:rPr>
          <w:sz w:val="18"/>
          <w:szCs w:val="18"/>
        </w:rPr>
        <w:t xml:space="preserve">See for instance: US Federal Trade Commission, “FTC Finalizes Order Requiring Fortnite maker Epic Games to Pay $245 Million for Tricking Users into Making Unwanted Charges” (March 14, 2023), online: </w:t>
      </w:r>
      <w:hyperlink r:id="rId33" w:history="1">
        <w:r w:rsidRPr="00740FD0">
          <w:rPr>
            <w:rStyle w:val="Hyperlink"/>
            <w:sz w:val="18"/>
            <w:szCs w:val="18"/>
          </w:rPr>
          <w:t>https://www.ftc.gov/news-events/news/press-releases/2023/03/ftc-finalizes-order-requiring-fortnite-maker-epic-games-pay-245-million-tricking-users-making</w:t>
        </w:r>
      </w:hyperlink>
      <w:r w:rsidRPr="00740FD0">
        <w:rPr>
          <w:sz w:val="18"/>
          <w:szCs w:val="18"/>
        </w:rPr>
        <w:t>.</w:t>
      </w:r>
      <w:bookmarkEnd w:id="22"/>
      <w:r w:rsidRPr="00740FD0">
        <w:rPr>
          <w:sz w:val="18"/>
          <w:szCs w:val="18"/>
        </w:rPr>
        <w:t xml:space="preserve"> </w:t>
      </w:r>
    </w:p>
  </w:endnote>
  <w:endnote w:id="30">
    <w:p w14:paraId="58543737" w14:textId="77777777" w:rsidR="002E1735" w:rsidRPr="00740FD0" w:rsidRDefault="002E1735" w:rsidP="002E1735">
      <w:pPr>
        <w:pStyle w:val="EndnoteText"/>
        <w:rPr>
          <w:sz w:val="18"/>
          <w:szCs w:val="18"/>
        </w:rPr>
      </w:pPr>
      <w:r w:rsidRPr="00740FD0">
        <w:rPr>
          <w:rStyle w:val="EndnoteReference"/>
          <w:sz w:val="18"/>
          <w:szCs w:val="18"/>
        </w:rPr>
        <w:endnoteRef/>
      </w:r>
      <w:r w:rsidRPr="00740FD0">
        <w:rPr>
          <w:sz w:val="18"/>
          <w:szCs w:val="18"/>
        </w:rPr>
        <w:t xml:space="preserve"> See for instance: US Federal Trade Commission, “FTC Finalizes Order Requiring Fortnite maker Epic Games to Pay $245 Million for Tricking Users into Making Unwanted Charges” (March 14, 2023), online: </w:t>
      </w:r>
      <w:hyperlink r:id="rId34" w:history="1">
        <w:r w:rsidRPr="00740FD0">
          <w:rPr>
            <w:rStyle w:val="Hyperlink"/>
            <w:sz w:val="18"/>
            <w:szCs w:val="18"/>
          </w:rPr>
          <w:t>https://www.ftc.gov/news-events/news/press-releases/2023/03/ftc-finalizes-order-requiring-fortnite-maker-epic-games-pay-245-million-tricking-users-making</w:t>
        </w:r>
      </w:hyperlink>
      <w:r w:rsidRPr="00740FD0">
        <w:rPr>
          <w:sz w:val="18"/>
          <w:szCs w:val="18"/>
        </w:rPr>
        <w:t xml:space="preserve">. </w:t>
      </w:r>
    </w:p>
  </w:endnote>
  <w:endnote w:id="31">
    <w:p w14:paraId="595FF2DF" w14:textId="77777777" w:rsidR="002E1735" w:rsidRPr="00740FD0" w:rsidRDefault="002E1735" w:rsidP="002E1735">
      <w:pPr>
        <w:pStyle w:val="EndnoteText"/>
        <w:rPr>
          <w:sz w:val="18"/>
          <w:szCs w:val="18"/>
        </w:rPr>
      </w:pPr>
      <w:r w:rsidRPr="00740FD0">
        <w:rPr>
          <w:rStyle w:val="EndnoteReference"/>
          <w:sz w:val="18"/>
          <w:szCs w:val="18"/>
        </w:rPr>
        <w:endnoteRef/>
      </w:r>
      <w:r w:rsidRPr="00740FD0">
        <w:rPr>
          <w:sz w:val="18"/>
          <w:szCs w:val="18"/>
        </w:rPr>
        <w:t xml:space="preserve"> See for instance: US Federal Trade Commission, “FTC Finalizes Order Requiring Fortnite maker Epic Games to Pay $245 Million for Tricking Users into Making Unwanted Charges” (March 14, 2023), online: </w:t>
      </w:r>
      <w:hyperlink r:id="rId35" w:history="1">
        <w:r w:rsidRPr="00740FD0">
          <w:rPr>
            <w:rStyle w:val="Hyperlink"/>
            <w:sz w:val="18"/>
            <w:szCs w:val="18"/>
          </w:rPr>
          <w:t>https://www.ftc.gov/news-events/news/press-releases/2023/03/ftc-finalizes-order-requiring-fortnite-maker-epic-games-pay-245-million-tricking-users-making</w:t>
        </w:r>
      </w:hyperlink>
      <w:r w:rsidRPr="00740FD0">
        <w:rPr>
          <w:sz w:val="18"/>
          <w:szCs w:val="18"/>
        </w:rPr>
        <w:t xml:space="preserve">. </w:t>
      </w:r>
    </w:p>
  </w:endnote>
  <w:endnote w:id="32">
    <w:p w14:paraId="39931E3B" w14:textId="18FD6F72" w:rsidR="00873F4E" w:rsidRPr="00740FD0" w:rsidRDefault="00873F4E" w:rsidP="00873F4E">
      <w:pPr>
        <w:pStyle w:val="EndnoteText"/>
        <w:rPr>
          <w:sz w:val="18"/>
          <w:szCs w:val="18"/>
        </w:rPr>
      </w:pPr>
      <w:r w:rsidRPr="00740FD0">
        <w:rPr>
          <w:rStyle w:val="EndnoteReference"/>
          <w:sz w:val="18"/>
          <w:szCs w:val="18"/>
        </w:rPr>
        <w:endnoteRef/>
      </w:r>
      <w:r w:rsidRPr="00740FD0">
        <w:rPr>
          <w:sz w:val="18"/>
          <w:szCs w:val="18"/>
        </w:rPr>
        <w:t xml:space="preserve"> See for example CPA s. 13, 14</w:t>
      </w:r>
      <w:r w:rsidR="00CD444B" w:rsidRPr="00740FD0">
        <w:rPr>
          <w:sz w:val="18"/>
          <w:szCs w:val="18"/>
        </w:rPr>
        <w:t>.</w:t>
      </w:r>
    </w:p>
  </w:endnote>
  <w:endnote w:id="33">
    <w:p w14:paraId="6D993EF3" w14:textId="54A77113" w:rsidR="00D30498" w:rsidRPr="00740FD0" w:rsidRDefault="00D30498">
      <w:pPr>
        <w:pStyle w:val="EndnoteText"/>
        <w:rPr>
          <w:sz w:val="18"/>
          <w:szCs w:val="18"/>
        </w:rPr>
      </w:pPr>
      <w:r w:rsidRPr="00740FD0">
        <w:rPr>
          <w:rStyle w:val="EndnoteReference"/>
          <w:sz w:val="18"/>
          <w:szCs w:val="18"/>
        </w:rPr>
        <w:endnoteRef/>
      </w:r>
      <w:r w:rsidRPr="00740FD0">
        <w:rPr>
          <w:sz w:val="18"/>
          <w:szCs w:val="18"/>
        </w:rPr>
        <w:t xml:space="preserve"> </w:t>
      </w:r>
      <w:r w:rsidR="0089018A" w:rsidRPr="00740FD0">
        <w:rPr>
          <w:sz w:val="18"/>
          <w:szCs w:val="18"/>
        </w:rPr>
        <w:t xml:space="preserve">Ministry of Government and Consumer Services, </w:t>
      </w:r>
      <w:r w:rsidR="0089018A" w:rsidRPr="00740FD0">
        <w:rPr>
          <w:i/>
          <w:iCs/>
          <w:sz w:val="18"/>
          <w:szCs w:val="18"/>
        </w:rPr>
        <w:t xml:space="preserve">Improving Ontario’s Consumer Protection Act: Strengthening Consumer Protection in Ontario </w:t>
      </w:r>
      <w:r w:rsidR="0089018A" w:rsidRPr="00740FD0">
        <w:rPr>
          <w:sz w:val="18"/>
          <w:szCs w:val="18"/>
        </w:rPr>
        <w:t xml:space="preserve">(December 2020), at 12, online: </w:t>
      </w:r>
      <w:hyperlink r:id="rId36" w:history="1">
        <w:r w:rsidR="0089018A" w:rsidRPr="00740FD0">
          <w:rPr>
            <w:rStyle w:val="Hyperlink"/>
            <w:sz w:val="18"/>
            <w:szCs w:val="18"/>
          </w:rPr>
          <w:t>https://www.ontariocanada.com/registry/view.do?language=en&amp;postingId=35387</w:t>
        </w:r>
      </w:hyperlink>
      <w:r w:rsidR="0089018A" w:rsidRPr="00740FD0">
        <w:rPr>
          <w:sz w:val="18"/>
          <w:szCs w:val="18"/>
        </w:rPr>
        <w:t xml:space="preserve">; and Ontario, </w:t>
      </w:r>
      <w:r w:rsidR="0089018A" w:rsidRPr="00740FD0">
        <w:rPr>
          <w:i/>
          <w:iCs/>
          <w:sz w:val="18"/>
          <w:szCs w:val="18"/>
        </w:rPr>
        <w:t xml:space="preserve">Modernizing Consumer Protection in Ontario Strengthening the Consumer Protection Act </w:t>
      </w:r>
      <w:r w:rsidR="0089018A" w:rsidRPr="00740FD0">
        <w:rPr>
          <w:sz w:val="18"/>
          <w:szCs w:val="18"/>
        </w:rPr>
        <w:t xml:space="preserve">(Ministry of Public and Business Service Delivery, February 2023), at 3, online: </w:t>
      </w:r>
      <w:hyperlink r:id="rId37" w:history="1">
        <w:r w:rsidR="0089018A" w:rsidRPr="00740FD0">
          <w:rPr>
            <w:rStyle w:val="Hyperlink"/>
            <w:sz w:val="18"/>
            <w:szCs w:val="18"/>
          </w:rPr>
          <w:t>https://www.ontariocanada.com/registry/view.do?postingId=43452&amp;language=en</w:t>
        </w:r>
      </w:hyperlink>
      <w:r w:rsidR="0089018A" w:rsidRPr="00740FD0">
        <w:rPr>
          <w:rStyle w:val="Hyperlink"/>
          <w:sz w:val="18"/>
          <w:szCs w:val="18"/>
        </w:rPr>
        <w:t xml:space="preserve">. </w:t>
      </w:r>
    </w:p>
  </w:endnote>
  <w:endnote w:id="34">
    <w:p w14:paraId="07011016" w14:textId="5C660DFF" w:rsidR="001B3286" w:rsidRPr="00740FD0" w:rsidRDefault="001B3286" w:rsidP="001B3286">
      <w:pPr>
        <w:pStyle w:val="EndnoteText"/>
        <w:rPr>
          <w:sz w:val="18"/>
          <w:szCs w:val="18"/>
        </w:rPr>
      </w:pPr>
      <w:r w:rsidRPr="00740FD0">
        <w:rPr>
          <w:rStyle w:val="EndnoteReference"/>
          <w:sz w:val="18"/>
          <w:szCs w:val="18"/>
        </w:rPr>
        <w:endnoteRef/>
      </w:r>
      <w:r w:rsidRPr="00740FD0">
        <w:rPr>
          <w:sz w:val="18"/>
          <w:szCs w:val="18"/>
        </w:rPr>
        <w:t xml:space="preserve"> </w:t>
      </w:r>
      <w:r w:rsidR="002D73DC" w:rsidRPr="00740FD0">
        <w:rPr>
          <w:sz w:val="18"/>
          <w:szCs w:val="18"/>
        </w:rPr>
        <w:t xml:space="preserve">Ministry of Government and Consumer Services, </w:t>
      </w:r>
      <w:r w:rsidR="002D73DC" w:rsidRPr="00740FD0">
        <w:rPr>
          <w:i/>
          <w:iCs/>
          <w:sz w:val="18"/>
          <w:szCs w:val="18"/>
        </w:rPr>
        <w:t xml:space="preserve">Improving Ontario’s Consumer Protection Act: Strengthening Consumer Protection in Ontario </w:t>
      </w:r>
      <w:r w:rsidR="002D73DC" w:rsidRPr="00740FD0">
        <w:rPr>
          <w:sz w:val="18"/>
          <w:szCs w:val="18"/>
        </w:rPr>
        <w:t xml:space="preserve">(December 2020), at 2, online: </w:t>
      </w:r>
      <w:hyperlink r:id="rId38" w:history="1">
        <w:r w:rsidR="002D73DC" w:rsidRPr="00740FD0">
          <w:rPr>
            <w:rStyle w:val="Hyperlink"/>
            <w:sz w:val="18"/>
            <w:szCs w:val="18"/>
          </w:rPr>
          <w:t>https://www.ontariocanada.com/registry/view.do?language=en&amp;postingId=35387</w:t>
        </w:r>
      </w:hyperlink>
      <w:r w:rsidR="00396D12" w:rsidRPr="00740FD0">
        <w:rPr>
          <w:sz w:val="18"/>
          <w:szCs w:val="18"/>
        </w:rPr>
        <w:t>.</w:t>
      </w:r>
    </w:p>
  </w:endnote>
  <w:endnote w:id="35">
    <w:p w14:paraId="76A7019C" w14:textId="5664C21F" w:rsidR="00DA1BFC" w:rsidRPr="00740FD0" w:rsidRDefault="00DA1BFC" w:rsidP="00DA1BFC">
      <w:pPr>
        <w:pStyle w:val="EndnoteText"/>
        <w:rPr>
          <w:sz w:val="18"/>
          <w:szCs w:val="18"/>
        </w:rPr>
      </w:pPr>
      <w:r w:rsidRPr="00740FD0">
        <w:rPr>
          <w:rStyle w:val="EndnoteReference"/>
          <w:sz w:val="18"/>
          <w:szCs w:val="18"/>
        </w:rPr>
        <w:endnoteRef/>
      </w:r>
      <w:r w:rsidRPr="00740FD0">
        <w:rPr>
          <w:sz w:val="18"/>
          <w:szCs w:val="18"/>
        </w:rPr>
        <w:t xml:space="preserve"> Business surveys demonstrate “risk to regulatory compliance” as a leading concern among digital platforms. See</w:t>
      </w:r>
      <w:r w:rsidR="0089018A" w:rsidRPr="00740FD0">
        <w:rPr>
          <w:sz w:val="18"/>
          <w:szCs w:val="18"/>
        </w:rPr>
        <w:t xml:space="preserve"> Bain &amp; Company, “Top 5 Business Challenges: </w:t>
      </w:r>
      <w:r w:rsidR="003E0816" w:rsidRPr="00740FD0">
        <w:rPr>
          <w:sz w:val="18"/>
          <w:szCs w:val="18"/>
        </w:rPr>
        <w:t>For the First Time Regulatory Compliance Becomes a Top 5 Concern for US Companies”</w:t>
      </w:r>
      <w:r w:rsidR="000E18B0" w:rsidRPr="00740FD0">
        <w:rPr>
          <w:sz w:val="18"/>
          <w:szCs w:val="18"/>
        </w:rPr>
        <w:t xml:space="preserve"> (February 2018), </w:t>
      </w:r>
      <w:r w:rsidR="003E0816" w:rsidRPr="00740FD0">
        <w:rPr>
          <w:sz w:val="18"/>
          <w:szCs w:val="18"/>
        </w:rPr>
        <w:t>online:</w:t>
      </w:r>
      <w:r w:rsidRPr="00740FD0">
        <w:rPr>
          <w:sz w:val="18"/>
          <w:szCs w:val="18"/>
        </w:rPr>
        <w:t xml:space="preserve"> </w:t>
      </w:r>
      <w:hyperlink r:id="rId39" w:history="1">
        <w:r w:rsidRPr="00740FD0">
          <w:rPr>
            <w:rStyle w:val="Hyperlink"/>
            <w:sz w:val="18"/>
            <w:szCs w:val="18"/>
          </w:rPr>
          <w:t>https://twitter.com/bainalerts/status/961214714939363328</w:t>
        </w:r>
      </w:hyperlink>
      <w:r w:rsidRPr="00740FD0">
        <w:rPr>
          <w:sz w:val="18"/>
          <w:szCs w:val="18"/>
        </w:rPr>
        <w:t xml:space="preserve">. In the Canadian context see </w:t>
      </w:r>
      <w:r w:rsidR="003E0816" w:rsidRPr="00740FD0">
        <w:rPr>
          <w:sz w:val="18"/>
          <w:szCs w:val="18"/>
        </w:rPr>
        <w:t>Toronto Star, “This is how Canada should deal with Big Tech” (</w:t>
      </w:r>
      <w:r w:rsidR="000E18B0" w:rsidRPr="00740FD0">
        <w:rPr>
          <w:sz w:val="18"/>
          <w:szCs w:val="18"/>
        </w:rPr>
        <w:t>October 13, 2020</w:t>
      </w:r>
      <w:r w:rsidR="003E0816" w:rsidRPr="00740FD0">
        <w:rPr>
          <w:sz w:val="18"/>
          <w:szCs w:val="18"/>
        </w:rPr>
        <w:t xml:space="preserve">), online: </w:t>
      </w:r>
    </w:p>
    <w:p w14:paraId="7FF5A67E" w14:textId="4BF65F93" w:rsidR="00DA1BFC" w:rsidRPr="00740FD0" w:rsidRDefault="00000000" w:rsidP="00DA1BFC">
      <w:pPr>
        <w:pStyle w:val="EndnoteText"/>
        <w:rPr>
          <w:sz w:val="18"/>
          <w:szCs w:val="18"/>
        </w:rPr>
      </w:pPr>
      <w:hyperlink r:id="rId40" w:history="1">
        <w:r w:rsidR="00DA1BFC" w:rsidRPr="00740FD0">
          <w:rPr>
            <w:rStyle w:val="Hyperlink"/>
            <w:sz w:val="18"/>
            <w:szCs w:val="18"/>
          </w:rPr>
          <w:t>https://www.thestar.com/opinion/contributors/2020/10/13/this-is-how-canada-should-deal-with-big-tech.html</w:t>
        </w:r>
      </w:hyperlink>
      <w:r w:rsidR="003E0816" w:rsidRPr="00740FD0">
        <w:rPr>
          <w:sz w:val="18"/>
          <w:szCs w:val="18"/>
        </w:rPr>
        <w:t>.</w:t>
      </w:r>
    </w:p>
  </w:endnote>
  <w:endnote w:id="36">
    <w:p w14:paraId="109B6052" w14:textId="1F20D5FE" w:rsidR="002B5C7D" w:rsidRPr="00740FD0" w:rsidRDefault="002B5C7D">
      <w:pPr>
        <w:pStyle w:val="EndnoteText"/>
        <w:rPr>
          <w:sz w:val="18"/>
          <w:szCs w:val="18"/>
        </w:rPr>
      </w:pPr>
      <w:r w:rsidRPr="00740FD0">
        <w:rPr>
          <w:rStyle w:val="EndnoteReference"/>
          <w:sz w:val="18"/>
          <w:szCs w:val="18"/>
        </w:rPr>
        <w:endnoteRef/>
      </w:r>
      <w:r w:rsidRPr="00740FD0">
        <w:rPr>
          <w:sz w:val="18"/>
          <w:szCs w:val="18"/>
        </w:rPr>
        <w:t xml:space="preserve"> </w:t>
      </w:r>
      <w:r w:rsidR="000E18B0" w:rsidRPr="00740FD0">
        <w:rPr>
          <w:sz w:val="18"/>
          <w:szCs w:val="18"/>
        </w:rPr>
        <w:t xml:space="preserve">Organization for Economic Cooperation and Development, </w:t>
      </w:r>
      <w:r w:rsidR="000E18B0" w:rsidRPr="00740FD0">
        <w:rPr>
          <w:i/>
          <w:iCs/>
          <w:sz w:val="18"/>
          <w:szCs w:val="18"/>
        </w:rPr>
        <w:t xml:space="preserve">Dark Commercial Patterns </w:t>
      </w:r>
      <w:r w:rsidR="000E18B0" w:rsidRPr="00740FD0">
        <w:rPr>
          <w:sz w:val="18"/>
          <w:szCs w:val="18"/>
        </w:rPr>
        <w:t xml:space="preserve">(October 2022), at 13, online: </w:t>
      </w:r>
      <w:hyperlink r:id="rId41" w:history="1">
        <w:r w:rsidR="000E18B0" w:rsidRPr="00740FD0">
          <w:rPr>
            <w:rStyle w:val="Hyperlink"/>
            <w:sz w:val="18"/>
            <w:szCs w:val="18"/>
          </w:rPr>
          <w:t>https://www.oecd.org/digital/dark-commercial-patterns-44f5e846-en.htm</w:t>
        </w:r>
      </w:hyperlink>
      <w:r w:rsidR="000E18B0" w:rsidRPr="00740FD0">
        <w:rPr>
          <w:sz w:val="18"/>
          <w:szCs w:val="18"/>
        </w:rPr>
        <w:t>.</w:t>
      </w:r>
    </w:p>
  </w:endnote>
  <w:endnote w:id="37">
    <w:p w14:paraId="72626D5B" w14:textId="4FAF4E35" w:rsidR="00CA4394" w:rsidRPr="00740FD0" w:rsidRDefault="00CA4394" w:rsidP="00CA4394">
      <w:pPr>
        <w:pStyle w:val="EndnoteText"/>
        <w:rPr>
          <w:sz w:val="18"/>
          <w:szCs w:val="18"/>
        </w:rPr>
      </w:pPr>
      <w:r w:rsidRPr="00740FD0">
        <w:rPr>
          <w:rStyle w:val="EndnoteReference"/>
          <w:sz w:val="18"/>
          <w:szCs w:val="18"/>
        </w:rPr>
        <w:endnoteRef/>
      </w:r>
      <w:r w:rsidRPr="00740FD0">
        <w:rPr>
          <w:sz w:val="18"/>
          <w:szCs w:val="18"/>
        </w:rPr>
        <w:t xml:space="preserve"> Lina M. Khan, “Amazon’s Antitrust Paradox” (126:3) The Yale Law Journal (2017), online: </w:t>
      </w:r>
      <w:hyperlink r:id="rId42" w:history="1">
        <w:r w:rsidRPr="00740FD0">
          <w:rPr>
            <w:rStyle w:val="Hyperlink"/>
            <w:sz w:val="18"/>
            <w:szCs w:val="18"/>
          </w:rPr>
          <w:t>https://www.yalelawjournal.org/note/amazons-antitrust-paradox</w:t>
        </w:r>
      </w:hyperlink>
      <w:r w:rsidRPr="00740FD0">
        <w:rPr>
          <w:sz w:val="18"/>
          <w:szCs w:val="18"/>
        </w:rPr>
        <w:t>. Scholars, labor leaders, and businesspeople are musing on the problem of concentration in everything from</w:t>
      </w:r>
      <w:r w:rsidR="00954D29" w:rsidRPr="00740FD0">
        <w:rPr>
          <w:sz w:val="18"/>
          <w:szCs w:val="18"/>
        </w:rPr>
        <w:t xml:space="preserve"> shipping to meatpacking to oil and gas. See Matt </w:t>
      </w:r>
      <w:r w:rsidR="00954D29" w:rsidRPr="00740FD0">
        <w:rPr>
          <w:sz w:val="18"/>
          <w:szCs w:val="18"/>
        </w:rPr>
        <w:t xml:space="preserve">Stoler, “Economists to Cattle Ranchers: Stop Being So Emotional About the Monopolies Devouring Your Family Businesses” (October 2021), online: </w:t>
      </w:r>
      <w:hyperlink r:id="rId43" w:history="1">
        <w:r w:rsidR="00954D29" w:rsidRPr="00740FD0">
          <w:rPr>
            <w:rStyle w:val="Hyperlink"/>
            <w:sz w:val="18"/>
            <w:szCs w:val="18"/>
          </w:rPr>
          <w:t>https://mattstoller.substack.com/p/economists-to-cattle-ranchers-stop</w:t>
        </w:r>
      </w:hyperlink>
      <w:r w:rsidR="00954D29" w:rsidRPr="00740FD0">
        <w:rPr>
          <w:sz w:val="18"/>
          <w:szCs w:val="18"/>
        </w:rPr>
        <w:t xml:space="preserve">. </w:t>
      </w:r>
    </w:p>
  </w:endnote>
  <w:endnote w:id="38">
    <w:p w14:paraId="26C59532" w14:textId="0DB50346" w:rsidR="000249DE" w:rsidRPr="00740FD0" w:rsidRDefault="000249DE" w:rsidP="0043755A">
      <w:pPr>
        <w:pStyle w:val="EndnoteText"/>
        <w:rPr>
          <w:sz w:val="18"/>
          <w:szCs w:val="18"/>
        </w:rPr>
      </w:pPr>
      <w:r w:rsidRPr="00740FD0">
        <w:rPr>
          <w:rStyle w:val="EndnoteReference"/>
          <w:sz w:val="18"/>
          <w:szCs w:val="18"/>
        </w:rPr>
        <w:endnoteRef/>
      </w:r>
      <w:r w:rsidRPr="00740FD0">
        <w:rPr>
          <w:sz w:val="18"/>
          <w:szCs w:val="18"/>
        </w:rPr>
        <w:t xml:space="preserve"> </w:t>
      </w:r>
      <w:r w:rsidR="0043755A" w:rsidRPr="00740FD0">
        <w:rPr>
          <w:sz w:val="18"/>
          <w:szCs w:val="18"/>
        </w:rPr>
        <w:t>Ministry of Public and Business Service Delivery, “Consultation on Modernizing Consumer Protection in Ontario: Strengthening the Consumer Protection Act” Session 2 Business Leaders (</w:t>
      </w:r>
      <w:r w:rsidRPr="00740FD0">
        <w:rPr>
          <w:sz w:val="18"/>
          <w:szCs w:val="18"/>
        </w:rPr>
        <w:t>March 8</w:t>
      </w:r>
      <w:r w:rsidR="0043755A" w:rsidRPr="00740FD0">
        <w:rPr>
          <w:sz w:val="18"/>
          <w:szCs w:val="18"/>
        </w:rPr>
        <w:t xml:space="preserve">, 2023), </w:t>
      </w:r>
      <w:r w:rsidRPr="00740FD0">
        <w:rPr>
          <w:sz w:val="18"/>
          <w:szCs w:val="18"/>
        </w:rPr>
        <w:t>notes on file with the LCO.</w:t>
      </w:r>
    </w:p>
  </w:endnote>
  <w:endnote w:id="39">
    <w:p w14:paraId="7260D190" w14:textId="3CC38F0F" w:rsidR="00E23335" w:rsidRPr="00740FD0" w:rsidRDefault="00E23335">
      <w:pPr>
        <w:pStyle w:val="EndnoteText"/>
        <w:rPr>
          <w:sz w:val="18"/>
          <w:szCs w:val="18"/>
        </w:rPr>
      </w:pPr>
      <w:r w:rsidRPr="00740FD0">
        <w:rPr>
          <w:rStyle w:val="EndnoteReference"/>
          <w:sz w:val="18"/>
          <w:szCs w:val="18"/>
        </w:rPr>
        <w:endnoteRef/>
      </w:r>
      <w:r w:rsidRPr="00740FD0">
        <w:rPr>
          <w:sz w:val="18"/>
          <w:szCs w:val="18"/>
        </w:rPr>
        <w:t xml:space="preserve"> </w:t>
      </w:r>
      <w:r w:rsidR="00817984" w:rsidRPr="00740FD0">
        <w:rPr>
          <w:sz w:val="18"/>
          <w:szCs w:val="18"/>
        </w:rPr>
        <w:t xml:space="preserve">See Kean Birch and ‘Damola </w:t>
      </w:r>
      <w:r w:rsidR="00817984" w:rsidRPr="00740FD0">
        <w:rPr>
          <w:sz w:val="18"/>
          <w:szCs w:val="18"/>
        </w:rPr>
        <w:t xml:space="preserve">Adediji, </w:t>
      </w:r>
      <w:r w:rsidR="00817984" w:rsidRPr="00740FD0">
        <w:rPr>
          <w:i/>
          <w:iCs/>
          <w:sz w:val="18"/>
          <w:szCs w:val="18"/>
        </w:rPr>
        <w:t xml:space="preserve">Rethinking Canada’s Competition Policy in the Digital Economy </w:t>
      </w:r>
      <w:r w:rsidR="00817984" w:rsidRPr="00740FD0">
        <w:rPr>
          <w:sz w:val="18"/>
          <w:szCs w:val="18"/>
        </w:rPr>
        <w:t xml:space="preserve">(Institute for Technoscience &amp; Society, York University, Policy Report #01-2023), online: </w:t>
      </w:r>
      <w:hyperlink r:id="rId44" w:history="1">
        <w:r w:rsidR="00817984" w:rsidRPr="00740FD0">
          <w:rPr>
            <w:rStyle w:val="Hyperlink"/>
            <w:sz w:val="18"/>
            <w:szCs w:val="18"/>
          </w:rPr>
          <w:t>https://www.yorku.ca/research/its/wp-content/uploads/sites/728/2023/02/ITS-Policy-Report-01-2023-Rethinking-Competition-d2-2.pdf</w:t>
        </w:r>
      </w:hyperlink>
      <w:r w:rsidR="00817984" w:rsidRPr="00740FD0">
        <w:rPr>
          <w:sz w:val="18"/>
          <w:szCs w:val="18"/>
        </w:rPr>
        <w:t xml:space="preserve">. </w:t>
      </w:r>
    </w:p>
  </w:endnote>
  <w:endnote w:id="40">
    <w:p w14:paraId="6B66022C" w14:textId="7C9D6664" w:rsidR="00C038EE" w:rsidRPr="00740FD0" w:rsidRDefault="00C038EE" w:rsidP="00C038EE">
      <w:pPr>
        <w:pStyle w:val="EndnoteText"/>
        <w:rPr>
          <w:sz w:val="18"/>
          <w:szCs w:val="18"/>
        </w:rPr>
      </w:pPr>
      <w:r w:rsidRPr="00740FD0">
        <w:rPr>
          <w:rStyle w:val="EndnoteReference"/>
          <w:sz w:val="18"/>
          <w:szCs w:val="18"/>
        </w:rPr>
        <w:endnoteRef/>
      </w:r>
      <w:r w:rsidRPr="00740FD0">
        <w:rPr>
          <w:sz w:val="18"/>
          <w:szCs w:val="18"/>
        </w:rPr>
        <w:t xml:space="preserve"> </w:t>
      </w:r>
      <w:r w:rsidR="00413234" w:rsidRPr="00740FD0">
        <w:rPr>
          <w:sz w:val="18"/>
          <w:szCs w:val="18"/>
        </w:rPr>
        <w:t xml:space="preserve">A range of consumer protection approaches is reflected in, for example, United Nations Conference on Trade and Development, </w:t>
      </w:r>
      <w:r w:rsidR="00413234" w:rsidRPr="00740FD0">
        <w:rPr>
          <w:i/>
          <w:iCs/>
          <w:sz w:val="18"/>
          <w:szCs w:val="18"/>
        </w:rPr>
        <w:t xml:space="preserve">United Nations Guidelines for Consumer Protection </w:t>
      </w:r>
      <w:r w:rsidR="00413234" w:rsidRPr="00740FD0">
        <w:rPr>
          <w:sz w:val="18"/>
          <w:szCs w:val="18"/>
        </w:rPr>
        <w:t xml:space="preserve">(UNCTAD/DITC/CPLP/MISC/2016/1, 2016), online: </w:t>
      </w:r>
      <w:hyperlink r:id="rId45" w:history="1">
        <w:r w:rsidR="00413234" w:rsidRPr="00740FD0">
          <w:rPr>
            <w:rStyle w:val="Hyperlink"/>
            <w:sz w:val="18"/>
            <w:szCs w:val="18"/>
          </w:rPr>
          <w:t>https://unctad.org/system/files/official-document/ditccplpmisc2016d1_en.pdf</w:t>
        </w:r>
      </w:hyperlink>
      <w:r w:rsidR="00413234" w:rsidRPr="00740FD0">
        <w:rPr>
          <w:sz w:val="18"/>
          <w:szCs w:val="18"/>
        </w:rPr>
        <w:t>.</w:t>
      </w:r>
    </w:p>
  </w:endnote>
  <w:endnote w:id="41">
    <w:p w14:paraId="4073B48A" w14:textId="650277B3" w:rsidR="00F81524" w:rsidRPr="00740FD0" w:rsidRDefault="00F81524" w:rsidP="00536E7C">
      <w:pPr>
        <w:pStyle w:val="EndnoteText"/>
        <w:rPr>
          <w:sz w:val="18"/>
          <w:szCs w:val="18"/>
        </w:rPr>
      </w:pPr>
      <w:r w:rsidRPr="00740FD0">
        <w:rPr>
          <w:rStyle w:val="EndnoteReference"/>
          <w:sz w:val="18"/>
          <w:szCs w:val="18"/>
        </w:rPr>
        <w:endnoteRef/>
      </w:r>
      <w:r w:rsidRPr="00740FD0">
        <w:rPr>
          <w:sz w:val="18"/>
          <w:szCs w:val="18"/>
        </w:rPr>
        <w:t xml:space="preserve"> See Marina Pavlovic, “Consumer First, Digital Citizenry Second: Through the Gateway of Standard-Form Contracts” in Elizabeth Dubois and Florian Martin-Bariteau (eds.), </w:t>
      </w:r>
      <w:r w:rsidRPr="00740FD0">
        <w:rPr>
          <w:i/>
          <w:iCs/>
          <w:sz w:val="18"/>
          <w:szCs w:val="18"/>
        </w:rPr>
        <w:t xml:space="preserve">Citizenship in a Connected Canada: A Research and Policy Agenda </w:t>
      </w:r>
      <w:r w:rsidRPr="00740FD0">
        <w:rPr>
          <w:sz w:val="18"/>
          <w:szCs w:val="18"/>
        </w:rPr>
        <w:t>(University of Ottawa Press, 2020) at 16</w:t>
      </w:r>
      <w:r w:rsidR="0043755A" w:rsidRPr="00740FD0">
        <w:rPr>
          <w:sz w:val="18"/>
          <w:szCs w:val="18"/>
        </w:rPr>
        <w:t>0</w:t>
      </w:r>
      <w:r w:rsidRPr="00740FD0">
        <w:rPr>
          <w:sz w:val="18"/>
          <w:szCs w:val="18"/>
        </w:rPr>
        <w:t>-16</w:t>
      </w:r>
      <w:r w:rsidR="0043755A" w:rsidRPr="00740FD0">
        <w:rPr>
          <w:sz w:val="18"/>
          <w:szCs w:val="18"/>
        </w:rPr>
        <w:t>3</w:t>
      </w:r>
      <w:r w:rsidRPr="00740FD0">
        <w:rPr>
          <w:sz w:val="18"/>
          <w:szCs w:val="18"/>
        </w:rPr>
        <w:t>.</w:t>
      </w:r>
    </w:p>
  </w:endnote>
  <w:endnote w:id="42">
    <w:p w14:paraId="31E1ED19" w14:textId="77FD5598" w:rsidR="00F81524" w:rsidRPr="00740FD0" w:rsidRDefault="00F81524" w:rsidP="00536E7C">
      <w:pPr>
        <w:pStyle w:val="EndnoteText"/>
        <w:rPr>
          <w:sz w:val="18"/>
          <w:szCs w:val="18"/>
        </w:rPr>
      </w:pPr>
      <w:r w:rsidRPr="00740FD0">
        <w:rPr>
          <w:rStyle w:val="EndnoteReference"/>
          <w:sz w:val="18"/>
          <w:szCs w:val="18"/>
        </w:rPr>
        <w:endnoteRef/>
      </w:r>
      <w:r w:rsidRPr="00740FD0">
        <w:rPr>
          <w:sz w:val="18"/>
          <w:szCs w:val="18"/>
        </w:rPr>
        <w:t xml:space="preserve"> </w:t>
      </w:r>
      <w:r w:rsidRPr="00740FD0">
        <w:rPr>
          <w:i/>
          <w:iCs/>
          <w:sz w:val="18"/>
          <w:szCs w:val="18"/>
        </w:rPr>
        <w:t>ProCD, Inc. v. Zeidenberg</w:t>
      </w:r>
      <w:r w:rsidRPr="00740FD0">
        <w:rPr>
          <w:sz w:val="18"/>
          <w:szCs w:val="18"/>
        </w:rPr>
        <w:t xml:space="preserve"> (86 F.3d 1447 (7th Cir., 1996)); </w:t>
      </w:r>
      <w:r w:rsidRPr="00740FD0">
        <w:rPr>
          <w:i/>
          <w:iCs/>
          <w:sz w:val="18"/>
          <w:szCs w:val="18"/>
        </w:rPr>
        <w:t>Rudder v. Microsoft Corp.</w:t>
      </w:r>
      <w:r w:rsidRPr="00740FD0">
        <w:rPr>
          <w:sz w:val="18"/>
          <w:szCs w:val="18"/>
        </w:rPr>
        <w:t xml:space="preserve"> ([1999] OJ No 3778 (Sup Ct J)).</w:t>
      </w:r>
    </w:p>
  </w:endnote>
  <w:endnote w:id="43">
    <w:p w14:paraId="43801F70" w14:textId="2AB70AC9" w:rsidR="00F81524" w:rsidRPr="00740FD0" w:rsidRDefault="00F81524" w:rsidP="00493D6F">
      <w:pPr>
        <w:pStyle w:val="EndnoteText"/>
        <w:rPr>
          <w:sz w:val="18"/>
          <w:szCs w:val="18"/>
        </w:rPr>
      </w:pPr>
      <w:r w:rsidRPr="00740FD0">
        <w:rPr>
          <w:rStyle w:val="EndnoteReference"/>
          <w:sz w:val="18"/>
          <w:szCs w:val="18"/>
        </w:rPr>
        <w:endnoteRef/>
      </w:r>
      <w:r w:rsidRPr="00740FD0">
        <w:rPr>
          <w:sz w:val="18"/>
          <w:szCs w:val="18"/>
        </w:rPr>
        <w:t xml:space="preserve"> Innovation, Science and Economic Development Canada, </w:t>
      </w:r>
      <w:r w:rsidRPr="00740FD0">
        <w:rPr>
          <w:i/>
          <w:iCs/>
          <w:sz w:val="18"/>
          <w:szCs w:val="18"/>
        </w:rPr>
        <w:t xml:space="preserve">A Consultation on a Modern Copyright Framework for Artificial </w:t>
      </w:r>
      <w:r w:rsidRPr="00740FD0">
        <w:rPr>
          <w:i/>
          <w:iCs/>
          <w:sz w:val="18"/>
          <w:szCs w:val="18"/>
        </w:rPr>
        <w:t>Intelligence and the Internet of Things</w:t>
      </w:r>
      <w:r w:rsidRPr="00740FD0">
        <w:rPr>
          <w:sz w:val="18"/>
          <w:szCs w:val="18"/>
        </w:rPr>
        <w:t xml:space="preserve"> (2021), at 24. The report states that: “As with repair, the Government recognizes that many issues outside copyright law are impacting interoperability in the digital economy. For example, terms of use on software-enabled products may prohibit consumers from making some uses of their products, including installing or developing interoperable add-on products. As noted above for repair, this consultation aims to find solutions to only the copyright issues.” This debate is playing out in real-time between farmers in the United States and John Deere tractors. See: “Deere Right-to-Repair Lawsuits Grow” (Progressive Farmer (March 3, 2022)) online: </w:t>
      </w:r>
      <w:hyperlink r:id="rId46" w:history="1">
        <w:r w:rsidRPr="00740FD0">
          <w:rPr>
            <w:rStyle w:val="Hyperlink"/>
            <w:sz w:val="18"/>
            <w:szCs w:val="18"/>
          </w:rPr>
          <w:t>https://www.dtnpf.com/agriculture/web/ag/equipment/article/2022/03/02/john-deere-faces-growing-list-right</w:t>
        </w:r>
      </w:hyperlink>
      <w:r w:rsidRPr="00740FD0">
        <w:rPr>
          <w:sz w:val="18"/>
          <w:szCs w:val="18"/>
        </w:rPr>
        <w:t xml:space="preserve">. A group representing 200,000 farmers has also filed a complaint with the Federal Trade Commission, see: “Iowa, U.S. farm groups file a federal right-to-repair complaint against Deere to fix their own tractors (Des Moines Register (March 3, 2022)), online: </w:t>
      </w:r>
      <w:hyperlink r:id="rId47" w:history="1">
        <w:r w:rsidRPr="00740FD0">
          <w:rPr>
            <w:rStyle w:val="Hyperlink"/>
            <w:sz w:val="18"/>
            <w:szCs w:val="18"/>
          </w:rPr>
          <w:t>https://www.desmoinesregister.com/story/money/agriculture/2022/03/03/iowa-u-s-farmers-seek-probe-over-right-repair-deere-tractors-combines-farm-equipment-agriculture/9356985002/</w:t>
        </w:r>
      </w:hyperlink>
      <w:r w:rsidRPr="00740FD0">
        <w:rPr>
          <w:sz w:val="18"/>
          <w:szCs w:val="18"/>
        </w:rPr>
        <w:t xml:space="preserve">. </w:t>
      </w:r>
    </w:p>
  </w:endnote>
  <w:endnote w:id="44">
    <w:p w14:paraId="0D3B16EF" w14:textId="50ECE8E0"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w:t>
      </w:r>
      <w:r w:rsidRPr="00740FD0">
        <w:rPr>
          <w:sz w:val="18"/>
          <w:szCs w:val="18"/>
        </w:rPr>
        <w:t xml:space="preserve">ArsTechnica, “Apple sued for terminating account with $25,000 worth of apps and videos” (April 23, 2021), online: </w:t>
      </w:r>
      <w:hyperlink r:id="rId48" w:history="1">
        <w:r w:rsidRPr="00740FD0">
          <w:rPr>
            <w:rStyle w:val="Hyperlink"/>
            <w:sz w:val="18"/>
            <w:szCs w:val="18"/>
          </w:rPr>
          <w:t>https://arstechnica.com/tech-policy/2021/04/apple-faces-class-action-lawsuit-over-its-definition-of-the-word-buy/</w:t>
        </w:r>
      </w:hyperlink>
      <w:r w:rsidRPr="00740FD0">
        <w:rPr>
          <w:sz w:val="18"/>
          <w:szCs w:val="18"/>
        </w:rPr>
        <w:t xml:space="preserve">. </w:t>
      </w:r>
    </w:p>
  </w:endnote>
  <w:endnote w:id="45">
    <w:p w14:paraId="79C9334B" w14:textId="2142B3F4"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Mashable, “Guy leaves bad comment about his smart garage door opener, gets his device disabled” (April 5, 2017), online: </w:t>
      </w:r>
      <w:hyperlink r:id="rId49" w:history="1">
        <w:r w:rsidRPr="00740FD0">
          <w:rPr>
            <w:rStyle w:val="Hyperlink"/>
            <w:sz w:val="18"/>
            <w:szCs w:val="18"/>
          </w:rPr>
          <w:t>https://mashable.com/article/garadget-bad-review-bricked</w:t>
        </w:r>
      </w:hyperlink>
      <w:r w:rsidRPr="00740FD0">
        <w:rPr>
          <w:sz w:val="18"/>
          <w:szCs w:val="18"/>
        </w:rPr>
        <w:t xml:space="preserve">. </w:t>
      </w:r>
    </w:p>
  </w:endnote>
  <w:endnote w:id="46">
    <w:p w14:paraId="329A6FC6" w14:textId="20BF1F06"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See the discussion later in this paper </w:t>
      </w:r>
      <w:r w:rsidR="0084359C" w:rsidRPr="00740FD0">
        <w:rPr>
          <w:sz w:val="18"/>
          <w:szCs w:val="18"/>
        </w:rPr>
        <w:t>in the sidebar at</w:t>
      </w:r>
      <w:r w:rsidRPr="00740FD0">
        <w:rPr>
          <w:sz w:val="18"/>
          <w:szCs w:val="18"/>
        </w:rPr>
        <w:t xml:space="preserve"> section 7.</w:t>
      </w:r>
      <w:r w:rsidR="00CD4C0E" w:rsidRPr="00740FD0">
        <w:rPr>
          <w:sz w:val="18"/>
          <w:szCs w:val="18"/>
        </w:rPr>
        <w:t>5</w:t>
      </w:r>
      <w:r w:rsidRPr="00740FD0">
        <w:rPr>
          <w:sz w:val="18"/>
          <w:szCs w:val="18"/>
        </w:rPr>
        <w:t xml:space="preserve">, “Content Creator Rights” with examples where automated and other content moderation can trigger wrongful bans, suspending content and destroying </w:t>
      </w:r>
      <w:r w:rsidR="0084359C" w:rsidRPr="00740FD0">
        <w:rPr>
          <w:sz w:val="18"/>
          <w:szCs w:val="18"/>
        </w:rPr>
        <w:t xml:space="preserve">years of work to establish a viable </w:t>
      </w:r>
      <w:r w:rsidRPr="00740FD0">
        <w:rPr>
          <w:sz w:val="18"/>
          <w:szCs w:val="18"/>
        </w:rPr>
        <w:t xml:space="preserve">streaming business. In another example, a leading independent video game developer, Re-Logic, was suddenly and inexplicably locked-out of its corporate accounts, with no resolution or information from Google. See PC Gamer, “Terraria creator cancels Stadia port after being locked out of Google account” (February 8, 2021), online: </w:t>
      </w:r>
      <w:hyperlink r:id="rId50" w:history="1">
        <w:r w:rsidRPr="00740FD0">
          <w:rPr>
            <w:rStyle w:val="Hyperlink"/>
            <w:sz w:val="18"/>
            <w:szCs w:val="18"/>
          </w:rPr>
          <w:t>https://www.pcgamer.com/terraria-creator-cancels-stadia-port-after-being-locked-out-of-google-account/</w:t>
        </w:r>
      </w:hyperlink>
      <w:r w:rsidRPr="00740FD0">
        <w:rPr>
          <w:sz w:val="18"/>
          <w:szCs w:val="18"/>
        </w:rPr>
        <w:t>. Terraria is one of the best-selling PC games in history with over 44 million copies sold.</w:t>
      </w:r>
    </w:p>
  </w:endnote>
  <w:endnote w:id="47">
    <w:p w14:paraId="41F76D58" w14:textId="0071E1FB"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Fox Business, “Canadian Tesla owner says he’s locked out after battery died, replacement costs $26K” (September 15, 2022), online: </w:t>
      </w:r>
      <w:hyperlink r:id="rId51" w:history="1">
        <w:r w:rsidRPr="00740FD0">
          <w:rPr>
            <w:rStyle w:val="Hyperlink"/>
            <w:sz w:val="18"/>
            <w:szCs w:val="18"/>
          </w:rPr>
          <w:t>https://www.foxbusiness.com/technology/canadian-man-says-tesla-locked-out-until-changes-battery</w:t>
        </w:r>
      </w:hyperlink>
      <w:r w:rsidRPr="00740FD0">
        <w:rPr>
          <w:sz w:val="18"/>
          <w:szCs w:val="18"/>
        </w:rPr>
        <w:t>.</w:t>
      </w:r>
    </w:p>
  </w:endnote>
  <w:endnote w:id="48">
    <w:p w14:paraId="72F419FD" w14:textId="6EE86437"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Apple, “Apple Media Services Terms and Conditions”, online: </w:t>
      </w:r>
      <w:hyperlink r:id="rId52" w:history="1">
        <w:r w:rsidRPr="00740FD0">
          <w:rPr>
            <w:rStyle w:val="Hyperlink"/>
            <w:sz w:val="18"/>
            <w:szCs w:val="18"/>
          </w:rPr>
          <w:t>https://www.apple.com/legal/internet-services/itunes/</w:t>
        </w:r>
      </w:hyperlink>
      <w:r w:rsidRPr="00740FD0">
        <w:rPr>
          <w:sz w:val="18"/>
          <w:szCs w:val="18"/>
        </w:rPr>
        <w:t xml:space="preserve"> (accessed December 2, 2022). </w:t>
      </w:r>
    </w:p>
  </w:endnote>
  <w:endnote w:id="49">
    <w:p w14:paraId="56B24401" w14:textId="77777777" w:rsidR="00B02FCC" w:rsidRPr="00740FD0" w:rsidRDefault="00B02FCC" w:rsidP="00B02FCC">
      <w:pPr>
        <w:pStyle w:val="EndnoteText"/>
        <w:rPr>
          <w:sz w:val="18"/>
          <w:szCs w:val="18"/>
        </w:rPr>
      </w:pPr>
      <w:r w:rsidRPr="00740FD0">
        <w:rPr>
          <w:rStyle w:val="EndnoteReference"/>
          <w:sz w:val="18"/>
          <w:szCs w:val="18"/>
        </w:rPr>
        <w:endnoteRef/>
      </w:r>
      <w:r w:rsidRPr="00740FD0">
        <w:rPr>
          <w:sz w:val="18"/>
          <w:szCs w:val="18"/>
        </w:rPr>
        <w:t xml:space="preserve"> For instance, Canada’s federal Privacy Commissioner has commissioned several studies and produced a wide array of materials to educate parents about the consequences of, for instance, posting children’s pictures to social media. See Option </w:t>
      </w:r>
      <w:r w:rsidRPr="00740FD0">
        <w:rPr>
          <w:sz w:val="18"/>
          <w:szCs w:val="18"/>
        </w:rPr>
        <w:t xml:space="preserve">Consommateurs, “Your social media posts about your children are not without risks” (September 2019), online: </w:t>
      </w:r>
      <w:hyperlink r:id="rId53" w:history="1">
        <w:r w:rsidRPr="00740FD0">
          <w:rPr>
            <w:rStyle w:val="Hyperlink"/>
            <w:sz w:val="18"/>
            <w:szCs w:val="18"/>
          </w:rPr>
          <w:t>https://option-consommateurs.org/en/social-media-posts-children-risks/</w:t>
        </w:r>
      </w:hyperlink>
      <w:r w:rsidRPr="00740FD0">
        <w:rPr>
          <w:sz w:val="18"/>
          <w:szCs w:val="18"/>
        </w:rPr>
        <w:t xml:space="preserve">. More such material about data gathering practices related to youth is available through the Privacy Commissioner: </w:t>
      </w:r>
      <w:hyperlink r:id="rId54" w:history="1">
        <w:r w:rsidRPr="00740FD0">
          <w:rPr>
            <w:rStyle w:val="Hyperlink"/>
            <w:sz w:val="18"/>
            <w:szCs w:val="18"/>
          </w:rPr>
          <w:t>https://www.priv.gc.ca/en/opc-actions-and-decisions/research/explore-privacy-research/?q[0]=64&amp;Page=1</w:t>
        </w:r>
      </w:hyperlink>
      <w:r w:rsidRPr="00740FD0">
        <w:rPr>
          <w:sz w:val="18"/>
          <w:szCs w:val="18"/>
        </w:rPr>
        <w:t xml:space="preserve">. </w:t>
      </w:r>
    </w:p>
  </w:endnote>
  <w:endnote w:id="50">
    <w:p w14:paraId="1ED7A9D9" w14:textId="77777777" w:rsidR="00B02FCC" w:rsidRPr="00740FD0" w:rsidRDefault="00B02FCC" w:rsidP="00B02FCC">
      <w:pPr>
        <w:pStyle w:val="EndnoteText"/>
        <w:rPr>
          <w:sz w:val="18"/>
          <w:szCs w:val="18"/>
        </w:rPr>
      </w:pPr>
      <w:r w:rsidRPr="00740FD0">
        <w:rPr>
          <w:rStyle w:val="EndnoteReference"/>
          <w:sz w:val="18"/>
          <w:szCs w:val="18"/>
        </w:rPr>
        <w:endnoteRef/>
      </w:r>
      <w:r w:rsidRPr="00740FD0">
        <w:rPr>
          <w:sz w:val="18"/>
          <w:szCs w:val="18"/>
        </w:rPr>
        <w:t xml:space="preserve"> See for instance “Facebook disputes its own research showing harmful effects of Instagram on teens’ mental health” (September 30, 2021), online: </w:t>
      </w:r>
      <w:hyperlink r:id="rId55" w:history="1">
        <w:r w:rsidRPr="00740FD0">
          <w:rPr>
            <w:rStyle w:val="Hyperlink"/>
            <w:sz w:val="18"/>
            <w:szCs w:val="18"/>
          </w:rPr>
          <w:t>https://www.theguardian.com/technology/2021/sep/29/facebook-hearing-latest-children-impact</w:t>
        </w:r>
      </w:hyperlink>
      <w:r w:rsidRPr="00740FD0">
        <w:rPr>
          <w:sz w:val="18"/>
          <w:szCs w:val="18"/>
        </w:rPr>
        <w:t xml:space="preserve">; and BBC News, “Report blasts manipulative video game loot boxes: Consumer groups in 18 European countries have backed a report calling gaming loot boxes exploitative” (May 31, 2021), online: </w:t>
      </w:r>
      <w:hyperlink r:id="rId56" w:history="1">
        <w:r w:rsidRPr="00740FD0">
          <w:rPr>
            <w:rStyle w:val="Hyperlink"/>
            <w:sz w:val="18"/>
            <w:szCs w:val="18"/>
          </w:rPr>
          <w:t>https://www.bbc.com/news/technology-61594815</w:t>
        </w:r>
      </w:hyperlink>
      <w:r w:rsidRPr="00740FD0">
        <w:rPr>
          <w:sz w:val="18"/>
          <w:szCs w:val="18"/>
        </w:rPr>
        <w:t xml:space="preserve">. The seriousness of these issues has invited Parliamentary and Congressional hearings. See for instance US Senate Subcommittee on Consumer Protection, Product Safety, and Data Security, “Protecting Kids Online: Facebook, Instagram, and Mental Health Harms” (September 30, 2021), online: </w:t>
      </w:r>
      <w:hyperlink r:id="rId57" w:history="1">
        <w:r w:rsidRPr="00740FD0">
          <w:rPr>
            <w:rStyle w:val="Hyperlink"/>
            <w:sz w:val="18"/>
            <w:szCs w:val="18"/>
          </w:rPr>
          <w:t>https://www.commerce.senate.gov/2021/9/protecting-kids-online-facebook-instagram-and-mental-health-harms</w:t>
        </w:r>
      </w:hyperlink>
      <w:r w:rsidRPr="00740FD0">
        <w:rPr>
          <w:sz w:val="18"/>
          <w:szCs w:val="18"/>
        </w:rPr>
        <w:t>.</w:t>
      </w:r>
    </w:p>
  </w:endnote>
  <w:endnote w:id="51">
    <w:p w14:paraId="0D8C7789" w14:textId="7AEF33ED"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See Daniel G. </w:t>
      </w:r>
      <w:r w:rsidRPr="00740FD0">
        <w:rPr>
          <w:sz w:val="18"/>
          <w:szCs w:val="18"/>
        </w:rPr>
        <w:t>Krutka, Ryan M. Smits &amp; Troy A. Willhelm, “Don’t Be Evil: Should We Use Google in Schools?” (65 TechTrends 421 (2021)). The article examines, among other things, “how Google extracts personal data from students, skirts laws intended to protect them, targets them for profits, obfuscates the company's intent in their Terms of Service, recommends harmful information, and distorts students’ knowledge.”</w:t>
      </w:r>
    </w:p>
  </w:endnote>
  <w:endnote w:id="52">
    <w:p w14:paraId="0B889C91" w14:textId="28B50D7F"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See for instance the Office of the Privacy Commissioner of Canada, “Young Canadians speak out: A qualitative research project on privacy and consent” (2020), online: </w:t>
      </w:r>
      <w:hyperlink r:id="rId58" w:history="1">
        <w:r w:rsidRPr="00740FD0">
          <w:rPr>
            <w:rStyle w:val="Hyperlink"/>
            <w:sz w:val="18"/>
            <w:szCs w:val="18"/>
          </w:rPr>
          <w:t>https://www.priv.gc.ca/en/opc-actions-and-decisions/research/funding-for-privacy-research-and-knowledge-translation/completed-contributions-program-projects/2019-2020/p_2019-20_11/</w:t>
        </w:r>
      </w:hyperlink>
      <w:r w:rsidRPr="00740FD0">
        <w:rPr>
          <w:sz w:val="18"/>
          <w:szCs w:val="18"/>
        </w:rPr>
        <w:t xml:space="preserve">. Self-regulatory provisions are described by various voluntary standards in Canada. See for instance Ad Standard Canada, “Self-regulation of Children's Advertising in Canada”, online: </w:t>
      </w:r>
      <w:hyperlink r:id="rId59" w:history="1">
        <w:r w:rsidRPr="00740FD0">
          <w:rPr>
            <w:rStyle w:val="Hyperlink"/>
            <w:sz w:val="18"/>
            <w:szCs w:val="18"/>
          </w:rPr>
          <w:t>https://adstandards.ca/resources/library/self-regulation-of-childrens-advertising/</w:t>
        </w:r>
      </w:hyperlink>
      <w:r w:rsidRPr="00740FD0">
        <w:rPr>
          <w:sz w:val="18"/>
          <w:szCs w:val="18"/>
        </w:rPr>
        <w:t>. Notably, Quebec is unique in Canada for prohibiting commercial advertising to children under the age of 13, across a wide range of materials (websites, broadcast media, signage, promotional items, and print media).</w:t>
      </w:r>
      <w:r w:rsidR="009E0094" w:rsidRPr="00740FD0">
        <w:rPr>
          <w:sz w:val="18"/>
          <w:szCs w:val="18"/>
        </w:rPr>
        <w:t xml:space="preserve"> </w:t>
      </w:r>
    </w:p>
  </w:endnote>
  <w:endnote w:id="53">
    <w:p w14:paraId="2BBE2CA5" w14:textId="65672D5E" w:rsidR="00F81524" w:rsidRPr="00740FD0" w:rsidRDefault="00F81524" w:rsidP="00C326F0">
      <w:pPr>
        <w:pStyle w:val="EndnoteText"/>
        <w:rPr>
          <w:sz w:val="18"/>
          <w:szCs w:val="18"/>
        </w:rPr>
      </w:pPr>
      <w:r w:rsidRPr="00740FD0">
        <w:rPr>
          <w:rStyle w:val="EndnoteReference"/>
          <w:sz w:val="18"/>
          <w:szCs w:val="18"/>
        </w:rPr>
        <w:endnoteRef/>
      </w:r>
      <w:r w:rsidRPr="00740FD0">
        <w:rPr>
          <w:sz w:val="18"/>
          <w:szCs w:val="18"/>
        </w:rPr>
        <w:t xml:space="preserve"> In one notable example of such practices, Twitter coaxed consumers into providing their phone number for the stated purpose of enhancing account security. More than 140 million users did so. In </w:t>
      </w:r>
      <w:r w:rsidRPr="00740FD0">
        <w:rPr>
          <w:sz w:val="18"/>
          <w:szCs w:val="18"/>
        </w:rPr>
        <w:t xml:space="preserve">fact the FCC found that Twitter was misleading consumers and deceptively using the number to sell targeted ads, linking consumers to broader profiles available from data brokers. Twitter was fined in 2011 and again in 2021 for continuing breaches of the FCC settlement agreement prohibiting the practice and other commitments (see: FTC, “FTC Charges Twitter with Deceptively Using Account Security Data to Sell Targeted Ads” (May 25, 2022), online: </w:t>
      </w:r>
      <w:hyperlink r:id="rId60" w:history="1">
        <w:r w:rsidRPr="00740FD0">
          <w:rPr>
            <w:rStyle w:val="Hyperlink"/>
            <w:sz w:val="18"/>
            <w:szCs w:val="18"/>
          </w:rPr>
          <w:t>https://www.ftc.gov/news-events/news/press-releases/2022/05/ftc-charges-twitter-deceptively-using-account-security-data-sell-targeted-ads</w:t>
        </w:r>
      </w:hyperlink>
      <w:r w:rsidRPr="00740FD0">
        <w:rPr>
          <w:sz w:val="18"/>
          <w:szCs w:val="18"/>
        </w:rPr>
        <w:t xml:space="preserve">). Apple is also noted for promoting changes to its advertising tracking technology that may be more promotion than </w:t>
      </w:r>
      <w:r w:rsidR="00436AD4" w:rsidRPr="00740FD0">
        <w:rPr>
          <w:sz w:val="18"/>
          <w:szCs w:val="18"/>
        </w:rPr>
        <w:t>privacy and</w:t>
      </w:r>
      <w:r w:rsidRPr="00740FD0">
        <w:rPr>
          <w:sz w:val="18"/>
          <w:szCs w:val="18"/>
        </w:rPr>
        <w:t xml:space="preserve"> engages in tracking even when users believe they have turned it off. See </w:t>
      </w:r>
      <w:r w:rsidRPr="00740FD0">
        <w:rPr>
          <w:sz w:val="18"/>
          <w:szCs w:val="18"/>
        </w:rPr>
        <w:t xml:space="preserve">ArsTechnica, “Apple's landmark App Tracking Transparency may not be as tough as some people think” (April 18, 2022), online: </w:t>
      </w:r>
      <w:hyperlink r:id="rId61" w:history="1">
        <w:r w:rsidRPr="00740FD0">
          <w:rPr>
            <w:rStyle w:val="Hyperlink"/>
            <w:sz w:val="18"/>
            <w:szCs w:val="18"/>
          </w:rPr>
          <w:t>https://arstechnica.com/information-technology/2022/04/a-year-after-apple-enforces-app-tracking-policy-covert-ios-tracking-remains/</w:t>
        </w:r>
      </w:hyperlink>
      <w:r w:rsidRPr="00740FD0">
        <w:rPr>
          <w:sz w:val="18"/>
          <w:szCs w:val="18"/>
        </w:rPr>
        <w:t xml:space="preserve">. Mere months later Apple is facing legal claims: see Mashable, “Apple sued for tracking users' activity even when turned off in settings” (November 13, 2022), online: </w:t>
      </w:r>
      <w:hyperlink r:id="rId62" w:history="1">
        <w:r w:rsidRPr="00740FD0">
          <w:rPr>
            <w:rStyle w:val="Hyperlink"/>
            <w:sz w:val="18"/>
            <w:szCs w:val="18"/>
          </w:rPr>
          <w:t>https://mashable.com/article/apple-data-privacy-collection-lawsuit</w:t>
        </w:r>
      </w:hyperlink>
      <w:r w:rsidRPr="00740FD0">
        <w:rPr>
          <w:sz w:val="18"/>
          <w:szCs w:val="18"/>
        </w:rPr>
        <w:t xml:space="preserve">. </w:t>
      </w:r>
    </w:p>
  </w:endnote>
  <w:endnote w:id="54">
    <w:p w14:paraId="2542E59A" w14:textId="2C53EEDC" w:rsidR="00F81524" w:rsidRPr="00740FD0" w:rsidRDefault="00F81524" w:rsidP="00493D6F">
      <w:pPr>
        <w:pStyle w:val="EndnoteText"/>
        <w:rPr>
          <w:sz w:val="18"/>
          <w:szCs w:val="18"/>
        </w:rPr>
      </w:pPr>
      <w:r w:rsidRPr="00740FD0">
        <w:rPr>
          <w:rStyle w:val="EndnoteReference"/>
          <w:sz w:val="18"/>
          <w:szCs w:val="18"/>
        </w:rPr>
        <w:endnoteRef/>
      </w:r>
      <w:r w:rsidRPr="00740FD0">
        <w:rPr>
          <w:sz w:val="18"/>
          <w:szCs w:val="18"/>
        </w:rPr>
        <w:t xml:space="preserve"> </w:t>
      </w:r>
      <w:r w:rsidR="00436AD4" w:rsidRPr="00740FD0">
        <w:rPr>
          <w:sz w:val="18"/>
          <w:szCs w:val="18"/>
        </w:rPr>
        <w:t>New York Times</w:t>
      </w:r>
      <w:r w:rsidRPr="00740FD0">
        <w:rPr>
          <w:sz w:val="18"/>
          <w:szCs w:val="18"/>
        </w:rPr>
        <w:t xml:space="preserve">, “App tracking accurate to within a few yards and in some cases updated more than 14,000 times a day” (December 10 2019), online: </w:t>
      </w:r>
      <w:hyperlink r:id="rId63" w:history="1">
        <w:r w:rsidRPr="00740FD0">
          <w:rPr>
            <w:rStyle w:val="Hyperlink"/>
            <w:sz w:val="18"/>
            <w:szCs w:val="18"/>
          </w:rPr>
          <w:t>https://mashable.com/article/apple-data-privacy-collection-lawsuit</w:t>
        </w:r>
      </w:hyperlink>
      <w:r w:rsidRPr="00740FD0">
        <w:rPr>
          <w:sz w:val="18"/>
          <w:szCs w:val="18"/>
        </w:rPr>
        <w:t xml:space="preserve">. </w:t>
      </w:r>
    </w:p>
  </w:endnote>
  <w:endnote w:id="55">
    <w:p w14:paraId="5C902B4B" w14:textId="3A5ECBB8"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Office of the Privacy Commissioner of Canada, </w:t>
      </w:r>
      <w:r w:rsidRPr="00740FD0">
        <w:rPr>
          <w:i/>
          <w:iCs/>
          <w:sz w:val="18"/>
          <w:szCs w:val="18"/>
        </w:rPr>
        <w:t>Joint Investigation into Location Tracking by the Tim Hortons App</w:t>
      </w:r>
      <w:r w:rsidRPr="00740FD0">
        <w:rPr>
          <w:sz w:val="18"/>
          <w:szCs w:val="18"/>
        </w:rPr>
        <w:t xml:space="preserve"> (June 1, 2022), online: </w:t>
      </w:r>
      <w:hyperlink r:id="rId64" w:history="1">
        <w:r w:rsidRPr="00740FD0">
          <w:rPr>
            <w:rStyle w:val="Hyperlink"/>
            <w:sz w:val="18"/>
            <w:szCs w:val="18"/>
          </w:rPr>
          <w:t>https://www.priv.gc.ca/en/opc-actions-and-decisions/investigations/investigations-into-businesses/2022/pipeda-2022-001/</w:t>
        </w:r>
      </w:hyperlink>
      <w:r w:rsidRPr="00740FD0">
        <w:rPr>
          <w:sz w:val="18"/>
          <w:szCs w:val="18"/>
        </w:rPr>
        <w:t xml:space="preserve">. For a sustained treatise on “surveillance capitalism” see Shoshana </w:t>
      </w:r>
      <w:r w:rsidRPr="00740FD0">
        <w:rPr>
          <w:sz w:val="18"/>
          <w:szCs w:val="18"/>
        </w:rPr>
        <w:t xml:space="preserve">Zuboff, </w:t>
      </w:r>
      <w:r w:rsidRPr="00740FD0">
        <w:rPr>
          <w:i/>
          <w:iCs/>
          <w:sz w:val="18"/>
          <w:szCs w:val="18"/>
        </w:rPr>
        <w:t>The Age of Surveillance Capitalism: The Fight for a Human Future at the New Frontier of Power</w:t>
      </w:r>
      <w:r w:rsidRPr="00740FD0">
        <w:rPr>
          <w:sz w:val="18"/>
          <w:szCs w:val="18"/>
        </w:rPr>
        <w:t xml:space="preserve"> (PublicAffairs, 2019).</w:t>
      </w:r>
    </w:p>
  </w:endnote>
  <w:endnote w:id="56">
    <w:p w14:paraId="5F450A45" w14:textId="77777777" w:rsidR="00F81524" w:rsidRPr="00740FD0" w:rsidRDefault="00F81524" w:rsidP="00A83B5D">
      <w:pPr>
        <w:pStyle w:val="EndnoteText"/>
        <w:rPr>
          <w:sz w:val="18"/>
          <w:szCs w:val="18"/>
        </w:rPr>
      </w:pPr>
      <w:r w:rsidRPr="00740FD0">
        <w:rPr>
          <w:rStyle w:val="EndnoteReference"/>
          <w:sz w:val="18"/>
          <w:szCs w:val="18"/>
        </w:rPr>
        <w:endnoteRef/>
      </w:r>
      <w:r w:rsidRPr="00740FD0">
        <w:rPr>
          <w:sz w:val="18"/>
          <w:szCs w:val="18"/>
        </w:rPr>
        <w:t xml:space="preserve"> </w:t>
      </w:r>
      <w:r w:rsidRPr="00740FD0">
        <w:rPr>
          <w:sz w:val="18"/>
          <w:szCs w:val="18"/>
        </w:rPr>
        <w:t xml:space="preserve">ArsTechnica, “Major tax-filing websites secretly share income data with Meta” (November 22, 2022), online: </w:t>
      </w:r>
      <w:hyperlink r:id="rId65" w:history="1">
        <w:r w:rsidRPr="00740FD0">
          <w:rPr>
            <w:rStyle w:val="Hyperlink"/>
            <w:sz w:val="18"/>
            <w:szCs w:val="18"/>
          </w:rPr>
          <w:t>https://arstechnica.com/tech-policy/2022/11/major-tax-filing-websites-secretly-share-income-data-with-meta/</w:t>
        </w:r>
      </w:hyperlink>
      <w:r w:rsidRPr="00740FD0">
        <w:rPr>
          <w:sz w:val="18"/>
          <w:szCs w:val="18"/>
        </w:rPr>
        <w:t xml:space="preserve">. </w:t>
      </w:r>
    </w:p>
  </w:endnote>
  <w:endnote w:id="57">
    <w:p w14:paraId="3C3D4C78" w14:textId="382F2FB8" w:rsidR="00F81524" w:rsidRPr="00740FD0" w:rsidRDefault="00F81524" w:rsidP="00E70EE4">
      <w:pPr>
        <w:pStyle w:val="EndnoteText"/>
        <w:rPr>
          <w:sz w:val="18"/>
          <w:szCs w:val="18"/>
        </w:rPr>
      </w:pPr>
      <w:r w:rsidRPr="00740FD0">
        <w:rPr>
          <w:rStyle w:val="EndnoteReference"/>
          <w:sz w:val="18"/>
          <w:szCs w:val="18"/>
        </w:rPr>
        <w:endnoteRef/>
      </w:r>
      <w:r w:rsidRPr="00740FD0">
        <w:rPr>
          <w:sz w:val="18"/>
          <w:szCs w:val="18"/>
        </w:rPr>
        <w:t xml:space="preserve"> For recent commentary on such practices in the Canadian context, see Teresa </w:t>
      </w:r>
      <w:r w:rsidRPr="00740FD0">
        <w:rPr>
          <w:sz w:val="18"/>
          <w:szCs w:val="18"/>
        </w:rPr>
        <w:t xml:space="preserve">Scassa, “Anonymization and De-identification in Bill C-27” (July 6 2022), online: </w:t>
      </w:r>
      <w:hyperlink r:id="rId66" w:history="1">
        <w:r w:rsidRPr="00740FD0">
          <w:rPr>
            <w:rStyle w:val="Hyperlink"/>
            <w:sz w:val="18"/>
            <w:szCs w:val="18"/>
          </w:rPr>
          <w:t>http://www.teresascassa.ca/index.php?option=com_k2&amp;view=item&amp;id=356:anonymization-and-de-identification-in-bill-c-27&amp;Itemid=80</w:t>
        </w:r>
      </w:hyperlink>
      <w:r w:rsidRPr="00740FD0">
        <w:rPr>
          <w:sz w:val="18"/>
          <w:szCs w:val="18"/>
        </w:rPr>
        <w:t>.</w:t>
      </w:r>
    </w:p>
  </w:endnote>
  <w:endnote w:id="58">
    <w:p w14:paraId="3B051DCF" w14:textId="40BE4931"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See for instance the Ontario Human Rights Commission, “Letter to Facebook on enforcing safeguards to prevent discriminatory housing, employment and credit ad targeting in Canada” (December 7, 2020), online: </w:t>
      </w:r>
      <w:hyperlink r:id="rId67" w:history="1">
        <w:r w:rsidRPr="00740FD0">
          <w:rPr>
            <w:rStyle w:val="Hyperlink"/>
            <w:sz w:val="18"/>
            <w:szCs w:val="18"/>
          </w:rPr>
          <w:t>https://www.ohrc.on.ca/en/news_centre/letter-facebook-enforcing-safeguards-prevent-discriminatory-housing-employment-and-credit-ad</w:t>
        </w:r>
      </w:hyperlink>
      <w:r w:rsidRPr="00740FD0">
        <w:rPr>
          <w:sz w:val="18"/>
          <w:szCs w:val="18"/>
        </w:rPr>
        <w:t>.</w:t>
      </w:r>
    </w:p>
  </w:endnote>
  <w:endnote w:id="59">
    <w:p w14:paraId="126F1D97" w14:textId="11F5B92F" w:rsidR="00F81524" w:rsidRPr="00740FD0" w:rsidRDefault="00F81524" w:rsidP="00493D6F">
      <w:pPr>
        <w:pStyle w:val="EndnoteText"/>
        <w:rPr>
          <w:sz w:val="18"/>
          <w:szCs w:val="18"/>
        </w:rPr>
      </w:pPr>
      <w:r w:rsidRPr="00740FD0">
        <w:rPr>
          <w:rStyle w:val="EndnoteReference"/>
          <w:sz w:val="18"/>
          <w:szCs w:val="18"/>
        </w:rPr>
        <w:endnoteRef/>
      </w:r>
      <w:r w:rsidRPr="00740FD0">
        <w:rPr>
          <w:sz w:val="18"/>
          <w:szCs w:val="18"/>
        </w:rPr>
        <w:t xml:space="preserve"> See for instance</w:t>
      </w:r>
      <w:r w:rsidR="00436AD4" w:rsidRPr="00740FD0">
        <w:rPr>
          <w:sz w:val="18"/>
          <w:szCs w:val="18"/>
        </w:rPr>
        <w:t xml:space="preserve"> </w:t>
      </w:r>
      <w:r w:rsidRPr="00740FD0">
        <w:rPr>
          <w:sz w:val="18"/>
          <w:szCs w:val="18"/>
        </w:rPr>
        <w:t xml:space="preserve">Wired, “Facebook's Political Ad System Is Designed to Polarize by </w:t>
      </w:r>
      <w:r w:rsidRPr="00740FD0">
        <w:rPr>
          <w:sz w:val="18"/>
          <w:szCs w:val="18"/>
        </w:rPr>
        <w:t xml:space="preserve">Microtargetting” (December 13, 2019), online: </w:t>
      </w:r>
      <w:hyperlink r:id="rId68" w:history="1">
        <w:r w:rsidRPr="00740FD0">
          <w:rPr>
            <w:rStyle w:val="Hyperlink"/>
            <w:sz w:val="18"/>
            <w:szCs w:val="18"/>
          </w:rPr>
          <w:t>https://www.wired.com/story/facebook-political-ad-system-designed-polarize/</w:t>
        </w:r>
      </w:hyperlink>
      <w:r w:rsidRPr="00740FD0">
        <w:rPr>
          <w:sz w:val="18"/>
          <w:szCs w:val="18"/>
        </w:rPr>
        <w:t xml:space="preserve">. See also The Guardian, “Twitter admits bias in algorithm for right-wing politicians and news outlets” (October 22, 2021), online: </w:t>
      </w:r>
      <w:hyperlink r:id="rId69" w:history="1">
        <w:r w:rsidRPr="00740FD0">
          <w:rPr>
            <w:rStyle w:val="Hyperlink"/>
            <w:sz w:val="18"/>
            <w:szCs w:val="18"/>
          </w:rPr>
          <w:t>https://www.theguardian.com/technology/2021/oct/22/twitter-admits-bias-in-algorithm-for-rightwing-politicians-and-news-outlets</w:t>
        </w:r>
      </w:hyperlink>
      <w:r w:rsidRPr="00740FD0">
        <w:rPr>
          <w:sz w:val="18"/>
          <w:szCs w:val="18"/>
        </w:rPr>
        <w:t xml:space="preserve">. Other studies demonstrate how effectively misinformation can be propagated to overwhelm reliable sources. The Center for Countering Digital Hate, a UK/US non-profit and non-governmental organization, analyzed 812,000 Facebook posts and tweets and found 65% came from “the disinformation dozen,” 12 influential people responsible for 73% of all anti-vaccine content on Facebook. See CCDH, </w:t>
      </w:r>
      <w:r w:rsidRPr="00740FD0">
        <w:rPr>
          <w:i/>
          <w:iCs/>
          <w:sz w:val="18"/>
          <w:szCs w:val="18"/>
        </w:rPr>
        <w:t xml:space="preserve">The Disinformation Dozen </w:t>
      </w:r>
      <w:r w:rsidRPr="00740FD0">
        <w:rPr>
          <w:sz w:val="18"/>
          <w:szCs w:val="18"/>
        </w:rPr>
        <w:t xml:space="preserve">(March 21, 2021), online: </w:t>
      </w:r>
      <w:hyperlink r:id="rId70" w:history="1">
        <w:r w:rsidRPr="00740FD0">
          <w:rPr>
            <w:rStyle w:val="Hyperlink"/>
            <w:sz w:val="18"/>
            <w:szCs w:val="18"/>
          </w:rPr>
          <w:t>https://counterhate.com/research/the-disinformation-dozen/</w:t>
        </w:r>
      </w:hyperlink>
      <w:r w:rsidRPr="00740FD0">
        <w:rPr>
          <w:sz w:val="18"/>
          <w:szCs w:val="18"/>
        </w:rPr>
        <w:t>.</w:t>
      </w:r>
    </w:p>
  </w:endnote>
  <w:endnote w:id="60">
    <w:p w14:paraId="1332C0A6" w14:textId="52F84601"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CBC News, “How Rogers, Telus and Bell sell access to your location data to third-party companies” (May 18, 2018), online: </w:t>
      </w:r>
      <w:hyperlink r:id="rId71" w:history="1">
        <w:r w:rsidRPr="00740FD0">
          <w:rPr>
            <w:rStyle w:val="Hyperlink"/>
            <w:sz w:val="18"/>
            <w:szCs w:val="18"/>
          </w:rPr>
          <w:t>https://www.cbc.ca/news/science/rogers-bell-telus-enstream-location-data-sharing-securus-1.4666739</w:t>
        </w:r>
      </w:hyperlink>
      <w:r w:rsidR="00436AD4" w:rsidRPr="00740FD0">
        <w:rPr>
          <w:sz w:val="18"/>
          <w:szCs w:val="18"/>
        </w:rPr>
        <w:t>.</w:t>
      </w:r>
    </w:p>
  </w:endnote>
  <w:endnote w:id="61">
    <w:p w14:paraId="165B5E42" w14:textId="751B8C0E" w:rsidR="00F81524" w:rsidRPr="00740FD0" w:rsidRDefault="00F81524" w:rsidP="0011673D">
      <w:pPr>
        <w:pStyle w:val="EndnoteText"/>
        <w:rPr>
          <w:sz w:val="18"/>
          <w:szCs w:val="18"/>
        </w:rPr>
      </w:pPr>
      <w:r w:rsidRPr="00740FD0">
        <w:rPr>
          <w:rStyle w:val="EndnoteReference"/>
          <w:sz w:val="18"/>
          <w:szCs w:val="18"/>
        </w:rPr>
        <w:endnoteRef/>
      </w:r>
      <w:r w:rsidRPr="00740FD0">
        <w:rPr>
          <w:sz w:val="18"/>
          <w:szCs w:val="18"/>
        </w:rPr>
        <w:t xml:space="preserve"> </w:t>
      </w:r>
      <w:r w:rsidRPr="00740FD0">
        <w:rPr>
          <w:sz w:val="18"/>
          <w:szCs w:val="18"/>
        </w:rPr>
        <w:t>ArsTechnica, “Sneaky ways cops could access data to widely prosecute abortions in the US:</w:t>
      </w:r>
    </w:p>
    <w:p w14:paraId="649D32D5" w14:textId="3AD21210" w:rsidR="00F81524" w:rsidRPr="00740FD0" w:rsidRDefault="00F81524" w:rsidP="0011673D">
      <w:pPr>
        <w:pStyle w:val="EndnoteText"/>
        <w:rPr>
          <w:sz w:val="18"/>
          <w:szCs w:val="18"/>
        </w:rPr>
      </w:pPr>
      <w:r w:rsidRPr="00740FD0">
        <w:rPr>
          <w:sz w:val="18"/>
          <w:szCs w:val="18"/>
        </w:rPr>
        <w:t xml:space="preserve">Third-party data brokers give police warrantless access to 250 million devices” (November 23, 2022), online: </w:t>
      </w:r>
      <w:hyperlink r:id="rId72" w:history="1">
        <w:r w:rsidRPr="00740FD0">
          <w:rPr>
            <w:rStyle w:val="Hyperlink"/>
            <w:sz w:val="18"/>
            <w:szCs w:val="18"/>
          </w:rPr>
          <w:t>https://arstechnica.com/tech-policy/2022/11/sneaky-ways-cops-could-access-data-to-widely-prosecute-abortions-in-the-us/</w:t>
        </w:r>
      </w:hyperlink>
      <w:r w:rsidRPr="00740FD0">
        <w:rPr>
          <w:sz w:val="18"/>
          <w:szCs w:val="18"/>
        </w:rPr>
        <w:t xml:space="preserve">. </w:t>
      </w:r>
    </w:p>
  </w:endnote>
  <w:endnote w:id="62">
    <w:p w14:paraId="121FF390" w14:textId="4BE79D6C"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w:t>
      </w:r>
      <w:r w:rsidR="00436AD4" w:rsidRPr="00740FD0">
        <w:rPr>
          <w:sz w:val="18"/>
          <w:szCs w:val="18"/>
        </w:rPr>
        <w:t xml:space="preserve">See for instance the database at </w:t>
      </w:r>
      <w:r w:rsidR="00CD7138" w:rsidRPr="00740FD0">
        <w:rPr>
          <w:sz w:val="18"/>
          <w:szCs w:val="18"/>
        </w:rPr>
        <w:t>“</w:t>
      </w:r>
      <w:r w:rsidR="00436AD4" w:rsidRPr="00740FD0">
        <w:rPr>
          <w:sz w:val="18"/>
          <w:szCs w:val="18"/>
        </w:rPr>
        <w:t xml:space="preserve">Terms </w:t>
      </w:r>
      <w:r w:rsidR="00436AD4" w:rsidRPr="00740FD0">
        <w:rPr>
          <w:sz w:val="18"/>
          <w:szCs w:val="18"/>
        </w:rPr>
        <w:t>Of Service; Didn’t Read</w:t>
      </w:r>
      <w:r w:rsidR="00CD7138" w:rsidRPr="00740FD0">
        <w:rPr>
          <w:sz w:val="18"/>
          <w:szCs w:val="18"/>
        </w:rPr>
        <w:t>,”</w:t>
      </w:r>
      <w:r w:rsidR="00436AD4" w:rsidRPr="00740FD0">
        <w:rPr>
          <w:sz w:val="18"/>
          <w:szCs w:val="18"/>
        </w:rPr>
        <w:t xml:space="preserve"> online:</w:t>
      </w:r>
      <w:r w:rsidR="00CD7138" w:rsidRPr="00740FD0">
        <w:rPr>
          <w:sz w:val="18"/>
          <w:szCs w:val="18"/>
        </w:rPr>
        <w:t xml:space="preserve"> </w:t>
      </w:r>
      <w:hyperlink r:id="rId73" w:history="1">
        <w:r w:rsidR="00CD7138" w:rsidRPr="00740FD0">
          <w:rPr>
            <w:rStyle w:val="Hyperlink"/>
            <w:sz w:val="18"/>
            <w:szCs w:val="18"/>
          </w:rPr>
          <w:t>https://tosdr.org/</w:t>
        </w:r>
      </w:hyperlink>
      <w:r w:rsidR="00CD7138" w:rsidRPr="00740FD0">
        <w:rPr>
          <w:sz w:val="18"/>
          <w:szCs w:val="18"/>
        </w:rPr>
        <w:t xml:space="preserve">. </w:t>
      </w:r>
      <w:r w:rsidR="00436AD4" w:rsidRPr="00740FD0">
        <w:rPr>
          <w:sz w:val="18"/>
          <w:szCs w:val="18"/>
        </w:rPr>
        <w:t xml:space="preserve">They break-down </w:t>
      </w:r>
      <w:r w:rsidR="00CD7138" w:rsidRPr="00740FD0">
        <w:rPr>
          <w:sz w:val="18"/>
          <w:szCs w:val="18"/>
        </w:rPr>
        <w:t>the ToS for dozens of websites to reveal how customary it is for digital market service providers to grant themselves to retain the data of accounts deleted by customers, as well as retaining data on people who never signed up as customers in the first place.</w:t>
      </w:r>
    </w:p>
  </w:endnote>
  <w:endnote w:id="63">
    <w:p w14:paraId="4790F12E" w14:textId="5C60CFF5" w:rsidR="000953F8" w:rsidRPr="00740FD0" w:rsidRDefault="000953F8">
      <w:pPr>
        <w:pStyle w:val="EndnoteText"/>
        <w:rPr>
          <w:sz w:val="18"/>
          <w:szCs w:val="18"/>
          <w:lang w:val="en-US"/>
        </w:rPr>
      </w:pPr>
      <w:r w:rsidRPr="00740FD0">
        <w:rPr>
          <w:rStyle w:val="EndnoteReference"/>
          <w:sz w:val="18"/>
          <w:szCs w:val="18"/>
        </w:rPr>
        <w:endnoteRef/>
      </w:r>
      <w:r w:rsidRPr="00740FD0">
        <w:rPr>
          <w:sz w:val="18"/>
          <w:szCs w:val="18"/>
        </w:rPr>
        <w:t xml:space="preserve"> </w:t>
      </w:r>
      <w:r w:rsidRPr="00740FD0">
        <w:rPr>
          <w:sz w:val="18"/>
          <w:szCs w:val="18"/>
          <w:lang w:val="en-US"/>
        </w:rPr>
        <w:t xml:space="preserve">For a good summary of bots and their regulation, see Dentons, “The regulatory landscape surrounding the use of bot technologies” (July 21, 2022), online: </w:t>
      </w:r>
      <w:hyperlink r:id="rId74" w:history="1">
        <w:r w:rsidRPr="00740FD0">
          <w:rPr>
            <w:rStyle w:val="Hyperlink"/>
            <w:sz w:val="18"/>
            <w:szCs w:val="18"/>
            <w:lang w:val="en-US"/>
          </w:rPr>
          <w:t>https://www.dentons.com/en/insights/articles/2022/july/21/the-regulatory-landscape-surrounding-the-use-of-bot-technologies</w:t>
        </w:r>
      </w:hyperlink>
      <w:r w:rsidRPr="00740FD0">
        <w:rPr>
          <w:sz w:val="18"/>
          <w:szCs w:val="18"/>
          <w:lang w:val="en-US"/>
        </w:rPr>
        <w:t xml:space="preserve">. </w:t>
      </w:r>
    </w:p>
  </w:endnote>
  <w:endnote w:id="64">
    <w:p w14:paraId="6391E93A" w14:textId="416B923B" w:rsidR="000953F8" w:rsidRPr="00740FD0" w:rsidRDefault="000953F8">
      <w:pPr>
        <w:pStyle w:val="EndnoteText"/>
        <w:rPr>
          <w:sz w:val="18"/>
          <w:szCs w:val="18"/>
          <w:lang w:val="en-US"/>
        </w:rPr>
      </w:pPr>
      <w:r w:rsidRPr="00740FD0">
        <w:rPr>
          <w:rStyle w:val="EndnoteReference"/>
          <w:sz w:val="18"/>
          <w:szCs w:val="18"/>
        </w:rPr>
        <w:endnoteRef/>
      </w:r>
      <w:r w:rsidRPr="00740FD0">
        <w:rPr>
          <w:sz w:val="18"/>
          <w:szCs w:val="18"/>
        </w:rPr>
        <w:t xml:space="preserve"> </w:t>
      </w:r>
      <w:r w:rsidRPr="00740FD0">
        <w:rPr>
          <w:sz w:val="18"/>
          <w:szCs w:val="18"/>
          <w:lang w:val="en-US"/>
        </w:rPr>
        <w:t xml:space="preserve">See Dentons, “The regulatory landscape surrounding the use of bot technologies” (July 21, 2022), online: </w:t>
      </w:r>
      <w:hyperlink r:id="rId75" w:history="1">
        <w:r w:rsidRPr="00740FD0">
          <w:rPr>
            <w:rStyle w:val="Hyperlink"/>
            <w:sz w:val="18"/>
            <w:szCs w:val="18"/>
            <w:lang w:val="en-US"/>
          </w:rPr>
          <w:t>https://www.dentons.com/en/insights/articles/2022/july/21/the-regulatory-landscape-surrounding-the-use-of-bot-technologies</w:t>
        </w:r>
      </w:hyperlink>
      <w:r w:rsidRPr="00740FD0">
        <w:rPr>
          <w:sz w:val="18"/>
          <w:szCs w:val="18"/>
          <w:lang w:val="en-US"/>
        </w:rPr>
        <w:t>.</w:t>
      </w:r>
    </w:p>
  </w:endnote>
  <w:endnote w:id="65">
    <w:p w14:paraId="10025C92" w14:textId="6DDFB394" w:rsidR="00F81524" w:rsidRPr="00740FD0" w:rsidRDefault="00F81524" w:rsidP="00854E0C">
      <w:pPr>
        <w:pStyle w:val="EndnoteText"/>
        <w:rPr>
          <w:sz w:val="18"/>
          <w:szCs w:val="18"/>
        </w:rPr>
      </w:pPr>
      <w:r w:rsidRPr="00740FD0">
        <w:rPr>
          <w:rStyle w:val="EndnoteReference"/>
          <w:sz w:val="18"/>
          <w:szCs w:val="18"/>
        </w:rPr>
        <w:endnoteRef/>
      </w:r>
      <w:r w:rsidRPr="00740FD0">
        <w:rPr>
          <w:sz w:val="18"/>
          <w:szCs w:val="18"/>
        </w:rPr>
        <w:t xml:space="preserve"> The Center for Countering Digital Hate, a UK/US non-profit and non-governmental organization, analyzed 812,000 Facebook posts and tweets and found 65% came from “the disinformation dozen,” 12 influential people responsible for 73% of all anti-vaccine content on Facebook. See CCDH, </w:t>
      </w:r>
      <w:r w:rsidRPr="00740FD0">
        <w:rPr>
          <w:i/>
          <w:iCs/>
          <w:sz w:val="18"/>
          <w:szCs w:val="18"/>
        </w:rPr>
        <w:t xml:space="preserve">The Disinformation Dozen </w:t>
      </w:r>
      <w:r w:rsidRPr="00740FD0">
        <w:rPr>
          <w:sz w:val="18"/>
          <w:szCs w:val="18"/>
        </w:rPr>
        <w:t xml:space="preserve">(March 21, 2021), online: </w:t>
      </w:r>
      <w:hyperlink r:id="rId76" w:history="1">
        <w:r w:rsidRPr="00740FD0">
          <w:rPr>
            <w:rStyle w:val="Hyperlink"/>
            <w:sz w:val="18"/>
            <w:szCs w:val="18"/>
          </w:rPr>
          <w:t>https://counterhate.com/research/the-disinformation-dozen/</w:t>
        </w:r>
      </w:hyperlink>
      <w:r w:rsidRPr="00740FD0">
        <w:rPr>
          <w:sz w:val="18"/>
          <w:szCs w:val="18"/>
        </w:rPr>
        <w:t>.​</w:t>
      </w:r>
    </w:p>
  </w:endnote>
  <w:endnote w:id="66">
    <w:p w14:paraId="45A61246" w14:textId="2C3DACA2" w:rsidR="00F81524" w:rsidRPr="00740FD0" w:rsidRDefault="00F81524" w:rsidP="0008361A">
      <w:pPr>
        <w:pStyle w:val="EndnoteText"/>
        <w:rPr>
          <w:sz w:val="18"/>
          <w:szCs w:val="18"/>
        </w:rPr>
      </w:pPr>
      <w:r w:rsidRPr="00740FD0">
        <w:rPr>
          <w:rStyle w:val="EndnoteReference"/>
          <w:sz w:val="18"/>
          <w:szCs w:val="18"/>
        </w:rPr>
        <w:endnoteRef/>
      </w:r>
      <w:r w:rsidRPr="00740FD0">
        <w:rPr>
          <w:sz w:val="18"/>
          <w:szCs w:val="18"/>
        </w:rPr>
        <w:t xml:space="preserve"> </w:t>
      </w:r>
      <w:r w:rsidR="003623FE" w:rsidRPr="00740FD0">
        <w:rPr>
          <w:sz w:val="18"/>
          <w:szCs w:val="18"/>
        </w:rPr>
        <w:t xml:space="preserve">Washington Post, “Twitter is sweeping out fake accounts like never before, putting user growth at risk” (July 6, 2018), online: </w:t>
      </w:r>
      <w:hyperlink r:id="rId77" w:history="1">
        <w:r w:rsidR="003623FE" w:rsidRPr="00740FD0">
          <w:rPr>
            <w:rStyle w:val="Hyperlink"/>
            <w:sz w:val="18"/>
            <w:szCs w:val="18"/>
          </w:rPr>
          <w:t>https://www.washingtonpost.com/technology/2018/07/06/twitter-is-sweeping-out-fake-accounts-like-never-before-putting-user-growth-risk/</w:t>
        </w:r>
      </w:hyperlink>
      <w:r w:rsidR="003623FE" w:rsidRPr="00740FD0">
        <w:rPr>
          <w:sz w:val="18"/>
          <w:szCs w:val="18"/>
        </w:rPr>
        <w:t xml:space="preserve">?. </w:t>
      </w:r>
    </w:p>
  </w:endnote>
  <w:endnote w:id="67">
    <w:p w14:paraId="6EB8990B" w14:textId="306F08F7"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w:t>
      </w:r>
      <w:r w:rsidR="003623FE" w:rsidRPr="00740FD0">
        <w:rPr>
          <w:sz w:val="18"/>
          <w:szCs w:val="18"/>
        </w:rPr>
        <w:t xml:space="preserve">The Guardian, “Twitter says it suspends 1m spam users a day as Elon Musk row deepens” (July 7, 2022), online: </w:t>
      </w:r>
      <w:hyperlink r:id="rId78" w:history="1">
        <w:r w:rsidR="003623FE" w:rsidRPr="00740FD0">
          <w:rPr>
            <w:rStyle w:val="Hyperlink"/>
            <w:sz w:val="18"/>
            <w:szCs w:val="18"/>
          </w:rPr>
          <w:t>https://www.theguardian.com/technology/2022/jul/07/twitter-says-it-suspends-1m-spam-users-a-day-as-elon-musk-dispute-deepens</w:t>
        </w:r>
      </w:hyperlink>
      <w:r w:rsidR="003623FE" w:rsidRPr="00740FD0">
        <w:rPr>
          <w:sz w:val="18"/>
          <w:szCs w:val="18"/>
        </w:rPr>
        <w:t xml:space="preserve">. </w:t>
      </w:r>
    </w:p>
  </w:endnote>
  <w:endnote w:id="68">
    <w:p w14:paraId="3B7F79F1" w14:textId="4AD71E52"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w:t>
      </w:r>
      <w:r w:rsidR="00FA6943" w:rsidRPr="00740FD0">
        <w:rPr>
          <w:sz w:val="18"/>
          <w:szCs w:val="18"/>
        </w:rPr>
        <w:t xml:space="preserve">The Verge, “Facebook bans academics who researched ad transparency and misinformation on Facebook “ (August 4, 2021), online: </w:t>
      </w:r>
      <w:hyperlink r:id="rId79" w:history="1">
        <w:r w:rsidR="00FA6943" w:rsidRPr="00740FD0">
          <w:rPr>
            <w:rStyle w:val="Hyperlink"/>
            <w:sz w:val="18"/>
            <w:szCs w:val="18"/>
          </w:rPr>
          <w:t>https://www.theverge.com/2021/8/4/22609020/facebook-bans-academic-researchers-ad-transparency-misinformation-nyu-ad-observatory-plug-in</w:t>
        </w:r>
      </w:hyperlink>
      <w:r w:rsidR="00FA6943" w:rsidRPr="00740FD0">
        <w:rPr>
          <w:sz w:val="18"/>
          <w:szCs w:val="18"/>
        </w:rPr>
        <w:t xml:space="preserve">. Meanwhile, other platforms </w:t>
      </w:r>
      <w:r w:rsidR="00545E59" w:rsidRPr="00740FD0">
        <w:rPr>
          <w:sz w:val="18"/>
          <w:szCs w:val="18"/>
        </w:rPr>
        <w:t xml:space="preserve">like Twitter have </w:t>
      </w:r>
      <w:r w:rsidR="00FA6943" w:rsidRPr="00740FD0">
        <w:rPr>
          <w:sz w:val="18"/>
          <w:szCs w:val="18"/>
        </w:rPr>
        <w:t>openly s</w:t>
      </w:r>
      <w:r w:rsidR="00545E59" w:rsidRPr="00740FD0">
        <w:rPr>
          <w:sz w:val="18"/>
          <w:szCs w:val="18"/>
        </w:rPr>
        <w:t>old</w:t>
      </w:r>
      <w:r w:rsidR="00FA6943" w:rsidRPr="00740FD0">
        <w:rPr>
          <w:sz w:val="18"/>
          <w:szCs w:val="18"/>
        </w:rPr>
        <w:t xml:space="preserve"> </w:t>
      </w:r>
      <w:r w:rsidR="00545E59" w:rsidRPr="00740FD0">
        <w:rPr>
          <w:sz w:val="18"/>
          <w:szCs w:val="18"/>
        </w:rPr>
        <w:t xml:space="preserve">“firehose” </w:t>
      </w:r>
      <w:r w:rsidR="00FA6943" w:rsidRPr="00740FD0">
        <w:rPr>
          <w:sz w:val="18"/>
          <w:szCs w:val="18"/>
        </w:rPr>
        <w:t xml:space="preserve">access to their databases </w:t>
      </w:r>
      <w:r w:rsidR="00545E59" w:rsidRPr="00740FD0">
        <w:rPr>
          <w:sz w:val="18"/>
          <w:szCs w:val="18"/>
        </w:rPr>
        <w:t>to data resellers, spy agencies, and others</w:t>
      </w:r>
      <w:r w:rsidR="00FA6943" w:rsidRPr="00740FD0">
        <w:rPr>
          <w:sz w:val="18"/>
          <w:szCs w:val="18"/>
        </w:rPr>
        <w:t xml:space="preserve">: see </w:t>
      </w:r>
      <w:r w:rsidR="00545E59" w:rsidRPr="00740FD0">
        <w:rPr>
          <w:sz w:val="18"/>
          <w:szCs w:val="18"/>
        </w:rPr>
        <w:t xml:space="preserve">Wired, “The Tricky Business of Elon Musk Getting Twitter Fire-Hose Access” (June 10, 2022), online: </w:t>
      </w:r>
      <w:hyperlink r:id="rId80" w:history="1">
        <w:r w:rsidR="00545E59" w:rsidRPr="00740FD0">
          <w:rPr>
            <w:rStyle w:val="Hyperlink"/>
            <w:sz w:val="18"/>
            <w:szCs w:val="18"/>
          </w:rPr>
          <w:t>https://www.wired.com/story/elon-musk-twitter-firehose/</w:t>
        </w:r>
      </w:hyperlink>
      <w:r w:rsidR="00545E59" w:rsidRPr="00740FD0">
        <w:rPr>
          <w:sz w:val="18"/>
          <w:szCs w:val="18"/>
        </w:rPr>
        <w:t>.</w:t>
      </w:r>
    </w:p>
  </w:endnote>
  <w:endnote w:id="69">
    <w:p w14:paraId="0F17DAFA" w14:textId="61A6CB15" w:rsidR="00F81524" w:rsidRPr="00740FD0" w:rsidRDefault="00F81524" w:rsidP="00FA6943">
      <w:pPr>
        <w:pStyle w:val="EndnoteText"/>
        <w:rPr>
          <w:sz w:val="18"/>
          <w:szCs w:val="18"/>
        </w:rPr>
      </w:pPr>
      <w:r w:rsidRPr="00740FD0">
        <w:rPr>
          <w:rStyle w:val="EndnoteReference"/>
          <w:sz w:val="18"/>
          <w:szCs w:val="18"/>
        </w:rPr>
        <w:endnoteRef/>
      </w:r>
      <w:r w:rsidRPr="00740FD0">
        <w:rPr>
          <w:sz w:val="18"/>
          <w:szCs w:val="18"/>
        </w:rPr>
        <w:t xml:space="preserve"> </w:t>
      </w:r>
      <w:r w:rsidR="00FA6943" w:rsidRPr="00740FD0">
        <w:rPr>
          <w:sz w:val="18"/>
          <w:szCs w:val="18"/>
        </w:rPr>
        <w:t xml:space="preserve">California, </w:t>
      </w:r>
      <w:r w:rsidR="00FA6943" w:rsidRPr="00740FD0">
        <w:rPr>
          <w:i/>
          <w:iCs/>
          <w:sz w:val="18"/>
          <w:szCs w:val="18"/>
        </w:rPr>
        <w:t>An act to add Chapter 6 (commencing with Section 17940) to Part 3 of Division 7 of the Business and Professions Code, relating to bots, “Bolstering Online Transparency (BOT) Act</w:t>
      </w:r>
      <w:r w:rsidR="00FA6943" w:rsidRPr="00740FD0">
        <w:rPr>
          <w:sz w:val="18"/>
          <w:szCs w:val="18"/>
        </w:rPr>
        <w:t xml:space="preserve"> (Senate Bill No. 1001 CHAPTER 892, Chaptered September 28, 2018), online: </w:t>
      </w:r>
      <w:hyperlink r:id="rId81" w:history="1">
        <w:r w:rsidR="00FA6943" w:rsidRPr="00740FD0">
          <w:rPr>
            <w:rStyle w:val="Hyperlink"/>
            <w:sz w:val="18"/>
            <w:szCs w:val="18"/>
          </w:rPr>
          <w:t>https://leginfo.legislature.ca.gov/faces/billTextClient.xhtml?bill_id=201720180SB1001</w:t>
        </w:r>
      </w:hyperlink>
      <w:r w:rsidR="00FA6943" w:rsidRPr="00740FD0">
        <w:rPr>
          <w:sz w:val="18"/>
          <w:szCs w:val="18"/>
        </w:rPr>
        <w:t>.</w:t>
      </w:r>
    </w:p>
  </w:endnote>
  <w:endnote w:id="70">
    <w:p w14:paraId="4BCED8C3" w14:textId="2524D47E" w:rsidR="00F81524" w:rsidRPr="00740FD0" w:rsidRDefault="00F81524" w:rsidP="00493D6F">
      <w:pPr>
        <w:pStyle w:val="EndnoteText"/>
        <w:rPr>
          <w:sz w:val="18"/>
          <w:szCs w:val="18"/>
        </w:rPr>
      </w:pPr>
      <w:r w:rsidRPr="00740FD0">
        <w:rPr>
          <w:rStyle w:val="EndnoteReference"/>
          <w:sz w:val="18"/>
          <w:szCs w:val="18"/>
        </w:rPr>
        <w:endnoteRef/>
      </w:r>
      <w:r w:rsidRPr="00740FD0">
        <w:rPr>
          <w:sz w:val="18"/>
          <w:szCs w:val="18"/>
        </w:rPr>
        <w:t xml:space="preserve"> The Guardian, “Uber broke laws, duped police and secretly lobbied governments, leak reveals” (July 11, 2022), online: </w:t>
      </w:r>
      <w:hyperlink r:id="rId82" w:history="1">
        <w:r w:rsidR="00FA6943" w:rsidRPr="00740FD0">
          <w:rPr>
            <w:rStyle w:val="Hyperlink"/>
            <w:sz w:val="18"/>
            <w:szCs w:val="18"/>
          </w:rPr>
          <w:t>https://www.theguardian.com/news/2022/jul/10/uber-files-leak-reveals-global-lobbying-campaign</w:t>
        </w:r>
      </w:hyperlink>
      <w:r w:rsidR="00FA6943" w:rsidRPr="00740FD0">
        <w:rPr>
          <w:sz w:val="18"/>
          <w:szCs w:val="18"/>
        </w:rPr>
        <w:t>.</w:t>
      </w:r>
      <w:r w:rsidRPr="00740FD0">
        <w:rPr>
          <w:sz w:val="18"/>
          <w:szCs w:val="18"/>
        </w:rPr>
        <w:t xml:space="preserve"> </w:t>
      </w:r>
    </w:p>
  </w:endnote>
  <w:endnote w:id="71">
    <w:p w14:paraId="5F771B92" w14:textId="4119DAF2"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w:t>
      </w:r>
      <w:r w:rsidR="00A66674" w:rsidRPr="00740FD0">
        <w:rPr>
          <w:sz w:val="18"/>
          <w:szCs w:val="18"/>
        </w:rPr>
        <w:t>For instance, the LCO compiled the entire constellation of Apple ToS – which embeds and cross-references to several additional contracts and privacy policies – and found the “contract footprint” that consumers are expected to agree to amounts to around 70,000 words.</w:t>
      </w:r>
    </w:p>
  </w:endnote>
  <w:endnote w:id="72">
    <w:p w14:paraId="44BC3E1F" w14:textId="2D4C1B19" w:rsidR="00E670D1" w:rsidRPr="00740FD0" w:rsidRDefault="00E670D1">
      <w:pPr>
        <w:pStyle w:val="EndnoteText"/>
        <w:rPr>
          <w:sz w:val="18"/>
          <w:szCs w:val="18"/>
        </w:rPr>
      </w:pPr>
      <w:r w:rsidRPr="00740FD0">
        <w:rPr>
          <w:rStyle w:val="EndnoteReference"/>
          <w:sz w:val="18"/>
          <w:szCs w:val="18"/>
        </w:rPr>
        <w:endnoteRef/>
      </w:r>
      <w:r w:rsidRPr="00740FD0">
        <w:rPr>
          <w:sz w:val="18"/>
          <w:szCs w:val="18"/>
        </w:rPr>
        <w:t xml:space="preserve"> See for instance AppleInsider.com, “Man sues Apple for terminating Apple ID with $24K worth of content” (April 20, 2021), online: </w:t>
      </w:r>
      <w:hyperlink r:id="rId83" w:history="1">
        <w:r w:rsidRPr="00740FD0">
          <w:rPr>
            <w:rStyle w:val="Hyperlink"/>
            <w:sz w:val="18"/>
            <w:szCs w:val="18"/>
          </w:rPr>
          <w:t>https://appleinsider.com/articles/21/04/20/man-sues-apple-for-terminating-apple-id-with-24k-worth-of-content</w:t>
        </w:r>
      </w:hyperlink>
      <w:r w:rsidRPr="00740FD0">
        <w:rPr>
          <w:sz w:val="18"/>
          <w:szCs w:val="18"/>
        </w:rPr>
        <w:t xml:space="preserve">. Class action suits have also been recently commenced. See 9to5Mac.com, “Another class action lawsuit over the risk of iTunes purchased content removal” (October 20, 2021), online: </w:t>
      </w:r>
      <w:hyperlink r:id="rId84" w:history="1">
        <w:r w:rsidRPr="00740FD0">
          <w:rPr>
            <w:rStyle w:val="Hyperlink"/>
            <w:sz w:val="18"/>
            <w:szCs w:val="18"/>
          </w:rPr>
          <w:t>https://9to5mac.com/2021/10/20/itunes-purchased-content-removal/</w:t>
        </w:r>
      </w:hyperlink>
      <w:r w:rsidRPr="00740FD0">
        <w:rPr>
          <w:sz w:val="18"/>
          <w:szCs w:val="18"/>
        </w:rPr>
        <w:t xml:space="preserve">.  </w:t>
      </w:r>
    </w:p>
  </w:endnote>
  <w:endnote w:id="73">
    <w:p w14:paraId="70CD98D6" w14:textId="7E1875F8" w:rsidR="00A279C5" w:rsidRPr="00740FD0" w:rsidRDefault="00A279C5">
      <w:pPr>
        <w:pStyle w:val="EndnoteText"/>
        <w:rPr>
          <w:sz w:val="18"/>
          <w:szCs w:val="18"/>
        </w:rPr>
      </w:pPr>
      <w:r w:rsidRPr="00740FD0">
        <w:rPr>
          <w:rStyle w:val="EndnoteReference"/>
          <w:sz w:val="18"/>
          <w:szCs w:val="18"/>
        </w:rPr>
        <w:endnoteRef/>
      </w:r>
      <w:r w:rsidRPr="00740FD0">
        <w:rPr>
          <w:sz w:val="18"/>
          <w:szCs w:val="18"/>
        </w:rPr>
        <w:t xml:space="preserve"> New York Times, "LinkedIn Ran Social Experiments on 20 Million Users Over Five Years" (September 24, 2022), online: </w:t>
      </w:r>
      <w:hyperlink r:id="rId85" w:history="1">
        <w:r w:rsidRPr="00740FD0">
          <w:rPr>
            <w:rStyle w:val="Hyperlink"/>
            <w:sz w:val="18"/>
            <w:szCs w:val="18"/>
          </w:rPr>
          <w:t>https://www.nytimes.com/2022/09/24/business/linkedin-social-experiments.html</w:t>
        </w:r>
      </w:hyperlink>
      <w:r w:rsidRPr="00740FD0">
        <w:rPr>
          <w:sz w:val="18"/>
          <w:szCs w:val="18"/>
        </w:rPr>
        <w:t xml:space="preserve">. </w:t>
      </w:r>
    </w:p>
  </w:endnote>
  <w:endnote w:id="74">
    <w:p w14:paraId="05542447" w14:textId="1A740A8D" w:rsidR="00966A91" w:rsidRPr="00740FD0" w:rsidRDefault="00966A91">
      <w:pPr>
        <w:pStyle w:val="EndnoteText"/>
        <w:rPr>
          <w:sz w:val="18"/>
          <w:szCs w:val="18"/>
          <w:lang w:val="en-US"/>
        </w:rPr>
      </w:pPr>
      <w:r w:rsidRPr="00740FD0">
        <w:rPr>
          <w:rStyle w:val="EndnoteReference"/>
          <w:sz w:val="18"/>
          <w:szCs w:val="18"/>
        </w:rPr>
        <w:endnoteRef/>
      </w:r>
      <w:r w:rsidRPr="00740FD0">
        <w:rPr>
          <w:sz w:val="18"/>
          <w:szCs w:val="18"/>
        </w:rPr>
        <w:t xml:space="preserve"> </w:t>
      </w:r>
      <w:r w:rsidRPr="00740FD0">
        <w:rPr>
          <w:sz w:val="18"/>
          <w:szCs w:val="18"/>
          <w:lang w:val="en-US"/>
        </w:rPr>
        <w:t xml:space="preserve">See for instance Forbes magazine, “Different Customers, Different Prices, Thanks To Big Data” (April 13, 2014), online: </w:t>
      </w:r>
      <w:hyperlink r:id="rId86" w:history="1">
        <w:r w:rsidR="007C3BFC" w:rsidRPr="00740FD0">
          <w:rPr>
            <w:rStyle w:val="Hyperlink"/>
            <w:sz w:val="18"/>
            <w:szCs w:val="18"/>
            <w:lang w:val="en-US"/>
          </w:rPr>
          <w:t>https://www.forbes.com/sites/adamtanner/2014/03/26/different-customers-different-prices-thanks-to-big-data/?sh=4728dbf05730</w:t>
        </w:r>
      </w:hyperlink>
      <w:r w:rsidR="007C3BFC" w:rsidRPr="00740FD0">
        <w:rPr>
          <w:sz w:val="18"/>
          <w:szCs w:val="18"/>
          <w:lang w:val="en-US"/>
        </w:rPr>
        <w:t xml:space="preserve">, which writes that a consumer study conducted in Spain “found that if Internet visitors came from a discount site such as Nextag.com, they would at times receive prices as much as 23% lower than others. Their study of 200 stores found Amazon, </w:t>
      </w:r>
      <w:r w:rsidR="007C3BFC" w:rsidRPr="00740FD0">
        <w:rPr>
          <w:sz w:val="18"/>
          <w:szCs w:val="18"/>
          <w:lang w:val="en-US"/>
        </w:rPr>
        <w:t>Staples and videogame store Steam among those varying price by geographic location by as much as 166%.”</w:t>
      </w:r>
    </w:p>
  </w:endnote>
  <w:endnote w:id="75">
    <w:p w14:paraId="2AAC0E54" w14:textId="1D666063" w:rsidR="00054FA8" w:rsidRPr="00740FD0" w:rsidRDefault="00054FA8">
      <w:pPr>
        <w:pStyle w:val="EndnoteText"/>
        <w:rPr>
          <w:sz w:val="18"/>
          <w:szCs w:val="18"/>
        </w:rPr>
      </w:pPr>
      <w:r w:rsidRPr="00740FD0">
        <w:rPr>
          <w:rStyle w:val="EndnoteReference"/>
          <w:sz w:val="18"/>
          <w:szCs w:val="18"/>
        </w:rPr>
        <w:endnoteRef/>
      </w:r>
      <w:r w:rsidRPr="00740FD0">
        <w:rPr>
          <w:sz w:val="18"/>
          <w:szCs w:val="18"/>
        </w:rPr>
        <w:t xml:space="preserve"> Oren Bar-Gill, “Algorithmic Price Discrimination: When Demand Is a Function of Both Preferences and (Mis)perceptions” (2019) 86 U Chi L Rev 217.</w:t>
      </w:r>
    </w:p>
  </w:endnote>
  <w:endnote w:id="76">
    <w:p w14:paraId="3758D19F" w14:textId="3D532D69"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w:t>
      </w:r>
      <w:r w:rsidR="00EE151B" w:rsidRPr="00740FD0">
        <w:rPr>
          <w:sz w:val="18"/>
          <w:szCs w:val="18"/>
        </w:rPr>
        <w:t xml:space="preserve">Office of the Privacy Commissioner of Canada, “Joint investigation into location tracking by the Tim Hortons App’ (June 1, 2022), online: </w:t>
      </w:r>
      <w:hyperlink r:id="rId87" w:history="1">
        <w:r w:rsidR="00EE151B" w:rsidRPr="00740FD0">
          <w:rPr>
            <w:rStyle w:val="Hyperlink"/>
            <w:sz w:val="18"/>
            <w:szCs w:val="18"/>
          </w:rPr>
          <w:t>https://www.priv.gc.ca/en/opc-actions-and-decisions/investigations/investigations-into-businesses/2022/pipeda-2022-001/</w:t>
        </w:r>
      </w:hyperlink>
      <w:r w:rsidR="007562AB" w:rsidRPr="00740FD0">
        <w:rPr>
          <w:sz w:val="18"/>
          <w:szCs w:val="18"/>
        </w:rPr>
        <w:t>.</w:t>
      </w:r>
    </w:p>
  </w:endnote>
  <w:endnote w:id="77">
    <w:p w14:paraId="7810E295" w14:textId="4128B192" w:rsidR="00F81524" w:rsidRPr="00740FD0" w:rsidRDefault="00F81524" w:rsidP="00493D6F">
      <w:pPr>
        <w:pStyle w:val="EndnoteText"/>
        <w:rPr>
          <w:sz w:val="18"/>
          <w:szCs w:val="18"/>
        </w:rPr>
      </w:pPr>
      <w:r w:rsidRPr="00740FD0">
        <w:rPr>
          <w:rStyle w:val="EndnoteReference"/>
          <w:sz w:val="18"/>
          <w:szCs w:val="18"/>
        </w:rPr>
        <w:endnoteRef/>
      </w:r>
      <w:r w:rsidRPr="00740FD0">
        <w:rPr>
          <w:sz w:val="18"/>
          <w:szCs w:val="18"/>
        </w:rPr>
        <w:t xml:space="preserve"> </w:t>
      </w:r>
      <w:r w:rsidR="00EE151B" w:rsidRPr="00740FD0">
        <w:rPr>
          <w:sz w:val="18"/>
          <w:szCs w:val="18"/>
        </w:rPr>
        <w:t xml:space="preserve">Office of the Privacy Commissioner of Canada, “Joint investigation into location tracking by the Tim Hortons App’ (June 1, 2022), online: </w:t>
      </w:r>
      <w:hyperlink r:id="rId88" w:history="1">
        <w:r w:rsidR="00EE151B" w:rsidRPr="00740FD0">
          <w:rPr>
            <w:rStyle w:val="Hyperlink"/>
            <w:sz w:val="18"/>
            <w:szCs w:val="18"/>
          </w:rPr>
          <w:t>https://www.priv.gc.ca/en/opc-actions-and-decisions/investigations/investigations-into-businesses/2022/pipeda-2022-001/</w:t>
        </w:r>
      </w:hyperlink>
      <w:r w:rsidR="00EE151B" w:rsidRPr="00740FD0">
        <w:rPr>
          <w:sz w:val="18"/>
          <w:szCs w:val="18"/>
        </w:rPr>
        <w:t>.</w:t>
      </w:r>
    </w:p>
  </w:endnote>
  <w:endnote w:id="78">
    <w:p w14:paraId="3AD15767" w14:textId="31C6F778" w:rsidR="00F81524" w:rsidRPr="00740FD0" w:rsidRDefault="00F81524" w:rsidP="00493D6F">
      <w:pPr>
        <w:pStyle w:val="EndnoteText"/>
        <w:rPr>
          <w:sz w:val="18"/>
          <w:szCs w:val="18"/>
        </w:rPr>
      </w:pPr>
      <w:r w:rsidRPr="00740FD0">
        <w:rPr>
          <w:rStyle w:val="EndnoteReference"/>
          <w:sz w:val="18"/>
          <w:szCs w:val="18"/>
        </w:rPr>
        <w:endnoteRef/>
      </w:r>
      <w:r w:rsidRPr="00740FD0">
        <w:rPr>
          <w:sz w:val="18"/>
          <w:szCs w:val="18"/>
        </w:rPr>
        <w:t xml:space="preserve"> </w:t>
      </w:r>
      <w:r w:rsidR="00EE151B" w:rsidRPr="00740FD0">
        <w:rPr>
          <w:sz w:val="18"/>
          <w:szCs w:val="18"/>
        </w:rPr>
        <w:t xml:space="preserve">Office of the Privacy Commissioner of Canada, “Joint investigation into location tracking by the Tim Hortons App’ (June 1, 2022), online: </w:t>
      </w:r>
      <w:hyperlink r:id="rId89" w:history="1">
        <w:r w:rsidR="00EE151B" w:rsidRPr="00740FD0">
          <w:rPr>
            <w:rStyle w:val="Hyperlink"/>
            <w:sz w:val="18"/>
            <w:szCs w:val="18"/>
          </w:rPr>
          <w:t>https://www.priv.gc.ca/en/opc-actions-and-decisions/investigations/investigations-into-businesses/2022/pipeda-2022-001/</w:t>
        </w:r>
      </w:hyperlink>
      <w:r w:rsidR="00EE151B" w:rsidRPr="00740FD0">
        <w:rPr>
          <w:sz w:val="18"/>
          <w:szCs w:val="18"/>
        </w:rPr>
        <w:t xml:space="preserve">. </w:t>
      </w:r>
      <w:r w:rsidRPr="00740FD0">
        <w:rPr>
          <w:sz w:val="18"/>
          <w:szCs w:val="18"/>
        </w:rPr>
        <w:t xml:space="preserve">See also the original article: “Double-double tracking: How Tim Hortons knows where you sleep, work and vacation” (National Post, June 12, 2020, online: </w:t>
      </w:r>
      <w:hyperlink r:id="rId90" w:history="1">
        <w:r w:rsidR="00EE151B" w:rsidRPr="00740FD0">
          <w:rPr>
            <w:rStyle w:val="Hyperlink"/>
            <w:sz w:val="18"/>
            <w:szCs w:val="18"/>
          </w:rPr>
          <w:t>https://financialpost.com/technology/tim-hortons-app-tracking-customers-intimate-data</w:t>
        </w:r>
      </w:hyperlink>
      <w:r w:rsidR="00EE151B" w:rsidRPr="00740FD0">
        <w:rPr>
          <w:sz w:val="18"/>
          <w:szCs w:val="18"/>
        </w:rPr>
        <w:t>).</w:t>
      </w:r>
    </w:p>
  </w:endnote>
  <w:endnote w:id="79">
    <w:p w14:paraId="205CBC0B" w14:textId="38F9959A" w:rsidR="00F40F89" w:rsidRPr="00740FD0" w:rsidRDefault="00F40F89">
      <w:pPr>
        <w:pStyle w:val="EndnoteText"/>
        <w:rPr>
          <w:sz w:val="18"/>
          <w:szCs w:val="18"/>
          <w:lang w:val="en-US"/>
        </w:rPr>
      </w:pPr>
      <w:r w:rsidRPr="00740FD0">
        <w:rPr>
          <w:rStyle w:val="EndnoteReference"/>
          <w:sz w:val="18"/>
          <w:szCs w:val="18"/>
        </w:rPr>
        <w:endnoteRef/>
      </w:r>
      <w:r w:rsidRPr="00740FD0">
        <w:rPr>
          <w:sz w:val="18"/>
          <w:szCs w:val="18"/>
        </w:rPr>
        <w:t xml:space="preserve"> Office of the Privacy Commissioner of Canada, “Joint investigation into location tracking by the Tim Hortons App’ (June 1, 2022), online: </w:t>
      </w:r>
      <w:hyperlink r:id="rId91" w:history="1">
        <w:r w:rsidRPr="00740FD0">
          <w:rPr>
            <w:rStyle w:val="Hyperlink"/>
            <w:sz w:val="18"/>
            <w:szCs w:val="18"/>
          </w:rPr>
          <w:t>https://www.priv.gc.ca/en/opc-actions-and-decisions/investigations/investigations-into-businesses/2022/pipeda-2022-001/</w:t>
        </w:r>
      </w:hyperlink>
      <w:r w:rsidRPr="00740FD0">
        <w:rPr>
          <w:sz w:val="18"/>
          <w:szCs w:val="18"/>
        </w:rPr>
        <w:t>.</w:t>
      </w:r>
    </w:p>
  </w:endnote>
  <w:endnote w:id="80">
    <w:p w14:paraId="0C12EC34" w14:textId="4F7F48FA" w:rsidR="00F81524" w:rsidRPr="00740FD0" w:rsidRDefault="00F81524" w:rsidP="00493D6F">
      <w:pPr>
        <w:pStyle w:val="EndnoteText"/>
        <w:rPr>
          <w:sz w:val="18"/>
          <w:szCs w:val="18"/>
        </w:rPr>
      </w:pPr>
      <w:r w:rsidRPr="00740FD0">
        <w:rPr>
          <w:rStyle w:val="EndnoteReference"/>
          <w:sz w:val="18"/>
          <w:szCs w:val="18"/>
        </w:rPr>
        <w:endnoteRef/>
      </w:r>
      <w:r w:rsidRPr="00740FD0">
        <w:rPr>
          <w:sz w:val="18"/>
          <w:szCs w:val="18"/>
        </w:rPr>
        <w:t xml:space="preserve"> </w:t>
      </w:r>
      <w:r w:rsidR="00EE151B" w:rsidRPr="00740FD0">
        <w:rPr>
          <w:sz w:val="18"/>
          <w:szCs w:val="18"/>
        </w:rPr>
        <w:t xml:space="preserve">Office of the Privacy Commissioner of Canada, “Joint investigation into location tracking by the Tim Hortons App’ (June 1, 2022), online: </w:t>
      </w:r>
      <w:hyperlink r:id="rId92" w:history="1">
        <w:r w:rsidR="00EE151B" w:rsidRPr="00740FD0">
          <w:rPr>
            <w:rStyle w:val="Hyperlink"/>
            <w:sz w:val="18"/>
            <w:szCs w:val="18"/>
          </w:rPr>
          <w:t>https://www.priv.gc.ca/en/opc-actions-and-decisions/investigations/investigations-into-businesses/2022/pipeda-2022-001/</w:t>
        </w:r>
      </w:hyperlink>
      <w:r w:rsidR="00EE151B" w:rsidRPr="00740FD0">
        <w:rPr>
          <w:sz w:val="18"/>
          <w:szCs w:val="18"/>
        </w:rPr>
        <w:t>.</w:t>
      </w:r>
      <w:r w:rsidRPr="00740FD0">
        <w:rPr>
          <w:sz w:val="18"/>
          <w:szCs w:val="18"/>
        </w:rPr>
        <w:t xml:space="preserve"> </w:t>
      </w:r>
    </w:p>
  </w:endnote>
  <w:endnote w:id="81">
    <w:p w14:paraId="59D71FBB" w14:textId="0D7C130E" w:rsidR="00F81524" w:rsidRPr="00740FD0" w:rsidRDefault="00F81524" w:rsidP="0025525D">
      <w:pPr>
        <w:pStyle w:val="EndnoteText"/>
        <w:rPr>
          <w:sz w:val="18"/>
          <w:szCs w:val="18"/>
        </w:rPr>
      </w:pPr>
      <w:r w:rsidRPr="00740FD0">
        <w:rPr>
          <w:rStyle w:val="EndnoteReference"/>
          <w:sz w:val="18"/>
          <w:szCs w:val="18"/>
        </w:rPr>
        <w:endnoteRef/>
      </w:r>
      <w:r w:rsidRPr="00740FD0">
        <w:rPr>
          <w:sz w:val="18"/>
          <w:szCs w:val="18"/>
        </w:rPr>
        <w:t xml:space="preserve"> </w:t>
      </w:r>
      <w:r w:rsidR="00EE151B" w:rsidRPr="00740FD0">
        <w:rPr>
          <w:sz w:val="18"/>
          <w:szCs w:val="18"/>
        </w:rPr>
        <w:t xml:space="preserve">Office of the Privacy Commissioner of Canada, “Joint investigation into location tracking by the Tim Hortons App’ (June 1, 2022), online: </w:t>
      </w:r>
      <w:hyperlink r:id="rId93" w:history="1">
        <w:r w:rsidR="00EE151B" w:rsidRPr="00740FD0">
          <w:rPr>
            <w:rStyle w:val="Hyperlink"/>
            <w:sz w:val="18"/>
            <w:szCs w:val="18"/>
          </w:rPr>
          <w:t>https://www.priv.gc.ca/en/opc-actions-and-decisions/investigations/investigations-into-businesses/2022/pipeda-2022-001/</w:t>
        </w:r>
      </w:hyperlink>
      <w:r w:rsidR="00EE151B" w:rsidRPr="00740FD0">
        <w:rPr>
          <w:sz w:val="18"/>
          <w:szCs w:val="18"/>
        </w:rPr>
        <w:t>.</w:t>
      </w:r>
      <w:r w:rsidRPr="00740FD0">
        <w:rPr>
          <w:sz w:val="18"/>
          <w:szCs w:val="18"/>
        </w:rPr>
        <w:t xml:space="preserve"> </w:t>
      </w:r>
    </w:p>
  </w:endnote>
  <w:endnote w:id="82">
    <w:p w14:paraId="4CFC3BF0" w14:textId="00AC5C6F" w:rsidR="00F81524" w:rsidRPr="00740FD0" w:rsidRDefault="00F81524" w:rsidP="00493D6F">
      <w:pPr>
        <w:pStyle w:val="EndnoteText"/>
        <w:rPr>
          <w:sz w:val="18"/>
          <w:szCs w:val="18"/>
        </w:rPr>
      </w:pPr>
      <w:r w:rsidRPr="00740FD0">
        <w:rPr>
          <w:rStyle w:val="EndnoteReference"/>
          <w:sz w:val="18"/>
          <w:szCs w:val="18"/>
        </w:rPr>
        <w:endnoteRef/>
      </w:r>
      <w:r w:rsidRPr="00740FD0">
        <w:rPr>
          <w:sz w:val="18"/>
          <w:szCs w:val="18"/>
        </w:rPr>
        <w:t xml:space="preserve"> </w:t>
      </w:r>
      <w:r w:rsidR="00EE151B" w:rsidRPr="00740FD0">
        <w:rPr>
          <w:sz w:val="18"/>
          <w:szCs w:val="18"/>
        </w:rPr>
        <w:t xml:space="preserve">Office of the Privacy Commissioner of Canada, “Joint investigation into location tracking by the Tim Hortons App’ (June 1, 2022), online: </w:t>
      </w:r>
      <w:hyperlink r:id="rId94" w:history="1">
        <w:r w:rsidR="00EE151B" w:rsidRPr="00740FD0">
          <w:rPr>
            <w:rStyle w:val="Hyperlink"/>
            <w:sz w:val="18"/>
            <w:szCs w:val="18"/>
          </w:rPr>
          <w:t>https://www.priv.gc.ca/en/opc-actions-and-decisions/investigations/investigations-into-businesses/2022/pipeda-2022-001/</w:t>
        </w:r>
      </w:hyperlink>
      <w:r w:rsidR="00EE151B" w:rsidRPr="00740FD0">
        <w:rPr>
          <w:sz w:val="18"/>
          <w:szCs w:val="18"/>
        </w:rPr>
        <w:t>.</w:t>
      </w:r>
      <w:r w:rsidRPr="00740FD0">
        <w:rPr>
          <w:sz w:val="18"/>
          <w:szCs w:val="18"/>
        </w:rPr>
        <w:t xml:space="preserve"> </w:t>
      </w:r>
    </w:p>
  </w:endnote>
  <w:endnote w:id="83">
    <w:p w14:paraId="67C82BD8" w14:textId="62B58E89" w:rsidR="00EE151B" w:rsidRPr="00740FD0" w:rsidRDefault="00EE151B" w:rsidP="00EE151B">
      <w:pPr>
        <w:pStyle w:val="EndnoteText"/>
        <w:rPr>
          <w:sz w:val="18"/>
          <w:szCs w:val="18"/>
        </w:rPr>
      </w:pPr>
      <w:r w:rsidRPr="00740FD0">
        <w:rPr>
          <w:rStyle w:val="EndnoteReference"/>
          <w:sz w:val="18"/>
          <w:szCs w:val="18"/>
        </w:rPr>
        <w:endnoteRef/>
      </w:r>
      <w:r w:rsidRPr="00740FD0">
        <w:rPr>
          <w:sz w:val="18"/>
          <w:szCs w:val="18"/>
        </w:rPr>
        <w:t xml:space="preserve"> </w:t>
      </w:r>
      <w:r w:rsidR="007131DF" w:rsidRPr="00740FD0">
        <w:rPr>
          <w:sz w:val="18"/>
          <w:szCs w:val="18"/>
        </w:rPr>
        <w:t xml:space="preserve">See Financial Post, “Double-double tracking: How Tim Hortons knows where you sleep, work and vacation” (June 12, 2020), online: </w:t>
      </w:r>
      <w:hyperlink r:id="rId95" w:history="1">
        <w:r w:rsidR="007131DF" w:rsidRPr="00740FD0">
          <w:rPr>
            <w:rStyle w:val="Hyperlink"/>
            <w:sz w:val="18"/>
            <w:szCs w:val="18"/>
          </w:rPr>
          <w:t>https://financialpost.com/technology/tim-hortons-app-tracking-customers-intimate-data</w:t>
        </w:r>
      </w:hyperlink>
      <w:r w:rsidR="007131DF" w:rsidRPr="00740FD0">
        <w:rPr>
          <w:sz w:val="18"/>
          <w:szCs w:val="18"/>
        </w:rPr>
        <w:t xml:space="preserve">. </w:t>
      </w:r>
    </w:p>
  </w:endnote>
  <w:endnote w:id="84">
    <w:p w14:paraId="0394571C" w14:textId="72F56A67" w:rsidR="00F81524" w:rsidRPr="00740FD0" w:rsidRDefault="00F81524" w:rsidP="00493D6F">
      <w:pPr>
        <w:pStyle w:val="EndnoteText"/>
        <w:rPr>
          <w:sz w:val="18"/>
          <w:szCs w:val="18"/>
        </w:rPr>
      </w:pPr>
      <w:r w:rsidRPr="00740FD0">
        <w:rPr>
          <w:rStyle w:val="EndnoteReference"/>
          <w:sz w:val="18"/>
          <w:szCs w:val="18"/>
        </w:rPr>
        <w:endnoteRef/>
      </w:r>
      <w:r w:rsidRPr="00740FD0">
        <w:rPr>
          <w:sz w:val="18"/>
          <w:szCs w:val="18"/>
        </w:rPr>
        <w:t xml:space="preserve"> </w:t>
      </w:r>
      <w:bookmarkStart w:id="38" w:name="_Hlk138064783"/>
      <w:r w:rsidR="007131DF" w:rsidRPr="00740FD0">
        <w:rPr>
          <w:sz w:val="18"/>
          <w:szCs w:val="18"/>
        </w:rPr>
        <w:t xml:space="preserve">Office of the Privacy Commissioner of Canada, “Joint investigation into location tracking by the Tim Hortons App’ (June 1, 2022), online: </w:t>
      </w:r>
      <w:hyperlink r:id="rId96" w:history="1">
        <w:r w:rsidR="007131DF" w:rsidRPr="00740FD0">
          <w:rPr>
            <w:rStyle w:val="Hyperlink"/>
            <w:sz w:val="18"/>
            <w:szCs w:val="18"/>
          </w:rPr>
          <w:t>https://www.priv.gc.ca/en/opc-actions-and-decisions/investigations/investigations-into-businesses/2022/pipeda-2022-001/</w:t>
        </w:r>
      </w:hyperlink>
      <w:bookmarkEnd w:id="38"/>
      <w:r w:rsidR="007131DF" w:rsidRPr="00740FD0">
        <w:rPr>
          <w:sz w:val="18"/>
          <w:szCs w:val="18"/>
        </w:rPr>
        <w:t>.</w:t>
      </w:r>
    </w:p>
  </w:endnote>
  <w:endnote w:id="85">
    <w:p w14:paraId="6CDE7661" w14:textId="354F8DA6" w:rsidR="00F81524" w:rsidRPr="00740FD0" w:rsidRDefault="00F81524" w:rsidP="00493D6F">
      <w:pPr>
        <w:pStyle w:val="EndnoteText"/>
        <w:rPr>
          <w:sz w:val="18"/>
          <w:szCs w:val="18"/>
        </w:rPr>
      </w:pPr>
      <w:r w:rsidRPr="00740FD0">
        <w:rPr>
          <w:rStyle w:val="EndnoteReference"/>
          <w:sz w:val="18"/>
          <w:szCs w:val="18"/>
        </w:rPr>
        <w:endnoteRef/>
      </w:r>
      <w:r w:rsidRPr="00740FD0">
        <w:rPr>
          <w:sz w:val="18"/>
          <w:szCs w:val="18"/>
        </w:rPr>
        <w:t xml:space="preserve"> </w:t>
      </w:r>
      <w:r w:rsidR="007131DF" w:rsidRPr="00740FD0">
        <w:rPr>
          <w:sz w:val="18"/>
          <w:szCs w:val="18"/>
        </w:rPr>
        <w:t xml:space="preserve">Office of the Privacy Commissioner of Canada, “Joint investigation into location tracking by the Tim Hortons App’ (June 1, 2022), online: </w:t>
      </w:r>
      <w:hyperlink r:id="rId97" w:history="1">
        <w:r w:rsidR="007131DF" w:rsidRPr="00740FD0">
          <w:rPr>
            <w:rStyle w:val="Hyperlink"/>
            <w:sz w:val="18"/>
            <w:szCs w:val="18"/>
          </w:rPr>
          <w:t>https://www.priv.gc.ca/en/opc-actions-and-decisions/investigations/investigations-into-businesses/2022/pipeda-2022-001/</w:t>
        </w:r>
      </w:hyperlink>
      <w:r w:rsidR="007131DF" w:rsidRPr="00740FD0">
        <w:rPr>
          <w:sz w:val="18"/>
          <w:szCs w:val="18"/>
        </w:rPr>
        <w:t>.</w:t>
      </w:r>
    </w:p>
  </w:endnote>
  <w:endnote w:id="86">
    <w:p w14:paraId="0A955FAD" w14:textId="5B05C335"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w:t>
      </w:r>
      <w:r w:rsidR="007131DF" w:rsidRPr="00740FD0">
        <w:rPr>
          <w:sz w:val="18"/>
          <w:szCs w:val="18"/>
        </w:rPr>
        <w:t xml:space="preserve">Office of the Privacy Commissioner of Canada, “Joint investigation into location tracking by the Tim Hortons App’ (June 1, 2022), online: </w:t>
      </w:r>
      <w:hyperlink r:id="rId98" w:history="1">
        <w:r w:rsidR="007131DF" w:rsidRPr="00740FD0">
          <w:rPr>
            <w:rStyle w:val="Hyperlink"/>
            <w:sz w:val="18"/>
            <w:szCs w:val="18"/>
          </w:rPr>
          <w:t>https://www.priv.gc.ca/en/opc-actions-and-decisions/investigations/investigations-into-businesses/2022/pipeda-2022-001/</w:t>
        </w:r>
      </w:hyperlink>
      <w:r w:rsidR="007131DF" w:rsidRPr="00740FD0">
        <w:rPr>
          <w:sz w:val="18"/>
          <w:szCs w:val="18"/>
        </w:rPr>
        <w:t>.</w:t>
      </w:r>
    </w:p>
  </w:endnote>
  <w:endnote w:id="87">
    <w:p w14:paraId="6F78481B" w14:textId="5A789301" w:rsidR="00044B9D" w:rsidRPr="00740FD0" w:rsidRDefault="00044B9D">
      <w:pPr>
        <w:pStyle w:val="EndnoteText"/>
        <w:rPr>
          <w:sz w:val="18"/>
          <w:szCs w:val="18"/>
        </w:rPr>
      </w:pPr>
      <w:r w:rsidRPr="00740FD0">
        <w:rPr>
          <w:rStyle w:val="EndnoteReference"/>
          <w:sz w:val="18"/>
          <w:szCs w:val="18"/>
        </w:rPr>
        <w:endnoteRef/>
      </w:r>
      <w:r w:rsidRPr="00740FD0">
        <w:rPr>
          <w:sz w:val="18"/>
          <w:szCs w:val="18"/>
        </w:rPr>
        <w:t xml:space="preserve"> </w:t>
      </w:r>
      <w:r w:rsidR="007131DF" w:rsidRPr="00740FD0">
        <w:rPr>
          <w:sz w:val="18"/>
          <w:szCs w:val="18"/>
        </w:rPr>
        <w:t xml:space="preserve">Toronto Star, </w:t>
      </w:r>
      <w:r w:rsidRPr="00740FD0">
        <w:rPr>
          <w:sz w:val="18"/>
          <w:szCs w:val="18"/>
        </w:rPr>
        <w:t>“The price of privacy adds up to more than a coffee and a doughnut</w:t>
      </w:r>
      <w:r w:rsidR="007131DF" w:rsidRPr="00740FD0">
        <w:rPr>
          <w:sz w:val="18"/>
          <w:szCs w:val="18"/>
        </w:rPr>
        <w:t>” (August 8, 2022), o</w:t>
      </w:r>
      <w:r w:rsidRPr="00740FD0">
        <w:rPr>
          <w:sz w:val="18"/>
          <w:szCs w:val="18"/>
        </w:rPr>
        <w:t xml:space="preserve">nline: </w:t>
      </w:r>
      <w:hyperlink r:id="rId99" w:history="1">
        <w:r w:rsidRPr="00740FD0">
          <w:rPr>
            <w:rStyle w:val="Hyperlink"/>
            <w:sz w:val="18"/>
            <w:szCs w:val="18"/>
          </w:rPr>
          <w:t>https://www.thestar.com/business/opinion/2022/08/08/the-price-of-privacy-adds-up-to-more-than-a-coffee-and-a-doughnut.html</w:t>
        </w:r>
      </w:hyperlink>
      <w:r w:rsidRPr="00740FD0">
        <w:rPr>
          <w:sz w:val="18"/>
          <w:szCs w:val="18"/>
        </w:rPr>
        <w:t>.</w:t>
      </w:r>
    </w:p>
  </w:endnote>
  <w:endnote w:id="88">
    <w:p w14:paraId="154C98A9" w14:textId="15706E19" w:rsidR="00D01F68" w:rsidRPr="00740FD0" w:rsidRDefault="00D01F68" w:rsidP="00D01F68">
      <w:pPr>
        <w:pStyle w:val="EndnoteText"/>
        <w:rPr>
          <w:sz w:val="18"/>
          <w:szCs w:val="18"/>
        </w:rPr>
      </w:pPr>
      <w:r w:rsidRPr="00740FD0">
        <w:rPr>
          <w:rStyle w:val="EndnoteReference"/>
          <w:sz w:val="18"/>
          <w:szCs w:val="18"/>
        </w:rPr>
        <w:endnoteRef/>
      </w:r>
      <w:r w:rsidRPr="00740FD0">
        <w:rPr>
          <w:sz w:val="18"/>
          <w:szCs w:val="18"/>
        </w:rPr>
        <w:t xml:space="preserve"> </w:t>
      </w:r>
      <w:r w:rsidR="007131DF" w:rsidRPr="00740FD0">
        <w:rPr>
          <w:sz w:val="18"/>
          <w:szCs w:val="18"/>
        </w:rPr>
        <w:t xml:space="preserve">The Verge, “What does Tim Hortons think your data is worth? A coffee and donut, apparently” (August 1, 2022), online:   </w:t>
      </w:r>
      <w:hyperlink r:id="rId100" w:history="1">
        <w:r w:rsidR="007131DF" w:rsidRPr="00740FD0">
          <w:rPr>
            <w:rStyle w:val="Hyperlink"/>
            <w:sz w:val="18"/>
            <w:szCs w:val="18"/>
          </w:rPr>
          <w:t>https://www.theverge.com/2022/8/1/23286824/tim-hortons-location-tracking-proposed-class-action-settlement-data-privacy-coffee-donut</w:t>
        </w:r>
      </w:hyperlink>
      <w:r w:rsidR="007131DF" w:rsidRPr="00740FD0">
        <w:rPr>
          <w:sz w:val="18"/>
          <w:szCs w:val="18"/>
        </w:rPr>
        <w:t xml:space="preserve">. </w:t>
      </w:r>
    </w:p>
  </w:endnote>
  <w:endnote w:id="89">
    <w:p w14:paraId="63550579" w14:textId="649CC161"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w:t>
      </w:r>
      <w:r w:rsidR="007131DF" w:rsidRPr="00740FD0">
        <w:rPr>
          <w:sz w:val="18"/>
          <w:szCs w:val="18"/>
        </w:rPr>
        <w:t xml:space="preserve">The Verge, “What does Tim Hortons think your data is worth? A coffee and donut, apparently” (August 1, 2022), online:   </w:t>
      </w:r>
      <w:hyperlink r:id="rId101" w:history="1">
        <w:r w:rsidR="007131DF" w:rsidRPr="00740FD0">
          <w:rPr>
            <w:rStyle w:val="Hyperlink"/>
            <w:sz w:val="18"/>
            <w:szCs w:val="18"/>
          </w:rPr>
          <w:t>https://www.theverge.com/2022/8/1/23286824/tim-hortons-location-tracking-proposed-class-action-settlement-data-privacy-coffee-donut</w:t>
        </w:r>
      </w:hyperlink>
      <w:r w:rsidR="007131DF" w:rsidRPr="00740FD0">
        <w:rPr>
          <w:sz w:val="18"/>
          <w:szCs w:val="18"/>
        </w:rPr>
        <w:t>.</w:t>
      </w:r>
    </w:p>
  </w:endnote>
  <w:endnote w:id="90">
    <w:p w14:paraId="32CD4619" w14:textId="7DC1FF32" w:rsidR="00F81524" w:rsidRPr="00740FD0" w:rsidRDefault="00F81524">
      <w:pPr>
        <w:pStyle w:val="EndnoteText"/>
        <w:rPr>
          <w:sz w:val="18"/>
          <w:szCs w:val="18"/>
        </w:rPr>
      </w:pPr>
      <w:r w:rsidRPr="00740FD0">
        <w:rPr>
          <w:rStyle w:val="EndnoteReference"/>
          <w:sz w:val="18"/>
          <w:szCs w:val="18"/>
        </w:rPr>
        <w:endnoteRef/>
      </w:r>
      <w:r w:rsidR="009E0094" w:rsidRPr="00740FD0">
        <w:rPr>
          <w:sz w:val="18"/>
          <w:szCs w:val="18"/>
        </w:rPr>
        <w:t xml:space="preserve">  </w:t>
      </w:r>
      <w:r w:rsidR="007131DF" w:rsidRPr="00740FD0">
        <w:rPr>
          <w:sz w:val="18"/>
          <w:szCs w:val="18"/>
        </w:rPr>
        <w:t xml:space="preserve">Toronto Star, “The price of privacy adds up to more than a coffee and a doughnut” (August 8, 2022), online: </w:t>
      </w:r>
      <w:hyperlink r:id="rId102" w:history="1">
        <w:r w:rsidR="007131DF" w:rsidRPr="00740FD0">
          <w:rPr>
            <w:rStyle w:val="Hyperlink"/>
            <w:sz w:val="18"/>
            <w:szCs w:val="18"/>
          </w:rPr>
          <w:t>https://www.thestar.com/business/opinion/2022/08/08/the-price-of-privacy-adds-up-to-more-than-a-coffee-and-a-doughnut.html</w:t>
        </w:r>
      </w:hyperlink>
      <w:r w:rsidR="007131DF" w:rsidRPr="00740FD0">
        <w:rPr>
          <w:sz w:val="18"/>
          <w:szCs w:val="18"/>
        </w:rPr>
        <w:t>.</w:t>
      </w:r>
    </w:p>
  </w:endnote>
  <w:endnote w:id="91">
    <w:p w14:paraId="37CBA6A9" w14:textId="5262D0D0" w:rsidR="00403FC6" w:rsidRPr="00740FD0" w:rsidRDefault="00403FC6" w:rsidP="00403FC6">
      <w:pPr>
        <w:pStyle w:val="EndnoteText"/>
        <w:rPr>
          <w:sz w:val="18"/>
          <w:szCs w:val="18"/>
        </w:rPr>
      </w:pPr>
      <w:r w:rsidRPr="00740FD0">
        <w:rPr>
          <w:rStyle w:val="EndnoteReference"/>
          <w:sz w:val="18"/>
          <w:szCs w:val="18"/>
        </w:rPr>
        <w:endnoteRef/>
      </w:r>
      <w:r w:rsidRPr="00740FD0">
        <w:rPr>
          <w:sz w:val="18"/>
          <w:szCs w:val="18"/>
        </w:rPr>
        <w:t xml:space="preserve"> See</w:t>
      </w:r>
      <w:r w:rsidR="00662612" w:rsidRPr="00740FD0">
        <w:rPr>
          <w:sz w:val="18"/>
          <w:szCs w:val="18"/>
        </w:rPr>
        <w:t xml:space="preserve"> Investor’s Business Daily, “Here's How Much You're Worth To Social Media Giants” (January 12, 2021), online:  </w:t>
      </w:r>
      <w:r w:rsidRPr="00740FD0">
        <w:rPr>
          <w:sz w:val="18"/>
          <w:szCs w:val="18"/>
        </w:rPr>
        <w:t xml:space="preserve"> </w:t>
      </w:r>
      <w:hyperlink r:id="rId103" w:history="1">
        <w:r w:rsidRPr="00740FD0">
          <w:rPr>
            <w:rStyle w:val="Hyperlink"/>
            <w:sz w:val="18"/>
            <w:szCs w:val="18"/>
          </w:rPr>
          <w:t>https://www.investors.com/etfs-and-funds/sectors/sp500-heres-how-much-youre-worth-social-media-giants/</w:t>
        </w:r>
      </w:hyperlink>
      <w:r w:rsidR="00662612" w:rsidRPr="00740FD0">
        <w:rPr>
          <w:sz w:val="18"/>
          <w:szCs w:val="18"/>
        </w:rPr>
        <w:t xml:space="preserve">. </w:t>
      </w:r>
      <w:r w:rsidRPr="00740FD0">
        <w:rPr>
          <w:sz w:val="18"/>
          <w:szCs w:val="18"/>
        </w:rPr>
        <w:t xml:space="preserve"> </w:t>
      </w:r>
    </w:p>
  </w:endnote>
  <w:endnote w:id="92">
    <w:p w14:paraId="43CA2B60" w14:textId="3489C602" w:rsidR="00F81524" w:rsidRPr="00740FD0" w:rsidRDefault="00F81524" w:rsidP="000822F1">
      <w:pPr>
        <w:pStyle w:val="EndnoteText"/>
        <w:rPr>
          <w:sz w:val="18"/>
          <w:szCs w:val="18"/>
        </w:rPr>
      </w:pPr>
      <w:r w:rsidRPr="00740FD0">
        <w:rPr>
          <w:rStyle w:val="EndnoteReference"/>
          <w:sz w:val="18"/>
          <w:szCs w:val="18"/>
        </w:rPr>
        <w:endnoteRef/>
      </w:r>
      <w:r w:rsidRPr="00740FD0">
        <w:rPr>
          <w:sz w:val="18"/>
          <w:szCs w:val="18"/>
        </w:rPr>
        <w:t xml:space="preserve"> </w:t>
      </w:r>
      <w:r w:rsidR="001460B5" w:rsidRPr="00740FD0">
        <w:rPr>
          <w:i/>
          <w:iCs/>
          <w:sz w:val="18"/>
          <w:szCs w:val="18"/>
        </w:rPr>
        <w:t>Consumer Protection Act, 2002</w:t>
      </w:r>
      <w:r w:rsidR="001460B5" w:rsidRPr="00740FD0">
        <w:rPr>
          <w:sz w:val="18"/>
          <w:szCs w:val="18"/>
        </w:rPr>
        <w:t>, S.O. 2002, c. 30.</w:t>
      </w:r>
    </w:p>
  </w:endnote>
  <w:endnote w:id="93">
    <w:p w14:paraId="3FD23A6B" w14:textId="247E17A4" w:rsidR="00F81524" w:rsidRPr="00740FD0" w:rsidRDefault="00F81524" w:rsidP="00094ABC">
      <w:pPr>
        <w:pStyle w:val="EndnoteText"/>
        <w:rPr>
          <w:sz w:val="18"/>
          <w:szCs w:val="18"/>
        </w:rPr>
      </w:pPr>
      <w:r w:rsidRPr="00740FD0">
        <w:rPr>
          <w:rStyle w:val="EndnoteReference"/>
          <w:sz w:val="18"/>
          <w:szCs w:val="18"/>
        </w:rPr>
        <w:endnoteRef/>
      </w:r>
      <w:r w:rsidRPr="00740FD0">
        <w:rPr>
          <w:sz w:val="18"/>
          <w:szCs w:val="18"/>
        </w:rPr>
        <w:t xml:space="preserve"> </w:t>
      </w:r>
      <w:r w:rsidRPr="00740FD0">
        <w:rPr>
          <w:i/>
          <w:iCs/>
          <w:sz w:val="18"/>
          <w:szCs w:val="18"/>
        </w:rPr>
        <w:t>Consumer Protection Act, 2002</w:t>
      </w:r>
      <w:r w:rsidRPr="00740FD0">
        <w:rPr>
          <w:sz w:val="18"/>
          <w:szCs w:val="18"/>
        </w:rPr>
        <w:t xml:space="preserve">, S.O. 2002, c. 30, Sch. A; (ON) General Regulation, </w:t>
      </w:r>
      <w:r w:rsidRPr="00740FD0">
        <w:rPr>
          <w:i/>
          <w:iCs/>
          <w:sz w:val="18"/>
          <w:szCs w:val="18"/>
        </w:rPr>
        <w:t>O. Reg. 17/05, ss. 32</w:t>
      </w:r>
      <w:r w:rsidRPr="00740FD0">
        <w:rPr>
          <w:sz w:val="18"/>
          <w:szCs w:val="18"/>
        </w:rPr>
        <w:t xml:space="preserve">, 33, </w:t>
      </w:r>
      <w:r w:rsidRPr="00740FD0">
        <w:rPr>
          <w:sz w:val="18"/>
          <w:szCs w:val="18"/>
        </w:rPr>
        <w:t>37 </w:t>
      </w:r>
      <w:r w:rsidR="001460B5" w:rsidRPr="00740FD0">
        <w:rPr>
          <w:sz w:val="18"/>
          <w:szCs w:val="18"/>
        </w:rPr>
        <w:t>.</w:t>
      </w:r>
    </w:p>
  </w:endnote>
  <w:endnote w:id="94">
    <w:p w14:paraId="25CEBFD4" w14:textId="264C404F" w:rsidR="00F81524" w:rsidRPr="00740FD0" w:rsidRDefault="00F81524" w:rsidP="00611C53">
      <w:pPr>
        <w:pStyle w:val="EndnoteText"/>
        <w:rPr>
          <w:sz w:val="18"/>
          <w:szCs w:val="18"/>
        </w:rPr>
      </w:pPr>
      <w:r w:rsidRPr="00740FD0">
        <w:rPr>
          <w:rStyle w:val="EndnoteReference"/>
          <w:sz w:val="18"/>
          <w:szCs w:val="18"/>
        </w:rPr>
        <w:endnoteRef/>
      </w:r>
      <w:r w:rsidRPr="00740FD0">
        <w:rPr>
          <w:sz w:val="18"/>
          <w:szCs w:val="18"/>
        </w:rPr>
        <w:t xml:space="preserve"> </w:t>
      </w:r>
      <w:r w:rsidR="003538D6" w:rsidRPr="00740FD0">
        <w:rPr>
          <w:sz w:val="18"/>
          <w:szCs w:val="18"/>
        </w:rPr>
        <w:t xml:space="preserve">Suhuyini Abudulai, </w:t>
      </w:r>
      <w:r w:rsidR="003538D6" w:rsidRPr="00740FD0">
        <w:rPr>
          <w:i/>
          <w:iCs/>
          <w:sz w:val="18"/>
          <w:szCs w:val="18"/>
        </w:rPr>
        <w:t>The Annotated Ontario Consumer Protection Act, 2023 Edition</w:t>
      </w:r>
      <w:r w:rsidR="003538D6" w:rsidRPr="00740FD0">
        <w:rPr>
          <w:sz w:val="18"/>
          <w:szCs w:val="18"/>
        </w:rPr>
        <w:t xml:space="preserve"> (LexisNexis, October 2022) at 19. </w:t>
      </w:r>
    </w:p>
  </w:endnote>
  <w:endnote w:id="95">
    <w:p w14:paraId="2784D756" w14:textId="64C34091"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w:t>
      </w:r>
      <w:r w:rsidR="003538D6" w:rsidRPr="00740FD0">
        <w:rPr>
          <w:sz w:val="18"/>
          <w:szCs w:val="18"/>
        </w:rPr>
        <w:t xml:space="preserve">Suhuyini Abudulai, </w:t>
      </w:r>
      <w:r w:rsidR="003538D6" w:rsidRPr="00740FD0">
        <w:rPr>
          <w:i/>
          <w:iCs/>
          <w:sz w:val="18"/>
          <w:szCs w:val="18"/>
        </w:rPr>
        <w:t>The Annotated Ontario Consumer Protection Act, 2023 Edition</w:t>
      </w:r>
      <w:r w:rsidR="003538D6" w:rsidRPr="00740FD0">
        <w:rPr>
          <w:sz w:val="18"/>
          <w:szCs w:val="18"/>
        </w:rPr>
        <w:t xml:space="preserve"> (LexisNexis, October 2022) at 31, </w:t>
      </w:r>
      <w:r w:rsidRPr="00740FD0">
        <w:rPr>
          <w:sz w:val="18"/>
          <w:szCs w:val="18"/>
        </w:rPr>
        <w:t>citing CPA s. 2(1).</w:t>
      </w:r>
    </w:p>
  </w:endnote>
  <w:endnote w:id="96">
    <w:p w14:paraId="0C115C3D" w14:textId="69F5EDFA"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w:t>
      </w:r>
      <w:r w:rsidR="003538D6" w:rsidRPr="00740FD0">
        <w:rPr>
          <w:sz w:val="18"/>
          <w:szCs w:val="18"/>
        </w:rPr>
        <w:t xml:space="preserve">Suhuyini Abudulai, </w:t>
      </w:r>
      <w:r w:rsidR="003538D6" w:rsidRPr="00740FD0">
        <w:rPr>
          <w:i/>
          <w:iCs/>
          <w:sz w:val="18"/>
          <w:szCs w:val="18"/>
        </w:rPr>
        <w:t>The Annotated Ontario Consumer Protection Act, 2023 Edition</w:t>
      </w:r>
      <w:r w:rsidR="003538D6" w:rsidRPr="00740FD0">
        <w:rPr>
          <w:sz w:val="18"/>
          <w:szCs w:val="18"/>
        </w:rPr>
        <w:t xml:space="preserve"> (LexisNexis, October 2022) </w:t>
      </w:r>
      <w:r w:rsidRPr="00740FD0">
        <w:rPr>
          <w:sz w:val="18"/>
          <w:szCs w:val="18"/>
        </w:rPr>
        <w:t xml:space="preserve">at 26, 27, citing </w:t>
      </w:r>
      <w:r w:rsidRPr="00740FD0">
        <w:rPr>
          <w:i/>
          <w:iCs/>
          <w:sz w:val="18"/>
          <w:szCs w:val="18"/>
        </w:rPr>
        <w:t>Ramdath v. George Brown College of Applied Arts and Technology</w:t>
      </w:r>
      <w:r w:rsidR="003538D6" w:rsidRPr="00740FD0">
        <w:rPr>
          <w:sz w:val="18"/>
          <w:szCs w:val="18"/>
        </w:rPr>
        <w:t xml:space="preserve"> (</w:t>
      </w:r>
      <w:r w:rsidRPr="00740FD0">
        <w:rPr>
          <w:sz w:val="18"/>
          <w:szCs w:val="18"/>
        </w:rPr>
        <w:t xml:space="preserve">[2012] O.J. No. 5389, 2012 ONSC 6173 (Ont. S.C.J.), </w:t>
      </w:r>
      <w:r w:rsidR="00396D12" w:rsidRPr="00740FD0">
        <w:rPr>
          <w:sz w:val="18"/>
          <w:szCs w:val="18"/>
        </w:rPr>
        <w:t>affirmed</w:t>
      </w:r>
      <w:r w:rsidRPr="00740FD0">
        <w:rPr>
          <w:sz w:val="18"/>
          <w:szCs w:val="18"/>
        </w:rPr>
        <w:t xml:space="preserve"> [2013] O.J. No. 3151, 2013 ONCA 468</w:t>
      </w:r>
      <w:r w:rsidR="003538D6" w:rsidRPr="00740FD0">
        <w:rPr>
          <w:sz w:val="18"/>
          <w:szCs w:val="18"/>
        </w:rPr>
        <w:t>)</w:t>
      </w:r>
      <w:r w:rsidRPr="00740FD0">
        <w:rPr>
          <w:sz w:val="18"/>
          <w:szCs w:val="18"/>
        </w:rPr>
        <w:t xml:space="preserve"> and </w:t>
      </w:r>
      <w:r w:rsidRPr="00740FD0">
        <w:rPr>
          <w:i/>
          <w:iCs/>
          <w:sz w:val="18"/>
          <w:szCs w:val="18"/>
        </w:rPr>
        <w:t>Woodhouse v. Snow Valley Resorts</w:t>
      </w:r>
      <w:r w:rsidRPr="00740FD0">
        <w:rPr>
          <w:sz w:val="18"/>
          <w:szCs w:val="18"/>
        </w:rPr>
        <w:t xml:space="preserve"> </w:t>
      </w:r>
      <w:r w:rsidR="003538D6" w:rsidRPr="00740FD0">
        <w:rPr>
          <w:sz w:val="18"/>
          <w:szCs w:val="18"/>
        </w:rPr>
        <w:t>(</w:t>
      </w:r>
      <w:r w:rsidRPr="00740FD0">
        <w:rPr>
          <w:sz w:val="18"/>
          <w:szCs w:val="18"/>
        </w:rPr>
        <w:t>(1987) Ltd., [2017] O.J. No. 232, 2017 ONSC 222 (Ont. S.C.J.)</w:t>
      </w:r>
      <w:r w:rsidR="003538D6" w:rsidRPr="00740FD0">
        <w:rPr>
          <w:sz w:val="18"/>
          <w:szCs w:val="18"/>
        </w:rPr>
        <w:t>)</w:t>
      </w:r>
      <w:r w:rsidRPr="00740FD0">
        <w:rPr>
          <w:sz w:val="18"/>
          <w:szCs w:val="18"/>
        </w:rPr>
        <w:t>.</w:t>
      </w:r>
    </w:p>
  </w:endnote>
  <w:endnote w:id="97">
    <w:p w14:paraId="558FEF9B" w14:textId="2CF303A6"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w:t>
      </w:r>
      <w:r w:rsidR="003538D6" w:rsidRPr="00740FD0">
        <w:rPr>
          <w:sz w:val="18"/>
          <w:szCs w:val="18"/>
        </w:rPr>
        <w:t xml:space="preserve">Suhuyini Abudulai, </w:t>
      </w:r>
      <w:r w:rsidR="003538D6" w:rsidRPr="00740FD0">
        <w:rPr>
          <w:i/>
          <w:iCs/>
          <w:sz w:val="18"/>
          <w:szCs w:val="18"/>
        </w:rPr>
        <w:t>The Annotated Ontario Consumer Protection Act, 2023 Edition</w:t>
      </w:r>
      <w:r w:rsidR="003538D6" w:rsidRPr="00740FD0">
        <w:rPr>
          <w:sz w:val="18"/>
          <w:szCs w:val="18"/>
        </w:rPr>
        <w:t xml:space="preserve"> (LexisNexis, October 2022) </w:t>
      </w:r>
      <w:r w:rsidRPr="00740FD0">
        <w:rPr>
          <w:sz w:val="18"/>
          <w:szCs w:val="18"/>
        </w:rPr>
        <w:t xml:space="preserve">at 34, citing </w:t>
      </w:r>
      <w:r w:rsidRPr="00740FD0">
        <w:rPr>
          <w:i/>
          <w:iCs/>
          <w:sz w:val="18"/>
          <w:szCs w:val="18"/>
        </w:rPr>
        <w:t>Ramdath v. George Brown College of Applied Arts and Technology</w:t>
      </w:r>
      <w:r w:rsidR="003538D6" w:rsidRPr="00740FD0">
        <w:rPr>
          <w:sz w:val="18"/>
          <w:szCs w:val="18"/>
        </w:rPr>
        <w:t xml:space="preserve"> (</w:t>
      </w:r>
      <w:r w:rsidRPr="00740FD0">
        <w:rPr>
          <w:sz w:val="18"/>
          <w:szCs w:val="18"/>
        </w:rPr>
        <w:t xml:space="preserve">[2012] O.J. No. 5389, 2012 ONSC 6173 (Ont. S.C.J.), </w:t>
      </w:r>
      <w:r w:rsidR="00396D12" w:rsidRPr="00740FD0">
        <w:rPr>
          <w:sz w:val="18"/>
          <w:szCs w:val="18"/>
        </w:rPr>
        <w:t>affirmed</w:t>
      </w:r>
      <w:r w:rsidRPr="00740FD0">
        <w:rPr>
          <w:sz w:val="18"/>
          <w:szCs w:val="18"/>
        </w:rPr>
        <w:t xml:space="preserve"> [2013] O.J. No. 3151, 2013 ONCA 468</w:t>
      </w:r>
      <w:r w:rsidR="003538D6" w:rsidRPr="00740FD0">
        <w:rPr>
          <w:sz w:val="18"/>
          <w:szCs w:val="18"/>
        </w:rPr>
        <w:t>)</w:t>
      </w:r>
      <w:r w:rsidRPr="00740FD0">
        <w:rPr>
          <w:sz w:val="18"/>
          <w:szCs w:val="18"/>
        </w:rPr>
        <w:t>.</w:t>
      </w:r>
    </w:p>
  </w:endnote>
  <w:endnote w:id="98">
    <w:p w14:paraId="37B3CC31" w14:textId="55FAD7AE" w:rsidR="00F81524" w:rsidRPr="00740FD0" w:rsidRDefault="00F81524">
      <w:pPr>
        <w:pStyle w:val="EndnoteText"/>
        <w:rPr>
          <w:sz w:val="18"/>
          <w:szCs w:val="18"/>
        </w:rPr>
      </w:pPr>
      <w:r w:rsidRPr="00740FD0">
        <w:rPr>
          <w:rStyle w:val="EndnoteReference"/>
          <w:sz w:val="18"/>
          <w:szCs w:val="18"/>
        </w:rPr>
        <w:endnoteRef/>
      </w:r>
      <w:r w:rsidRPr="00740FD0">
        <w:rPr>
          <w:sz w:val="18"/>
          <w:szCs w:val="18"/>
        </w:rPr>
        <w:t xml:space="preserve"> </w:t>
      </w:r>
      <w:r w:rsidR="00960B25" w:rsidRPr="00740FD0">
        <w:rPr>
          <w:sz w:val="18"/>
          <w:szCs w:val="18"/>
        </w:rPr>
        <w:t xml:space="preserve">Suhuyini Abudulai, </w:t>
      </w:r>
      <w:r w:rsidR="00960B25" w:rsidRPr="00740FD0">
        <w:rPr>
          <w:i/>
          <w:iCs/>
          <w:sz w:val="18"/>
          <w:szCs w:val="18"/>
        </w:rPr>
        <w:t>The Annotated Ontario Consumer Protection Act, 2023 Edition</w:t>
      </w:r>
      <w:r w:rsidR="00960B25" w:rsidRPr="00740FD0">
        <w:rPr>
          <w:sz w:val="18"/>
          <w:szCs w:val="18"/>
        </w:rPr>
        <w:t xml:space="preserve"> (LexisNexis, October 2022) </w:t>
      </w:r>
      <w:r w:rsidRPr="00740FD0">
        <w:rPr>
          <w:sz w:val="18"/>
          <w:szCs w:val="18"/>
        </w:rPr>
        <w:t xml:space="preserve">at 35, citing </w:t>
      </w:r>
      <w:r w:rsidRPr="00740FD0">
        <w:rPr>
          <w:i/>
          <w:iCs/>
          <w:sz w:val="18"/>
          <w:szCs w:val="18"/>
        </w:rPr>
        <w:t>Cannon v. Funds for Canada Foundation</w:t>
      </w:r>
      <w:r w:rsidR="00960B25" w:rsidRPr="00740FD0">
        <w:rPr>
          <w:sz w:val="18"/>
          <w:szCs w:val="18"/>
        </w:rPr>
        <w:t xml:space="preserve"> (</w:t>
      </w:r>
      <w:r w:rsidRPr="00740FD0">
        <w:rPr>
          <w:sz w:val="18"/>
          <w:szCs w:val="18"/>
        </w:rPr>
        <w:t>[2012] O.J. No. 168, 2012 ONSC 399 (Ont. S.C.J.), leave to appeal refused [2012] O.J. No. 5117, 2012 ONSC 6101 (Ont. Div. Ct.)</w:t>
      </w:r>
      <w:r w:rsidR="00960B25" w:rsidRPr="00740FD0">
        <w:rPr>
          <w:sz w:val="18"/>
          <w:szCs w:val="18"/>
        </w:rPr>
        <w:t>)</w:t>
      </w:r>
      <w:r w:rsidRPr="00740FD0">
        <w:rPr>
          <w:sz w:val="18"/>
          <w:szCs w:val="18"/>
        </w:rPr>
        <w:t xml:space="preserve"> and </w:t>
      </w:r>
      <w:r w:rsidRPr="00740FD0">
        <w:rPr>
          <w:i/>
          <w:iCs/>
          <w:sz w:val="18"/>
          <w:szCs w:val="18"/>
        </w:rPr>
        <w:t>B.C.R. Construction Inc. v. Humphrey</w:t>
      </w:r>
      <w:r w:rsidR="00960B25" w:rsidRPr="00740FD0">
        <w:rPr>
          <w:sz w:val="18"/>
          <w:szCs w:val="18"/>
        </w:rPr>
        <w:t xml:space="preserve"> (</w:t>
      </w:r>
      <w:r w:rsidRPr="00740FD0">
        <w:rPr>
          <w:sz w:val="18"/>
          <w:szCs w:val="18"/>
        </w:rPr>
        <w:t xml:space="preserve">[2013] O.J. No. 587, 2013 ONSC 751 (Ont. S.C.J.), </w:t>
      </w:r>
      <w:r w:rsidR="00396D12" w:rsidRPr="00740FD0">
        <w:rPr>
          <w:sz w:val="18"/>
          <w:szCs w:val="18"/>
        </w:rPr>
        <w:t>varied</w:t>
      </w:r>
      <w:r w:rsidRPr="00740FD0">
        <w:rPr>
          <w:sz w:val="18"/>
          <w:szCs w:val="18"/>
        </w:rPr>
        <w:t xml:space="preserve"> on other grounds [2014] O.J. No. 5806 (Ont. Div. Ct.)</w:t>
      </w:r>
      <w:r w:rsidR="00960B25" w:rsidRPr="00740FD0">
        <w:rPr>
          <w:sz w:val="18"/>
          <w:szCs w:val="18"/>
        </w:rPr>
        <w:t>)</w:t>
      </w:r>
      <w:r w:rsidRPr="00740FD0">
        <w:rPr>
          <w:sz w:val="18"/>
          <w:szCs w:val="18"/>
        </w:rPr>
        <w:t xml:space="preserve">. </w:t>
      </w:r>
    </w:p>
  </w:endnote>
  <w:endnote w:id="99">
    <w:p w14:paraId="58CD763A" w14:textId="4DC66BD2" w:rsidR="00C15443" w:rsidRPr="00740FD0" w:rsidRDefault="00C15443" w:rsidP="00C15443">
      <w:pPr>
        <w:pStyle w:val="EndnoteText"/>
        <w:rPr>
          <w:sz w:val="18"/>
          <w:szCs w:val="18"/>
        </w:rPr>
      </w:pPr>
      <w:r w:rsidRPr="00740FD0">
        <w:rPr>
          <w:rStyle w:val="EndnoteReference"/>
          <w:sz w:val="18"/>
          <w:szCs w:val="18"/>
        </w:rPr>
        <w:endnoteRef/>
      </w:r>
      <w:r w:rsidRPr="00740FD0">
        <w:rPr>
          <w:sz w:val="18"/>
          <w:szCs w:val="18"/>
        </w:rPr>
        <w:t xml:space="preserve"> “Consumer agreements” at CPA s. 4; “internet agreements” at CPA s. 37-40; “remote agreements” at CPA s. 44-47.</w:t>
      </w:r>
      <w:r w:rsidR="009E0094" w:rsidRPr="00740FD0">
        <w:rPr>
          <w:sz w:val="18"/>
          <w:szCs w:val="18"/>
        </w:rPr>
        <w:t xml:space="preserve"> </w:t>
      </w:r>
    </w:p>
  </w:endnote>
  <w:endnote w:id="100">
    <w:p w14:paraId="20B0C7B6" w14:textId="77777777" w:rsidR="00F81524" w:rsidRPr="00740FD0" w:rsidRDefault="00F81524" w:rsidP="00461A75">
      <w:pPr>
        <w:pStyle w:val="EndnoteText"/>
        <w:rPr>
          <w:sz w:val="18"/>
          <w:szCs w:val="18"/>
        </w:rPr>
      </w:pPr>
      <w:r w:rsidRPr="00740FD0">
        <w:rPr>
          <w:rStyle w:val="EndnoteReference"/>
          <w:sz w:val="18"/>
          <w:szCs w:val="18"/>
        </w:rPr>
        <w:endnoteRef/>
      </w:r>
      <w:r w:rsidRPr="00740FD0">
        <w:rPr>
          <w:sz w:val="18"/>
          <w:szCs w:val="18"/>
        </w:rPr>
        <w:t xml:space="preserve"> CPA s. 15.</w:t>
      </w:r>
    </w:p>
  </w:endnote>
  <w:endnote w:id="101">
    <w:p w14:paraId="146F8F8A" w14:textId="1775B9BA" w:rsidR="004E41A8" w:rsidRPr="00740FD0" w:rsidRDefault="004E41A8">
      <w:pPr>
        <w:pStyle w:val="EndnoteText"/>
        <w:rPr>
          <w:sz w:val="18"/>
          <w:szCs w:val="18"/>
        </w:rPr>
      </w:pPr>
      <w:r w:rsidRPr="00740FD0">
        <w:rPr>
          <w:rStyle w:val="EndnoteReference"/>
          <w:sz w:val="18"/>
          <w:szCs w:val="18"/>
        </w:rPr>
        <w:endnoteRef/>
      </w:r>
      <w:r w:rsidRPr="00740FD0">
        <w:rPr>
          <w:sz w:val="18"/>
          <w:szCs w:val="18"/>
        </w:rPr>
        <w:t xml:space="preserve"> Consumer</w:t>
      </w:r>
      <w:r w:rsidR="00960B25" w:rsidRPr="00740FD0">
        <w:rPr>
          <w:sz w:val="18"/>
          <w:szCs w:val="18"/>
        </w:rPr>
        <w:t>s</w:t>
      </w:r>
      <w:r w:rsidRPr="00740FD0">
        <w:rPr>
          <w:sz w:val="18"/>
          <w:szCs w:val="18"/>
        </w:rPr>
        <w:t xml:space="preserve"> may have a right to written contracts in various contexts, including internet agreements, direct agreements, and remote agreements, as well as in specific transactions like time share properties, loan brokering, or credit repair, among others. </w:t>
      </w:r>
    </w:p>
  </w:endnote>
  <w:endnote w:id="102">
    <w:p w14:paraId="38EA55C1" w14:textId="77777777" w:rsidR="00F81524" w:rsidRPr="00740FD0" w:rsidRDefault="00F81524" w:rsidP="00461A75">
      <w:pPr>
        <w:pStyle w:val="EndnoteText"/>
        <w:rPr>
          <w:sz w:val="18"/>
          <w:szCs w:val="18"/>
        </w:rPr>
      </w:pPr>
      <w:r w:rsidRPr="00740FD0">
        <w:rPr>
          <w:rStyle w:val="EndnoteReference"/>
          <w:sz w:val="18"/>
          <w:szCs w:val="18"/>
        </w:rPr>
        <w:endnoteRef/>
      </w:r>
      <w:r w:rsidRPr="00740FD0">
        <w:rPr>
          <w:sz w:val="18"/>
          <w:szCs w:val="18"/>
        </w:rPr>
        <w:t xml:space="preserve"> CPA s. 15.</w:t>
      </w:r>
    </w:p>
  </w:endnote>
  <w:endnote w:id="103">
    <w:p w14:paraId="24205746" w14:textId="2C124AA4" w:rsidR="00AA53AF" w:rsidRPr="00740FD0" w:rsidRDefault="00AA53AF" w:rsidP="00AA53AF">
      <w:pPr>
        <w:pStyle w:val="EndnoteText"/>
        <w:rPr>
          <w:sz w:val="18"/>
          <w:szCs w:val="18"/>
        </w:rPr>
      </w:pPr>
      <w:r w:rsidRPr="00740FD0">
        <w:rPr>
          <w:rStyle w:val="EndnoteReference"/>
          <w:sz w:val="18"/>
          <w:szCs w:val="18"/>
        </w:rPr>
        <w:endnoteRef/>
      </w:r>
      <w:r w:rsidRPr="00740FD0">
        <w:rPr>
          <w:sz w:val="18"/>
          <w:szCs w:val="18"/>
        </w:rPr>
        <w:t xml:space="preserve"> Ministry of Government and Consumer Services, </w:t>
      </w:r>
      <w:r w:rsidRPr="00740FD0">
        <w:rPr>
          <w:i/>
          <w:iCs/>
          <w:sz w:val="18"/>
          <w:szCs w:val="18"/>
        </w:rPr>
        <w:t xml:space="preserve">Improving Ontario’s Consumer Protection Act: Strengthening Consumer Protection in Ontario </w:t>
      </w:r>
      <w:r w:rsidRPr="00740FD0">
        <w:rPr>
          <w:sz w:val="18"/>
          <w:szCs w:val="18"/>
        </w:rPr>
        <w:t xml:space="preserve">(December 2020), </w:t>
      </w:r>
      <w:r w:rsidR="005C7149" w:rsidRPr="00740FD0">
        <w:rPr>
          <w:sz w:val="18"/>
          <w:szCs w:val="18"/>
        </w:rPr>
        <w:t xml:space="preserve">at 3, </w:t>
      </w:r>
      <w:r w:rsidRPr="00740FD0">
        <w:rPr>
          <w:sz w:val="18"/>
          <w:szCs w:val="18"/>
        </w:rPr>
        <w:t>online:</w:t>
      </w:r>
      <w:r w:rsidR="005C7149" w:rsidRPr="00740FD0">
        <w:rPr>
          <w:sz w:val="18"/>
          <w:szCs w:val="18"/>
        </w:rPr>
        <w:t xml:space="preserve"> </w:t>
      </w:r>
      <w:hyperlink r:id="rId104" w:history="1">
        <w:r w:rsidR="005C7149" w:rsidRPr="00740FD0">
          <w:rPr>
            <w:rStyle w:val="Hyperlink"/>
            <w:sz w:val="18"/>
            <w:szCs w:val="18"/>
          </w:rPr>
          <w:t>https://www.ontariocanada.com/registry/view.do?language=en&amp;postingId=35387</w:t>
        </w:r>
      </w:hyperlink>
      <w:r w:rsidRPr="00740FD0">
        <w:rPr>
          <w:sz w:val="18"/>
          <w:szCs w:val="18"/>
        </w:rPr>
        <w:t>.</w:t>
      </w:r>
    </w:p>
  </w:endnote>
  <w:endnote w:id="104">
    <w:p w14:paraId="10E88F47" w14:textId="77777777" w:rsidR="00F81524" w:rsidRPr="00740FD0" w:rsidRDefault="00F81524" w:rsidP="00461A75">
      <w:pPr>
        <w:pStyle w:val="EndnoteText"/>
        <w:rPr>
          <w:sz w:val="18"/>
          <w:szCs w:val="18"/>
        </w:rPr>
      </w:pPr>
      <w:r w:rsidRPr="00740FD0">
        <w:rPr>
          <w:rStyle w:val="EndnoteReference"/>
          <w:sz w:val="18"/>
          <w:szCs w:val="18"/>
        </w:rPr>
        <w:endnoteRef/>
      </w:r>
      <w:r w:rsidRPr="00740FD0">
        <w:rPr>
          <w:sz w:val="18"/>
          <w:szCs w:val="18"/>
        </w:rPr>
        <w:t xml:space="preserve"> CPA s. 7.</w:t>
      </w:r>
    </w:p>
  </w:endnote>
  <w:endnote w:id="105">
    <w:p w14:paraId="44CD592E" w14:textId="77777777" w:rsidR="00F81524" w:rsidRPr="00740FD0" w:rsidRDefault="00F81524" w:rsidP="00461A75">
      <w:pPr>
        <w:pStyle w:val="EndnoteText"/>
        <w:rPr>
          <w:sz w:val="18"/>
          <w:szCs w:val="18"/>
        </w:rPr>
      </w:pPr>
      <w:r w:rsidRPr="00740FD0">
        <w:rPr>
          <w:rStyle w:val="EndnoteReference"/>
          <w:sz w:val="18"/>
          <w:szCs w:val="18"/>
        </w:rPr>
        <w:endnoteRef/>
      </w:r>
      <w:r w:rsidRPr="00740FD0">
        <w:rPr>
          <w:sz w:val="18"/>
          <w:szCs w:val="18"/>
        </w:rPr>
        <w:t xml:space="preserve"> CPA s. 8.</w:t>
      </w:r>
    </w:p>
  </w:endnote>
  <w:endnote w:id="106">
    <w:p w14:paraId="56FDA653" w14:textId="72ECF083" w:rsidR="00B23DDF" w:rsidRPr="00740FD0" w:rsidRDefault="00B23DDF">
      <w:pPr>
        <w:pStyle w:val="EndnoteText"/>
        <w:rPr>
          <w:sz w:val="18"/>
          <w:szCs w:val="18"/>
        </w:rPr>
      </w:pPr>
      <w:r w:rsidRPr="00740FD0">
        <w:rPr>
          <w:rStyle w:val="EndnoteReference"/>
          <w:sz w:val="18"/>
          <w:szCs w:val="18"/>
        </w:rPr>
        <w:endnoteRef/>
      </w:r>
      <w:r w:rsidRPr="00740FD0">
        <w:rPr>
          <w:sz w:val="18"/>
          <w:szCs w:val="18"/>
        </w:rPr>
        <w:t xml:space="preserve"> CPA s. 7. </w:t>
      </w:r>
    </w:p>
  </w:endnote>
  <w:endnote w:id="107">
    <w:p w14:paraId="2E4C3DD9" w14:textId="01BD7B9C" w:rsidR="00B23DDF" w:rsidRPr="00740FD0" w:rsidRDefault="00B23DDF">
      <w:pPr>
        <w:pStyle w:val="EndnoteText"/>
        <w:rPr>
          <w:sz w:val="18"/>
          <w:szCs w:val="18"/>
        </w:rPr>
      </w:pPr>
      <w:r w:rsidRPr="00740FD0">
        <w:rPr>
          <w:rStyle w:val="EndnoteReference"/>
          <w:sz w:val="18"/>
          <w:szCs w:val="18"/>
        </w:rPr>
        <w:endnoteRef/>
      </w:r>
      <w:r w:rsidRPr="00740FD0">
        <w:rPr>
          <w:sz w:val="18"/>
          <w:szCs w:val="18"/>
        </w:rPr>
        <w:t xml:space="preserve"> CPA s. 8.</w:t>
      </w:r>
    </w:p>
  </w:endnote>
  <w:endnote w:id="108">
    <w:p w14:paraId="44649D9F" w14:textId="2F844064" w:rsidR="00720449" w:rsidRPr="00740FD0" w:rsidRDefault="00720449">
      <w:pPr>
        <w:pStyle w:val="EndnoteText"/>
        <w:rPr>
          <w:sz w:val="18"/>
          <w:szCs w:val="18"/>
        </w:rPr>
      </w:pPr>
      <w:r w:rsidRPr="00740FD0">
        <w:rPr>
          <w:rStyle w:val="EndnoteReference"/>
          <w:sz w:val="18"/>
          <w:szCs w:val="18"/>
        </w:rPr>
        <w:endnoteRef/>
      </w:r>
      <w:r w:rsidRPr="00740FD0">
        <w:rPr>
          <w:sz w:val="18"/>
          <w:szCs w:val="18"/>
        </w:rPr>
        <w:t xml:space="preserve"> CPA s. 9.</w:t>
      </w:r>
    </w:p>
  </w:endnote>
  <w:endnote w:id="109">
    <w:p w14:paraId="0021A915" w14:textId="68F1EA6E" w:rsidR="00720449" w:rsidRPr="00740FD0" w:rsidRDefault="00720449">
      <w:pPr>
        <w:pStyle w:val="EndnoteText"/>
        <w:rPr>
          <w:sz w:val="18"/>
          <w:szCs w:val="18"/>
        </w:rPr>
      </w:pPr>
      <w:r w:rsidRPr="00740FD0">
        <w:rPr>
          <w:rStyle w:val="EndnoteReference"/>
          <w:sz w:val="18"/>
          <w:szCs w:val="18"/>
        </w:rPr>
        <w:endnoteRef/>
      </w:r>
      <w:r w:rsidRPr="00740FD0">
        <w:rPr>
          <w:sz w:val="18"/>
          <w:szCs w:val="18"/>
        </w:rPr>
        <w:t xml:space="preserve"> CPA s. 11.</w:t>
      </w:r>
    </w:p>
  </w:endnote>
  <w:endnote w:id="110">
    <w:p w14:paraId="17CC3AFD" w14:textId="45D8AA7B" w:rsidR="00720449" w:rsidRPr="00740FD0" w:rsidRDefault="00720449">
      <w:pPr>
        <w:pStyle w:val="EndnoteText"/>
        <w:rPr>
          <w:sz w:val="18"/>
          <w:szCs w:val="18"/>
        </w:rPr>
      </w:pPr>
      <w:r w:rsidRPr="00740FD0">
        <w:rPr>
          <w:rStyle w:val="EndnoteReference"/>
          <w:sz w:val="18"/>
          <w:szCs w:val="18"/>
        </w:rPr>
        <w:endnoteRef/>
      </w:r>
      <w:r w:rsidRPr="00740FD0">
        <w:rPr>
          <w:sz w:val="18"/>
          <w:szCs w:val="18"/>
        </w:rPr>
        <w:t xml:space="preserve"> CPA s. 13. </w:t>
      </w:r>
    </w:p>
  </w:endnote>
  <w:endnote w:id="111">
    <w:p w14:paraId="41A18D4D" w14:textId="5E4A2E04" w:rsidR="001D4D00" w:rsidRPr="00740FD0" w:rsidRDefault="001D4D00">
      <w:pPr>
        <w:pStyle w:val="EndnoteText"/>
        <w:rPr>
          <w:sz w:val="18"/>
          <w:szCs w:val="18"/>
        </w:rPr>
      </w:pPr>
      <w:r w:rsidRPr="00740FD0">
        <w:rPr>
          <w:rStyle w:val="EndnoteReference"/>
          <w:sz w:val="18"/>
          <w:szCs w:val="18"/>
        </w:rPr>
        <w:endnoteRef/>
      </w:r>
      <w:r w:rsidRPr="00740FD0">
        <w:rPr>
          <w:sz w:val="18"/>
          <w:szCs w:val="18"/>
        </w:rPr>
        <w:t xml:space="preserve"> CPA s. 14. </w:t>
      </w:r>
    </w:p>
  </w:endnote>
  <w:endnote w:id="112">
    <w:p w14:paraId="2AE17030" w14:textId="068D91E6" w:rsidR="001D4D00" w:rsidRPr="00740FD0" w:rsidRDefault="001D4D00">
      <w:pPr>
        <w:pStyle w:val="EndnoteText"/>
        <w:rPr>
          <w:sz w:val="18"/>
          <w:szCs w:val="18"/>
        </w:rPr>
      </w:pPr>
      <w:r w:rsidRPr="00740FD0">
        <w:rPr>
          <w:rStyle w:val="EndnoteReference"/>
          <w:sz w:val="18"/>
          <w:szCs w:val="18"/>
        </w:rPr>
        <w:endnoteRef/>
      </w:r>
      <w:r w:rsidRPr="00740FD0">
        <w:rPr>
          <w:sz w:val="18"/>
          <w:szCs w:val="18"/>
        </w:rPr>
        <w:t xml:space="preserve"> CPA s. 15. </w:t>
      </w:r>
      <w:r w:rsidR="006C15B9" w:rsidRPr="00740FD0">
        <w:rPr>
          <w:sz w:val="18"/>
          <w:szCs w:val="18"/>
        </w:rPr>
        <w:t xml:space="preserve">Notably, legal scholars have been consistently concerned that common law of unconscionability is inadequate. See for example SM </w:t>
      </w:r>
      <w:r w:rsidR="006C15B9" w:rsidRPr="00740FD0">
        <w:rPr>
          <w:sz w:val="18"/>
          <w:szCs w:val="18"/>
        </w:rPr>
        <w:t xml:space="preserve">Waddams, </w:t>
      </w:r>
      <w:r w:rsidR="006C15B9" w:rsidRPr="00740FD0">
        <w:rPr>
          <w:i/>
          <w:iCs/>
          <w:sz w:val="18"/>
          <w:szCs w:val="18"/>
        </w:rPr>
        <w:t>Sanctity of Contracts in a Secular Age: Equity, Fairness and Enrichment</w:t>
      </w:r>
      <w:r w:rsidR="006C15B9" w:rsidRPr="00740FD0">
        <w:rPr>
          <w:sz w:val="18"/>
          <w:szCs w:val="18"/>
        </w:rPr>
        <w:t xml:space="preserve"> (Cambridge University Press, 2019) at 97.</w:t>
      </w:r>
    </w:p>
  </w:endnote>
  <w:endnote w:id="113">
    <w:p w14:paraId="7482F689" w14:textId="2830AC08" w:rsidR="001D4D00" w:rsidRPr="00740FD0" w:rsidRDefault="001D4D00">
      <w:pPr>
        <w:pStyle w:val="EndnoteText"/>
        <w:rPr>
          <w:sz w:val="18"/>
          <w:szCs w:val="18"/>
        </w:rPr>
      </w:pPr>
      <w:r w:rsidRPr="00740FD0">
        <w:rPr>
          <w:rStyle w:val="EndnoteReference"/>
          <w:sz w:val="18"/>
          <w:szCs w:val="18"/>
        </w:rPr>
        <w:endnoteRef/>
      </w:r>
      <w:r w:rsidRPr="00740FD0">
        <w:rPr>
          <w:sz w:val="18"/>
          <w:szCs w:val="18"/>
        </w:rPr>
        <w:t xml:space="preserve"> CPA s. 16. </w:t>
      </w:r>
    </w:p>
  </w:endnote>
  <w:endnote w:id="114">
    <w:p w14:paraId="551D4D56" w14:textId="3C3F89D9" w:rsidR="001D4D00" w:rsidRPr="00740FD0" w:rsidRDefault="001D4D00">
      <w:pPr>
        <w:pStyle w:val="EndnoteText"/>
        <w:rPr>
          <w:sz w:val="18"/>
          <w:szCs w:val="18"/>
        </w:rPr>
      </w:pPr>
      <w:r w:rsidRPr="00740FD0">
        <w:rPr>
          <w:rStyle w:val="EndnoteReference"/>
          <w:sz w:val="18"/>
          <w:szCs w:val="18"/>
        </w:rPr>
        <w:endnoteRef/>
      </w:r>
      <w:r w:rsidRPr="00740FD0">
        <w:rPr>
          <w:sz w:val="18"/>
          <w:szCs w:val="18"/>
        </w:rPr>
        <w:t xml:space="preserve"> CPA s. 18. </w:t>
      </w:r>
    </w:p>
  </w:endnote>
  <w:endnote w:id="115">
    <w:p w14:paraId="3A2CCA6C" w14:textId="4D630C1E" w:rsidR="00E062C3" w:rsidRPr="00740FD0" w:rsidRDefault="00E062C3">
      <w:pPr>
        <w:pStyle w:val="EndnoteText"/>
        <w:rPr>
          <w:sz w:val="18"/>
          <w:szCs w:val="18"/>
        </w:rPr>
      </w:pPr>
      <w:r w:rsidRPr="00740FD0">
        <w:rPr>
          <w:rStyle w:val="EndnoteReference"/>
          <w:sz w:val="18"/>
          <w:szCs w:val="18"/>
        </w:rPr>
        <w:endnoteRef/>
      </w:r>
      <w:r w:rsidRPr="00740FD0">
        <w:rPr>
          <w:sz w:val="18"/>
          <w:szCs w:val="18"/>
        </w:rPr>
        <w:t xml:space="preserve"> </w:t>
      </w:r>
      <w:r w:rsidR="00AB4E8B" w:rsidRPr="00740FD0">
        <w:rPr>
          <w:i/>
          <w:iCs/>
          <w:sz w:val="18"/>
          <w:szCs w:val="18"/>
        </w:rPr>
        <w:t>Canada Consumer Product Safety Act</w:t>
      </w:r>
      <w:r w:rsidR="00AB4E8B" w:rsidRPr="00740FD0">
        <w:rPr>
          <w:sz w:val="18"/>
          <w:szCs w:val="18"/>
        </w:rPr>
        <w:t xml:space="preserve"> ( S.C. 2010, c. 21); </w:t>
      </w:r>
      <w:r w:rsidR="00AB4E8B" w:rsidRPr="00740FD0">
        <w:rPr>
          <w:i/>
          <w:iCs/>
          <w:sz w:val="18"/>
          <w:szCs w:val="18"/>
        </w:rPr>
        <w:t>Consumer Packaging and Labelling Act</w:t>
      </w:r>
      <w:r w:rsidR="00AB4E8B" w:rsidRPr="00740FD0">
        <w:rPr>
          <w:sz w:val="18"/>
          <w:szCs w:val="18"/>
        </w:rPr>
        <w:t xml:space="preserve"> (R.S.C., 1985, c. C-38); see </w:t>
      </w:r>
      <w:r w:rsidR="00AB4E8B" w:rsidRPr="00740FD0">
        <w:rPr>
          <w:i/>
          <w:iCs/>
          <w:sz w:val="18"/>
          <w:szCs w:val="18"/>
        </w:rPr>
        <w:t>The Wireless Code</w:t>
      </w:r>
      <w:r w:rsidR="00AB4E8B" w:rsidRPr="00740FD0">
        <w:rPr>
          <w:sz w:val="18"/>
          <w:szCs w:val="18"/>
        </w:rPr>
        <w:t xml:space="preserve"> at </w:t>
      </w:r>
      <w:hyperlink r:id="rId105" w:history="1">
        <w:r w:rsidR="00AB4E8B" w:rsidRPr="00740FD0">
          <w:rPr>
            <w:rStyle w:val="Hyperlink"/>
            <w:sz w:val="18"/>
            <w:szCs w:val="18"/>
          </w:rPr>
          <w:t>https://crtc.gc.ca/eng/phone/mobile/codesimpl.htm</w:t>
        </w:r>
      </w:hyperlink>
      <w:r w:rsidR="00AB4E8B" w:rsidRPr="00740FD0">
        <w:rPr>
          <w:sz w:val="18"/>
          <w:szCs w:val="18"/>
        </w:rPr>
        <w:t xml:space="preserve">; and </w:t>
      </w:r>
      <w:r w:rsidR="00AB4E8B" w:rsidRPr="00740FD0">
        <w:rPr>
          <w:i/>
          <w:iCs/>
          <w:sz w:val="18"/>
          <w:szCs w:val="18"/>
        </w:rPr>
        <w:t>Financial Consumer Agency of Canada Act</w:t>
      </w:r>
      <w:r w:rsidR="00AB4E8B" w:rsidRPr="00740FD0">
        <w:rPr>
          <w:sz w:val="18"/>
          <w:szCs w:val="18"/>
        </w:rPr>
        <w:t xml:space="preserve"> (S.C. 2001, c. 9). For a more complete list see Innovation, Science and Economic Development Canada, “Federal consumer protection legislation in Canada,” online: </w:t>
      </w:r>
      <w:hyperlink r:id="rId106" w:history="1">
        <w:r w:rsidRPr="00740FD0">
          <w:rPr>
            <w:rStyle w:val="Hyperlink"/>
            <w:sz w:val="18"/>
            <w:szCs w:val="18"/>
          </w:rPr>
          <w:t>https://ised-isde.canada.ca/site/office-consumer-affairs/en/federal-consumer-protection-legislation-canada</w:t>
        </w:r>
      </w:hyperlink>
      <w:r w:rsidRPr="00740FD0">
        <w:rPr>
          <w:sz w:val="18"/>
          <w:szCs w:val="18"/>
        </w:rPr>
        <w:t xml:space="preserve">. </w:t>
      </w:r>
    </w:p>
  </w:endnote>
  <w:endnote w:id="116">
    <w:p w14:paraId="4364FC89" w14:textId="06A2A288" w:rsidR="00D13DC9" w:rsidRPr="00740FD0" w:rsidRDefault="00D13DC9">
      <w:pPr>
        <w:pStyle w:val="EndnoteText"/>
        <w:rPr>
          <w:sz w:val="18"/>
          <w:szCs w:val="18"/>
        </w:rPr>
      </w:pPr>
      <w:r w:rsidRPr="00740FD0">
        <w:rPr>
          <w:rStyle w:val="EndnoteReference"/>
          <w:sz w:val="18"/>
          <w:szCs w:val="18"/>
        </w:rPr>
        <w:endnoteRef/>
      </w:r>
      <w:r w:rsidRPr="00740FD0">
        <w:rPr>
          <w:sz w:val="18"/>
          <w:szCs w:val="18"/>
        </w:rPr>
        <w:t xml:space="preserve"> </w:t>
      </w:r>
      <w:r w:rsidR="00247E1E" w:rsidRPr="00740FD0">
        <w:rPr>
          <w:i/>
          <w:iCs/>
          <w:sz w:val="18"/>
          <w:szCs w:val="18"/>
        </w:rPr>
        <w:t>Payday Loans Act, 2008</w:t>
      </w:r>
      <w:r w:rsidR="00247E1E" w:rsidRPr="00740FD0">
        <w:rPr>
          <w:sz w:val="18"/>
          <w:szCs w:val="18"/>
        </w:rPr>
        <w:t xml:space="preserve">, SO 2008, c 9; </w:t>
      </w:r>
      <w:r w:rsidR="00247E1E" w:rsidRPr="00740FD0">
        <w:rPr>
          <w:i/>
          <w:iCs/>
          <w:sz w:val="18"/>
          <w:szCs w:val="18"/>
        </w:rPr>
        <w:t>Funeral, Burial and Cremation Services Act, 2002</w:t>
      </w:r>
      <w:r w:rsidR="00247E1E" w:rsidRPr="00740FD0">
        <w:rPr>
          <w:sz w:val="18"/>
          <w:szCs w:val="18"/>
        </w:rPr>
        <w:t xml:space="preserve">, SO 2002, c 33; </w:t>
      </w:r>
      <w:r w:rsidR="00247E1E" w:rsidRPr="00740FD0">
        <w:rPr>
          <w:i/>
          <w:iCs/>
          <w:sz w:val="18"/>
          <w:szCs w:val="18"/>
        </w:rPr>
        <w:t>Condominium Act, 1998,</w:t>
      </w:r>
      <w:r w:rsidR="00247E1E" w:rsidRPr="00740FD0">
        <w:rPr>
          <w:sz w:val="18"/>
          <w:szCs w:val="18"/>
        </w:rPr>
        <w:t xml:space="preserve"> SO 1998, c 19</w:t>
      </w:r>
      <w:r w:rsidR="00247E1E" w:rsidRPr="00740FD0">
        <w:rPr>
          <w:i/>
          <w:iCs/>
          <w:sz w:val="18"/>
          <w:szCs w:val="18"/>
        </w:rPr>
        <w:t xml:space="preserve">; Ontario New Home Warranties Plan Act, </w:t>
      </w:r>
      <w:r w:rsidR="00247E1E" w:rsidRPr="00740FD0">
        <w:rPr>
          <w:sz w:val="18"/>
          <w:szCs w:val="18"/>
        </w:rPr>
        <w:t xml:space="preserve">RSO 1990, c O.31; </w:t>
      </w:r>
      <w:r w:rsidR="00247E1E" w:rsidRPr="00740FD0">
        <w:rPr>
          <w:i/>
          <w:iCs/>
          <w:sz w:val="18"/>
          <w:szCs w:val="18"/>
        </w:rPr>
        <w:t>Real Estate and Business Brokers Act, 2002</w:t>
      </w:r>
      <w:r w:rsidR="00247E1E" w:rsidRPr="00740FD0">
        <w:rPr>
          <w:sz w:val="18"/>
          <w:szCs w:val="18"/>
        </w:rPr>
        <w:t xml:space="preserve">, SO 2002, c 30, Sch C; </w:t>
      </w:r>
      <w:r w:rsidR="00247E1E" w:rsidRPr="00740FD0">
        <w:rPr>
          <w:i/>
          <w:iCs/>
          <w:sz w:val="18"/>
          <w:szCs w:val="18"/>
        </w:rPr>
        <w:t>Travel Industry Act, 2002</w:t>
      </w:r>
      <w:r w:rsidR="00247E1E" w:rsidRPr="00740FD0">
        <w:rPr>
          <w:sz w:val="18"/>
          <w:szCs w:val="18"/>
        </w:rPr>
        <w:t xml:space="preserve">, SO 2002, c 30, Sch D; </w:t>
      </w:r>
      <w:r w:rsidR="00247E1E" w:rsidRPr="00740FD0">
        <w:rPr>
          <w:i/>
          <w:iCs/>
          <w:sz w:val="18"/>
          <w:szCs w:val="18"/>
        </w:rPr>
        <w:t>Energy Consumer Protection Act, 2009,</w:t>
      </w:r>
      <w:r w:rsidR="00247E1E" w:rsidRPr="00740FD0">
        <w:rPr>
          <w:sz w:val="18"/>
          <w:szCs w:val="18"/>
        </w:rPr>
        <w:t xml:space="preserve"> SO 2010, c 8. </w:t>
      </w:r>
      <w:r w:rsidR="00025EDC" w:rsidRPr="00740FD0">
        <w:rPr>
          <w:sz w:val="18"/>
          <w:szCs w:val="18"/>
        </w:rPr>
        <w:t xml:space="preserve">For an overview of </w:t>
      </w:r>
      <w:r w:rsidRPr="00740FD0">
        <w:rPr>
          <w:sz w:val="18"/>
          <w:szCs w:val="18"/>
        </w:rPr>
        <w:t>other consumer protection laws available in Ontario</w:t>
      </w:r>
      <w:r w:rsidR="00025EDC" w:rsidRPr="00740FD0">
        <w:rPr>
          <w:sz w:val="18"/>
          <w:szCs w:val="18"/>
        </w:rPr>
        <w:t xml:space="preserve"> see</w:t>
      </w:r>
      <w:r w:rsidR="00247E1E" w:rsidRPr="00740FD0">
        <w:rPr>
          <w:sz w:val="18"/>
          <w:szCs w:val="18"/>
        </w:rPr>
        <w:t xml:space="preserve"> “Consumer protection laws in Ontario” at </w:t>
      </w:r>
      <w:hyperlink r:id="rId107" w:history="1">
        <w:r w:rsidR="00025EDC" w:rsidRPr="00740FD0">
          <w:rPr>
            <w:rStyle w:val="Hyperlink"/>
            <w:sz w:val="18"/>
            <w:szCs w:val="18"/>
          </w:rPr>
          <w:t>https://www.ontario.ca/page/consumer-protection-laws-ontario</w:t>
        </w:r>
      </w:hyperlink>
      <w:r w:rsidR="00247E1E" w:rsidRPr="00740FD0">
        <w:rPr>
          <w:sz w:val="18"/>
          <w:szCs w:val="18"/>
        </w:rPr>
        <w:t xml:space="preserve"> and “Filing a consumer complaint” at </w:t>
      </w:r>
      <w:hyperlink r:id="rId108" w:history="1">
        <w:r w:rsidR="00E358AD" w:rsidRPr="00740FD0">
          <w:rPr>
            <w:rStyle w:val="Hyperlink"/>
            <w:sz w:val="18"/>
            <w:szCs w:val="18"/>
          </w:rPr>
          <w:t>https://www.ontario.ca/page/filing-consumer-complaint</w:t>
        </w:r>
      </w:hyperlink>
      <w:r w:rsidR="00E358AD" w:rsidRPr="00740FD0">
        <w:rPr>
          <w:sz w:val="18"/>
          <w:szCs w:val="18"/>
        </w:rPr>
        <w:t xml:space="preserve">. </w:t>
      </w:r>
    </w:p>
  </w:endnote>
  <w:endnote w:id="117">
    <w:p w14:paraId="116E3F74" w14:textId="5B246A53" w:rsidR="00795A18" w:rsidRPr="00740FD0" w:rsidRDefault="00795A18">
      <w:pPr>
        <w:pStyle w:val="EndnoteText"/>
        <w:rPr>
          <w:sz w:val="18"/>
          <w:szCs w:val="18"/>
        </w:rPr>
      </w:pPr>
      <w:r w:rsidRPr="00740FD0">
        <w:rPr>
          <w:rStyle w:val="EndnoteReference"/>
          <w:sz w:val="18"/>
          <w:szCs w:val="18"/>
        </w:rPr>
        <w:endnoteRef/>
      </w:r>
      <w:r w:rsidRPr="00740FD0">
        <w:rPr>
          <w:sz w:val="18"/>
          <w:szCs w:val="18"/>
        </w:rPr>
        <w:t xml:space="preserve"> </w:t>
      </w:r>
      <w:r w:rsidR="00247E1E" w:rsidRPr="00740FD0">
        <w:rPr>
          <w:sz w:val="18"/>
          <w:szCs w:val="18"/>
        </w:rPr>
        <w:t xml:space="preserve">Ontario Central Forms Repository, “Residential Tenancy Agreement (Standard Form of Lease)” online: </w:t>
      </w:r>
      <w:hyperlink r:id="rId109" w:history="1">
        <w:r w:rsidR="00247E1E" w:rsidRPr="00740FD0">
          <w:rPr>
            <w:rStyle w:val="Hyperlink"/>
            <w:sz w:val="18"/>
            <w:szCs w:val="18"/>
          </w:rPr>
          <w:t>https://forms.mgcs.gov.on.ca/en/dataset/047-2229</w:t>
        </w:r>
      </w:hyperlink>
      <w:r w:rsidR="00247E1E" w:rsidRPr="00740FD0">
        <w:rPr>
          <w:sz w:val="18"/>
          <w:szCs w:val="18"/>
        </w:rPr>
        <w:t xml:space="preserve">. </w:t>
      </w:r>
    </w:p>
  </w:endnote>
  <w:endnote w:id="118">
    <w:p w14:paraId="1D80553E" w14:textId="497946B3" w:rsidR="006968E6" w:rsidRPr="00740FD0" w:rsidRDefault="006968E6">
      <w:pPr>
        <w:pStyle w:val="EndnoteText"/>
        <w:rPr>
          <w:sz w:val="18"/>
          <w:szCs w:val="18"/>
        </w:rPr>
      </w:pPr>
      <w:r w:rsidRPr="00740FD0">
        <w:rPr>
          <w:rStyle w:val="EndnoteReference"/>
          <w:sz w:val="18"/>
          <w:szCs w:val="18"/>
        </w:rPr>
        <w:endnoteRef/>
      </w:r>
      <w:r w:rsidRPr="00740FD0">
        <w:rPr>
          <w:sz w:val="18"/>
          <w:szCs w:val="18"/>
        </w:rPr>
        <w:t xml:space="preserve"> </w:t>
      </w:r>
      <w:r w:rsidR="00247E1E" w:rsidRPr="00740FD0">
        <w:rPr>
          <w:sz w:val="18"/>
          <w:szCs w:val="18"/>
        </w:rPr>
        <w:t xml:space="preserve">See VQA Ontario online: </w:t>
      </w:r>
      <w:hyperlink r:id="rId110" w:history="1">
        <w:r w:rsidR="00247E1E" w:rsidRPr="00740FD0">
          <w:rPr>
            <w:rStyle w:val="Hyperlink"/>
            <w:sz w:val="18"/>
            <w:szCs w:val="18"/>
          </w:rPr>
          <w:t>https://vqaontario.ca/vqa-wine-program/wine-certification/</w:t>
        </w:r>
      </w:hyperlink>
      <w:r w:rsidR="00247E1E" w:rsidRPr="00740FD0">
        <w:rPr>
          <w:sz w:val="18"/>
          <w:szCs w:val="18"/>
        </w:rPr>
        <w:t xml:space="preserve">. </w:t>
      </w:r>
    </w:p>
  </w:endnote>
  <w:endnote w:id="119">
    <w:p w14:paraId="3F56EF0C" w14:textId="74F19A7C" w:rsidR="006968E6" w:rsidRPr="00740FD0" w:rsidRDefault="006968E6">
      <w:pPr>
        <w:pStyle w:val="EndnoteText"/>
        <w:rPr>
          <w:sz w:val="18"/>
          <w:szCs w:val="18"/>
        </w:rPr>
      </w:pPr>
      <w:r w:rsidRPr="00740FD0">
        <w:rPr>
          <w:rStyle w:val="EndnoteReference"/>
          <w:sz w:val="18"/>
          <w:szCs w:val="18"/>
        </w:rPr>
        <w:endnoteRef/>
      </w:r>
      <w:r w:rsidRPr="00740FD0">
        <w:rPr>
          <w:sz w:val="18"/>
          <w:szCs w:val="18"/>
        </w:rPr>
        <w:t xml:space="preserve"> </w:t>
      </w:r>
      <w:r w:rsidR="00247E1E" w:rsidRPr="00740FD0">
        <w:rPr>
          <w:sz w:val="18"/>
          <w:szCs w:val="18"/>
        </w:rPr>
        <w:t xml:space="preserve">See CSA Group online: </w:t>
      </w:r>
      <w:hyperlink r:id="rId111" w:history="1">
        <w:r w:rsidR="00247E1E" w:rsidRPr="00740FD0">
          <w:rPr>
            <w:rStyle w:val="Hyperlink"/>
            <w:sz w:val="18"/>
            <w:szCs w:val="18"/>
          </w:rPr>
          <w:t>https://www.csagroup.org/testing-certification/certification/</w:t>
        </w:r>
      </w:hyperlink>
      <w:r w:rsidR="00247E1E" w:rsidRPr="00740FD0">
        <w:rPr>
          <w:sz w:val="18"/>
          <w:szCs w:val="18"/>
        </w:rPr>
        <w:t xml:space="preserve">. </w:t>
      </w:r>
    </w:p>
  </w:endnote>
  <w:endnote w:id="120">
    <w:p w14:paraId="062F34FA" w14:textId="77777777" w:rsidR="00F81524" w:rsidRPr="00740FD0" w:rsidRDefault="00F81524" w:rsidP="008A4F68">
      <w:pPr>
        <w:pStyle w:val="EndnoteText"/>
        <w:rPr>
          <w:sz w:val="18"/>
          <w:szCs w:val="18"/>
        </w:rPr>
      </w:pPr>
      <w:r w:rsidRPr="00740FD0">
        <w:rPr>
          <w:rStyle w:val="EndnoteReference"/>
          <w:sz w:val="18"/>
          <w:szCs w:val="18"/>
        </w:rPr>
        <w:endnoteRef/>
      </w:r>
      <w:r w:rsidRPr="00740FD0">
        <w:rPr>
          <w:sz w:val="18"/>
          <w:szCs w:val="18"/>
        </w:rPr>
        <w:t xml:space="preserve"> The LCO has prepared research tables comparing consumer protection legislation in provinces across Canada, compiled as </w:t>
      </w:r>
      <w:r w:rsidRPr="00740FD0">
        <w:rPr>
          <w:i/>
          <w:iCs/>
          <w:sz w:val="18"/>
          <w:szCs w:val="18"/>
        </w:rPr>
        <w:t>Research Annex A: Comparison of Provincial Consumer Welfare Legislation across Canada</w:t>
      </w:r>
      <w:r w:rsidRPr="00740FD0">
        <w:rPr>
          <w:sz w:val="18"/>
          <w:szCs w:val="18"/>
        </w:rPr>
        <w:t>. The LCO is pleased to make this research available upon request.</w:t>
      </w:r>
    </w:p>
  </w:endnote>
  <w:endnote w:id="121">
    <w:p w14:paraId="5C101111" w14:textId="77777777" w:rsidR="00F81524" w:rsidRPr="00740FD0" w:rsidRDefault="00F81524" w:rsidP="008A4F68">
      <w:pPr>
        <w:pStyle w:val="EndnoteText"/>
        <w:rPr>
          <w:sz w:val="18"/>
          <w:szCs w:val="18"/>
        </w:rPr>
      </w:pPr>
      <w:r w:rsidRPr="00740FD0">
        <w:rPr>
          <w:rStyle w:val="EndnoteReference"/>
          <w:sz w:val="18"/>
          <w:szCs w:val="18"/>
        </w:rPr>
        <w:endnoteRef/>
      </w:r>
      <w:r w:rsidRPr="00740FD0">
        <w:rPr>
          <w:sz w:val="18"/>
          <w:szCs w:val="18"/>
        </w:rPr>
        <w:t xml:space="preserve"> Depending on which Act is being referenced, some Acts apply to transactions regardless of if there is a consumer involved, and some specifically state “consumer transactions.”</w:t>
      </w:r>
    </w:p>
  </w:endnote>
  <w:endnote w:id="122">
    <w:p w14:paraId="6F6BA67E" w14:textId="071CAF31" w:rsidR="00F81524" w:rsidRPr="00740FD0" w:rsidRDefault="00F81524" w:rsidP="008A4F68">
      <w:pPr>
        <w:pStyle w:val="EndnoteText"/>
        <w:rPr>
          <w:sz w:val="18"/>
          <w:szCs w:val="18"/>
        </w:rPr>
      </w:pPr>
      <w:r w:rsidRPr="00740FD0">
        <w:rPr>
          <w:rStyle w:val="EndnoteReference"/>
          <w:sz w:val="18"/>
          <w:szCs w:val="18"/>
        </w:rPr>
        <w:endnoteRef/>
      </w:r>
      <w:r w:rsidRPr="00740FD0">
        <w:rPr>
          <w:sz w:val="18"/>
          <w:szCs w:val="18"/>
        </w:rPr>
        <w:t xml:space="preserve"> Since the 1880 Supreme Court of Canada ruling in </w:t>
      </w:r>
      <w:r w:rsidRPr="00740FD0">
        <w:rPr>
          <w:i/>
          <w:iCs/>
          <w:sz w:val="18"/>
          <w:szCs w:val="18"/>
        </w:rPr>
        <w:t>Citizens Insurance v Parsons</w:t>
      </w:r>
      <w:r w:rsidRPr="00740FD0">
        <w:rPr>
          <w:sz w:val="18"/>
          <w:szCs w:val="18"/>
        </w:rPr>
        <w:t xml:space="preserve">, the constitutional interpretation of s.91(2) of the </w:t>
      </w:r>
      <w:r w:rsidRPr="00740FD0">
        <w:rPr>
          <w:i/>
          <w:iCs/>
          <w:sz w:val="18"/>
          <w:szCs w:val="18"/>
        </w:rPr>
        <w:t xml:space="preserve">Constitution Act, 1867 </w:t>
      </w:r>
      <w:r w:rsidRPr="00740FD0">
        <w:rPr>
          <w:sz w:val="18"/>
          <w:szCs w:val="18"/>
        </w:rPr>
        <w:t xml:space="preserve">is constrained. In s.91(2), Parliament has exclusive jurisdiction to pass laws in relation to “trade and commerce.” There is extensive overlap between the provincial jurisdiction of s.92(13). Section 91(2)’s broad, sweeping powers have been replaced with an interpretative approach of “mutual modification” aimed at limiting the degree of overlap between the two sections. </w:t>
      </w:r>
      <w:r w:rsidRPr="00740FD0">
        <w:rPr>
          <w:sz w:val="18"/>
          <w:szCs w:val="18"/>
          <w:lang w:val="en-US"/>
        </w:rPr>
        <w:t xml:space="preserve">This landmark decision meant that provincial bodies have expansive powers under s.92(13) </w:t>
      </w:r>
      <w:r w:rsidRPr="00740FD0">
        <w:rPr>
          <w:sz w:val="18"/>
          <w:szCs w:val="18"/>
          <w:lang w:val="en-US"/>
        </w:rPr>
        <w:t xml:space="preserve">in regard to trade and commerce. </w:t>
      </w:r>
      <w:r w:rsidR="00247E1E" w:rsidRPr="00740FD0">
        <w:rPr>
          <w:sz w:val="18"/>
          <w:szCs w:val="18"/>
          <w:lang w:val="en-US"/>
        </w:rPr>
        <w:t>T</w:t>
      </w:r>
      <w:r w:rsidRPr="00740FD0">
        <w:rPr>
          <w:sz w:val="18"/>
          <w:szCs w:val="18"/>
          <w:lang w:val="en-US"/>
        </w:rPr>
        <w:t>he constitutional powers of the federal government were modified as the provincial powers expanded. The federal government’s powers under s.91(2) are split into two distinct categories: 1.</w:t>
      </w:r>
      <w:r w:rsidR="00247E1E" w:rsidRPr="00740FD0">
        <w:rPr>
          <w:sz w:val="18"/>
          <w:szCs w:val="18"/>
          <w:lang w:val="en-US"/>
        </w:rPr>
        <w:t xml:space="preserve"> </w:t>
      </w:r>
      <w:r w:rsidRPr="00740FD0">
        <w:rPr>
          <w:sz w:val="18"/>
          <w:szCs w:val="18"/>
          <w:lang w:val="en-US"/>
        </w:rPr>
        <w:t>The power of international and interprovincial trade and commerce. 2.The power over General regulation of trade affecting the whole dominion.</w:t>
      </w:r>
    </w:p>
  </w:endnote>
  <w:endnote w:id="123">
    <w:p w14:paraId="2A9EA3E7" w14:textId="73EE5C48" w:rsidR="00F81524" w:rsidRPr="00740FD0" w:rsidRDefault="00F81524" w:rsidP="003C4E61">
      <w:pPr>
        <w:pStyle w:val="EndnoteText"/>
        <w:rPr>
          <w:sz w:val="18"/>
          <w:szCs w:val="18"/>
        </w:rPr>
      </w:pPr>
      <w:r w:rsidRPr="00740FD0">
        <w:rPr>
          <w:rStyle w:val="EndnoteReference"/>
          <w:sz w:val="18"/>
          <w:szCs w:val="18"/>
        </w:rPr>
        <w:endnoteRef/>
      </w:r>
      <w:r w:rsidRPr="00740FD0">
        <w:rPr>
          <w:sz w:val="18"/>
          <w:szCs w:val="18"/>
        </w:rPr>
        <w:t xml:space="preserve"> </w:t>
      </w:r>
      <w:r w:rsidR="00A7063B" w:rsidRPr="00740FD0">
        <w:rPr>
          <w:sz w:val="18"/>
          <w:szCs w:val="18"/>
        </w:rPr>
        <w:t xml:space="preserve">As there is no formal mandate to provide consumer protection services under Ontario’s </w:t>
      </w:r>
      <w:r w:rsidR="00A7063B" w:rsidRPr="00740FD0">
        <w:rPr>
          <w:i/>
          <w:iCs/>
          <w:sz w:val="18"/>
          <w:szCs w:val="18"/>
        </w:rPr>
        <w:t>Legal Aid Services Act</w:t>
      </w:r>
      <w:r w:rsidR="00A7063B" w:rsidRPr="00740FD0">
        <w:rPr>
          <w:sz w:val="18"/>
          <w:szCs w:val="18"/>
        </w:rPr>
        <w:t xml:space="preserve"> (2020, S.O. 2020, c. 11, Sched. 15) legal aid coverage for consumer protection issues is at the discretion of local legal aid clinics, with most not offering the service or only sporadically. Other resources such as the Steps to Justice website offer self-help legal information: </w:t>
      </w:r>
      <w:hyperlink r:id="rId112" w:history="1">
        <w:r w:rsidR="00A7063B" w:rsidRPr="00740FD0">
          <w:rPr>
            <w:rStyle w:val="Hyperlink"/>
            <w:sz w:val="18"/>
            <w:szCs w:val="18"/>
          </w:rPr>
          <w:t>https://stepstojustice.ca/legal-topic/debt-and-consumer-rights/</w:t>
        </w:r>
      </w:hyperlink>
      <w:r w:rsidR="00A7063B" w:rsidRPr="00740FD0">
        <w:rPr>
          <w:sz w:val="18"/>
          <w:szCs w:val="18"/>
        </w:rPr>
        <w:t xml:space="preserve">. </w:t>
      </w:r>
    </w:p>
  </w:endnote>
  <w:endnote w:id="124">
    <w:p w14:paraId="51B96869" w14:textId="5A01CB45" w:rsidR="001729BB" w:rsidRPr="00740FD0" w:rsidRDefault="001729BB" w:rsidP="001729BB">
      <w:pPr>
        <w:pStyle w:val="EndnoteText"/>
        <w:rPr>
          <w:sz w:val="18"/>
          <w:szCs w:val="18"/>
        </w:rPr>
      </w:pPr>
      <w:r w:rsidRPr="00740FD0">
        <w:rPr>
          <w:rStyle w:val="EndnoteReference"/>
          <w:sz w:val="18"/>
          <w:szCs w:val="18"/>
        </w:rPr>
        <w:endnoteRef/>
      </w:r>
      <w:r w:rsidRPr="00740FD0">
        <w:rPr>
          <w:sz w:val="18"/>
          <w:szCs w:val="18"/>
        </w:rPr>
        <w:t xml:space="preserve"> </w:t>
      </w:r>
      <w:r w:rsidR="00FF48D5" w:rsidRPr="00740FD0">
        <w:rPr>
          <w:i/>
          <w:iCs/>
          <w:sz w:val="18"/>
          <w:szCs w:val="18"/>
        </w:rPr>
        <w:t>Personal Information Protection and Electronic Documents Act</w:t>
      </w:r>
      <w:r w:rsidR="00FF48D5" w:rsidRPr="00740FD0">
        <w:rPr>
          <w:sz w:val="18"/>
          <w:szCs w:val="18"/>
        </w:rPr>
        <w:t xml:space="preserve"> (S.C. 2000, c. 5)</w:t>
      </w:r>
      <w:r w:rsidR="00CF7473" w:rsidRPr="00740FD0">
        <w:rPr>
          <w:sz w:val="18"/>
          <w:szCs w:val="18"/>
        </w:rPr>
        <w:t xml:space="preserve"> (PIPEDA).</w:t>
      </w:r>
    </w:p>
  </w:endnote>
  <w:endnote w:id="125">
    <w:p w14:paraId="063F40E9" w14:textId="42F92E38" w:rsidR="001729BB" w:rsidRPr="00740FD0" w:rsidRDefault="001729BB">
      <w:pPr>
        <w:pStyle w:val="EndnoteText"/>
        <w:rPr>
          <w:sz w:val="18"/>
          <w:szCs w:val="18"/>
        </w:rPr>
      </w:pPr>
      <w:r w:rsidRPr="00740FD0">
        <w:rPr>
          <w:rStyle w:val="EndnoteReference"/>
          <w:sz w:val="18"/>
          <w:szCs w:val="18"/>
        </w:rPr>
        <w:endnoteRef/>
      </w:r>
      <w:r w:rsidRPr="00740FD0">
        <w:rPr>
          <w:sz w:val="18"/>
          <w:szCs w:val="18"/>
        </w:rPr>
        <w:t xml:space="preserve"> </w:t>
      </w:r>
      <w:r w:rsidR="00FF48D5" w:rsidRPr="00740FD0">
        <w:rPr>
          <w:sz w:val="18"/>
          <w:szCs w:val="18"/>
        </w:rPr>
        <w:t xml:space="preserve">PIPEDA s. 26(2)(b). </w:t>
      </w:r>
    </w:p>
  </w:endnote>
  <w:endnote w:id="126">
    <w:p w14:paraId="3835FE6B" w14:textId="3726817B" w:rsidR="00F81524" w:rsidRPr="00740FD0" w:rsidRDefault="00F81524" w:rsidP="003C4E61">
      <w:pPr>
        <w:spacing w:after="0"/>
        <w:contextualSpacing/>
        <w:rPr>
          <w:rFonts w:cstheme="minorHAnsi"/>
          <w:sz w:val="18"/>
          <w:szCs w:val="18"/>
        </w:rPr>
      </w:pPr>
      <w:r w:rsidRPr="00740FD0">
        <w:rPr>
          <w:rFonts w:cstheme="minorHAnsi"/>
          <w:sz w:val="18"/>
          <w:szCs w:val="18"/>
          <w:vertAlign w:val="superscript"/>
        </w:rPr>
        <w:endnoteRef/>
      </w:r>
      <w:r w:rsidRPr="00740FD0">
        <w:rPr>
          <w:rFonts w:eastAsia="Times New Roman" w:cstheme="minorHAnsi"/>
          <w:sz w:val="18"/>
          <w:szCs w:val="18"/>
        </w:rPr>
        <w:t xml:space="preserve"> </w:t>
      </w:r>
      <w:r w:rsidR="00B26AF8" w:rsidRPr="00740FD0">
        <w:rPr>
          <w:sz w:val="18"/>
          <w:szCs w:val="18"/>
        </w:rPr>
        <w:t xml:space="preserve">Canada House of Commons, Bill C-27, </w:t>
      </w:r>
      <w:r w:rsidR="00B26AF8" w:rsidRPr="00740FD0">
        <w:rPr>
          <w:i/>
          <w:iCs/>
          <w:sz w:val="18"/>
          <w:szCs w:val="18"/>
        </w:rPr>
        <w:t>An Act to enact the Consumer Privacy Protection Act, the Personal Information and Data Protection Tribunal Act and the Artificial Intelligence and Data Act and to make consequential and related amendments to other Acts</w:t>
      </w:r>
      <w:r w:rsidR="00B26AF8" w:rsidRPr="00740FD0">
        <w:rPr>
          <w:sz w:val="18"/>
          <w:szCs w:val="18"/>
        </w:rPr>
        <w:t xml:space="preserve"> (introduced June 16, 2022), online: </w:t>
      </w:r>
      <w:hyperlink r:id="rId113" w:history="1">
        <w:r w:rsidR="00B26AF8" w:rsidRPr="00740FD0">
          <w:rPr>
            <w:rStyle w:val="Hyperlink"/>
            <w:sz w:val="18"/>
            <w:szCs w:val="18"/>
          </w:rPr>
          <w:t>https://www.parl.ca/DocumentViewer/en/44-1/bill/C-27/first-reading</w:t>
        </w:r>
      </w:hyperlink>
      <w:r w:rsidR="00B26AF8" w:rsidRPr="00740FD0">
        <w:rPr>
          <w:sz w:val="18"/>
          <w:szCs w:val="18"/>
        </w:rPr>
        <w:t xml:space="preserve">. </w:t>
      </w:r>
      <w:r w:rsidRPr="00740FD0">
        <w:rPr>
          <w:rFonts w:eastAsia="Times New Roman" w:cstheme="minorHAnsi"/>
          <w:sz w:val="18"/>
          <w:szCs w:val="18"/>
        </w:rPr>
        <w:t xml:space="preserve">For additional summary of C-27 see: Christopher Ferguson, Heather Whiteside, </w:t>
      </w:r>
      <w:r w:rsidRPr="00740FD0">
        <w:rPr>
          <w:rFonts w:eastAsia="Times New Roman" w:cstheme="minorHAnsi"/>
          <w:sz w:val="18"/>
          <w:szCs w:val="18"/>
        </w:rPr>
        <w:t xml:space="preserve">Iara Griffith, Amirali Alavi, Soleica Monnier, “The Canadian Government Undertakes a Second Effort at Comprehensive Reform to Federal Privacy Law”, (June </w:t>
      </w:r>
      <w:r w:rsidR="00FF48D5" w:rsidRPr="00740FD0">
        <w:rPr>
          <w:rFonts w:eastAsia="Times New Roman" w:cstheme="minorHAnsi"/>
          <w:sz w:val="18"/>
          <w:szCs w:val="18"/>
        </w:rPr>
        <w:t xml:space="preserve">20, </w:t>
      </w:r>
      <w:r w:rsidRPr="00740FD0">
        <w:rPr>
          <w:rFonts w:eastAsia="Times New Roman" w:cstheme="minorHAnsi"/>
          <w:sz w:val="18"/>
          <w:szCs w:val="18"/>
        </w:rPr>
        <w:t xml:space="preserve">2022), online: </w:t>
      </w:r>
      <w:hyperlink r:id="rId114" w:history="1">
        <w:r w:rsidR="00FF48D5" w:rsidRPr="00740FD0">
          <w:rPr>
            <w:rStyle w:val="Hyperlink"/>
            <w:rFonts w:eastAsia="Times New Roman" w:cstheme="minorHAnsi"/>
            <w:sz w:val="18"/>
            <w:szCs w:val="18"/>
          </w:rPr>
          <w:t>https://www.fasken.com/en/knowledge/2022/06/20-the-canadian-government-undertakes-a-second-effort-at-comprehensive-reform-to-federal-privacy-law</w:t>
        </w:r>
      </w:hyperlink>
      <w:r w:rsidR="00FF48D5" w:rsidRPr="00740FD0">
        <w:rPr>
          <w:rFonts w:eastAsia="Times New Roman" w:cstheme="minorHAnsi"/>
          <w:sz w:val="18"/>
          <w:szCs w:val="18"/>
        </w:rPr>
        <w:t xml:space="preserve">; </w:t>
      </w:r>
      <w:r w:rsidRPr="00740FD0">
        <w:rPr>
          <w:rFonts w:eastAsia="Times New Roman" w:cstheme="minorHAnsi"/>
          <w:sz w:val="18"/>
          <w:szCs w:val="18"/>
        </w:rPr>
        <w:t>Lyndsay A. Wasser, Kristen Pennington, Robbie Grant, Kristen Shaw, “Privacy Reform is on the Table Once More: Canada Introduces the Digital Charter Implementation Act, 2022”</w:t>
      </w:r>
      <w:r w:rsidR="00FF48D5" w:rsidRPr="00740FD0">
        <w:rPr>
          <w:rFonts w:eastAsia="Times New Roman" w:cstheme="minorHAnsi"/>
          <w:sz w:val="18"/>
          <w:szCs w:val="18"/>
        </w:rPr>
        <w:t xml:space="preserve"> </w:t>
      </w:r>
      <w:r w:rsidRPr="00740FD0">
        <w:rPr>
          <w:rFonts w:eastAsia="Times New Roman" w:cstheme="minorHAnsi"/>
          <w:sz w:val="18"/>
          <w:szCs w:val="18"/>
        </w:rPr>
        <w:t>(June</w:t>
      </w:r>
      <w:r w:rsidR="00FF48D5" w:rsidRPr="00740FD0">
        <w:rPr>
          <w:rFonts w:eastAsia="Times New Roman" w:cstheme="minorHAnsi"/>
          <w:sz w:val="18"/>
          <w:szCs w:val="18"/>
        </w:rPr>
        <w:t xml:space="preserve"> 22,</w:t>
      </w:r>
      <w:r w:rsidRPr="00740FD0">
        <w:rPr>
          <w:rFonts w:eastAsia="Times New Roman" w:cstheme="minorHAnsi"/>
          <w:sz w:val="18"/>
          <w:szCs w:val="18"/>
        </w:rPr>
        <w:t xml:space="preserve"> 2022), online: </w:t>
      </w:r>
      <w:hyperlink r:id="rId115" w:history="1">
        <w:r w:rsidR="00FF48D5" w:rsidRPr="00740FD0">
          <w:rPr>
            <w:rStyle w:val="Hyperlink"/>
            <w:rFonts w:eastAsia="Times New Roman" w:cstheme="minorHAnsi"/>
            <w:sz w:val="18"/>
            <w:szCs w:val="18"/>
          </w:rPr>
          <w:t>https://mcmillan.ca/insights/privacy-reform-is-on-the-table-once-more-canada-introduces-the-digital-charter-implementation-act-2022/</w:t>
        </w:r>
      </w:hyperlink>
      <w:r w:rsidR="00FF48D5" w:rsidRPr="00740FD0">
        <w:rPr>
          <w:rFonts w:eastAsia="Times New Roman" w:cstheme="minorHAnsi"/>
          <w:sz w:val="18"/>
          <w:szCs w:val="18"/>
        </w:rPr>
        <w:t>.</w:t>
      </w:r>
      <w:r w:rsidRPr="00740FD0">
        <w:rPr>
          <w:rFonts w:eastAsia="Times New Roman" w:cstheme="minorHAnsi"/>
          <w:sz w:val="18"/>
          <w:szCs w:val="18"/>
        </w:rPr>
        <w:t xml:space="preserve"> </w:t>
      </w:r>
    </w:p>
  </w:endnote>
  <w:endnote w:id="127">
    <w:p w14:paraId="3E1487FB" w14:textId="5D3A0F59" w:rsidR="00514A9E" w:rsidRPr="00740FD0" w:rsidRDefault="00514A9E" w:rsidP="00514A9E">
      <w:pPr>
        <w:pStyle w:val="EndnoteText"/>
        <w:rPr>
          <w:sz w:val="18"/>
          <w:szCs w:val="18"/>
        </w:rPr>
      </w:pPr>
      <w:r w:rsidRPr="00740FD0">
        <w:rPr>
          <w:rStyle w:val="EndnoteReference"/>
          <w:sz w:val="18"/>
          <w:szCs w:val="18"/>
        </w:rPr>
        <w:endnoteRef/>
      </w:r>
      <w:r w:rsidRPr="00740FD0">
        <w:rPr>
          <w:sz w:val="18"/>
          <w:szCs w:val="18"/>
        </w:rPr>
        <w:t xml:space="preserve"> </w:t>
      </w:r>
      <w:r w:rsidR="00515623" w:rsidRPr="00740FD0">
        <w:rPr>
          <w:sz w:val="18"/>
          <w:szCs w:val="18"/>
        </w:rPr>
        <w:t>For a</w:t>
      </w:r>
      <w:r w:rsidR="00EE7000" w:rsidRPr="00740FD0">
        <w:rPr>
          <w:sz w:val="18"/>
          <w:szCs w:val="18"/>
        </w:rPr>
        <w:t>n ongoing and</w:t>
      </w:r>
      <w:r w:rsidR="00515623" w:rsidRPr="00740FD0">
        <w:rPr>
          <w:sz w:val="18"/>
          <w:szCs w:val="18"/>
        </w:rPr>
        <w:t xml:space="preserve"> helpful summary and analysis of proposed CPPA provisions see Teresa </w:t>
      </w:r>
      <w:r w:rsidRPr="00740FD0">
        <w:rPr>
          <w:sz w:val="18"/>
          <w:szCs w:val="18"/>
        </w:rPr>
        <w:t>Scassa</w:t>
      </w:r>
      <w:r w:rsidR="00515623" w:rsidRPr="00740FD0">
        <w:rPr>
          <w:sz w:val="18"/>
          <w:szCs w:val="18"/>
        </w:rPr>
        <w:t xml:space="preserve">, </w:t>
      </w:r>
      <w:r w:rsidR="00EE7000" w:rsidRPr="00740FD0">
        <w:rPr>
          <w:sz w:val="18"/>
          <w:szCs w:val="18"/>
        </w:rPr>
        <w:t xml:space="preserve">“Bill C-27’s Take on Consent: A Mixed Review” (July 4, 2022), online: </w:t>
      </w:r>
      <w:hyperlink r:id="rId116" w:history="1">
        <w:r w:rsidR="00EE7000" w:rsidRPr="00740FD0">
          <w:rPr>
            <w:rStyle w:val="Hyperlink"/>
            <w:sz w:val="18"/>
            <w:szCs w:val="18"/>
          </w:rPr>
          <w:t>https://teresascassa.ca/index.php?option=com_k2&amp;view=item&amp;id=355:bill-c-27%E2%80%99s-take-on-consent-a-mixed-review&amp;Itemid=80</w:t>
        </w:r>
      </w:hyperlink>
      <w:r w:rsidR="00EE7000" w:rsidRPr="00740FD0">
        <w:rPr>
          <w:sz w:val="18"/>
          <w:szCs w:val="18"/>
        </w:rPr>
        <w:t xml:space="preserve">. </w:t>
      </w:r>
    </w:p>
  </w:endnote>
  <w:endnote w:id="128">
    <w:p w14:paraId="40A38E33" w14:textId="2B55A658" w:rsidR="00F81524" w:rsidRPr="00740FD0" w:rsidRDefault="00F81524" w:rsidP="003C4E61">
      <w:pPr>
        <w:pStyle w:val="EndnoteText"/>
        <w:rPr>
          <w:sz w:val="18"/>
          <w:szCs w:val="18"/>
        </w:rPr>
      </w:pPr>
      <w:r w:rsidRPr="00740FD0">
        <w:rPr>
          <w:rStyle w:val="EndnoteReference"/>
          <w:sz w:val="18"/>
          <w:szCs w:val="18"/>
        </w:rPr>
        <w:endnoteRef/>
      </w:r>
      <w:r w:rsidRPr="00740FD0">
        <w:rPr>
          <w:sz w:val="18"/>
          <w:szCs w:val="18"/>
        </w:rPr>
        <w:t xml:space="preserve"> </w:t>
      </w:r>
      <w:r w:rsidR="00EE7000" w:rsidRPr="00740FD0">
        <w:rPr>
          <w:sz w:val="18"/>
          <w:szCs w:val="18"/>
        </w:rPr>
        <w:t xml:space="preserve">See “Consultation: Ontario’s Trustworthy Artificial Intelligence (AI) Framework” (May 7 to June 4, 2021), online: </w:t>
      </w:r>
      <w:hyperlink r:id="rId117" w:history="1">
        <w:r w:rsidR="00EE7000" w:rsidRPr="00740FD0">
          <w:rPr>
            <w:rStyle w:val="Hyperlink"/>
            <w:sz w:val="18"/>
            <w:szCs w:val="18"/>
          </w:rPr>
          <w:t>https://www.ontario.ca/page/ontarios-trustworthy-artificial-intelligence-ai-framework-consultations</w:t>
        </w:r>
      </w:hyperlink>
      <w:r w:rsidR="00EE7000" w:rsidRPr="00740FD0">
        <w:rPr>
          <w:sz w:val="18"/>
          <w:szCs w:val="18"/>
        </w:rPr>
        <w:t xml:space="preserve">. </w:t>
      </w:r>
    </w:p>
  </w:endnote>
  <w:endnote w:id="129">
    <w:p w14:paraId="3DACEBBA" w14:textId="09681E83" w:rsidR="00456879" w:rsidRPr="00740FD0" w:rsidRDefault="00456879" w:rsidP="00456879">
      <w:pPr>
        <w:pStyle w:val="EndnoteText"/>
        <w:rPr>
          <w:sz w:val="18"/>
          <w:szCs w:val="18"/>
        </w:rPr>
      </w:pPr>
      <w:r w:rsidRPr="00740FD0">
        <w:rPr>
          <w:rStyle w:val="EndnoteReference"/>
          <w:sz w:val="18"/>
          <w:szCs w:val="18"/>
        </w:rPr>
        <w:endnoteRef/>
      </w:r>
      <w:r w:rsidRPr="00740FD0">
        <w:rPr>
          <w:sz w:val="18"/>
          <w:szCs w:val="18"/>
        </w:rPr>
        <w:t xml:space="preserve"> Ministry of Government and Consumer Services, </w:t>
      </w:r>
      <w:r w:rsidRPr="00740FD0">
        <w:rPr>
          <w:i/>
          <w:iCs/>
          <w:sz w:val="18"/>
          <w:szCs w:val="18"/>
        </w:rPr>
        <w:t xml:space="preserve">Improving Ontario’s Consumer Protection Act: Strengthening Consumer Protection in Ontario </w:t>
      </w:r>
      <w:r w:rsidRPr="00740FD0">
        <w:rPr>
          <w:sz w:val="18"/>
          <w:szCs w:val="18"/>
        </w:rPr>
        <w:t xml:space="preserve">(December 2020), online: </w:t>
      </w:r>
      <w:hyperlink r:id="rId118" w:history="1">
        <w:r w:rsidR="00EE7000" w:rsidRPr="00740FD0">
          <w:rPr>
            <w:rStyle w:val="Hyperlink"/>
            <w:sz w:val="18"/>
            <w:szCs w:val="18"/>
          </w:rPr>
          <w:t>https://www.ontariocanada.com/registry/view.do?language=en&amp;postingId=35387</w:t>
        </w:r>
      </w:hyperlink>
      <w:r w:rsidR="00EE7000" w:rsidRPr="00740FD0">
        <w:rPr>
          <w:sz w:val="18"/>
          <w:szCs w:val="18"/>
        </w:rPr>
        <w:t xml:space="preserve"> </w:t>
      </w:r>
      <w:r w:rsidRPr="00740FD0">
        <w:rPr>
          <w:sz w:val="18"/>
          <w:szCs w:val="18"/>
        </w:rPr>
        <w:t>at 3.</w:t>
      </w:r>
    </w:p>
  </w:endnote>
  <w:endnote w:id="130">
    <w:p w14:paraId="2DDC168A" w14:textId="45836D57" w:rsidR="00456879" w:rsidRPr="00740FD0" w:rsidRDefault="00456879" w:rsidP="00456879">
      <w:pPr>
        <w:pStyle w:val="EndnoteText"/>
        <w:rPr>
          <w:sz w:val="18"/>
          <w:szCs w:val="18"/>
        </w:rPr>
      </w:pPr>
      <w:r w:rsidRPr="00740FD0">
        <w:rPr>
          <w:rStyle w:val="EndnoteReference"/>
          <w:sz w:val="18"/>
          <w:szCs w:val="18"/>
        </w:rPr>
        <w:endnoteRef/>
      </w:r>
      <w:r w:rsidRPr="00740FD0">
        <w:rPr>
          <w:sz w:val="18"/>
          <w:szCs w:val="18"/>
        </w:rPr>
        <w:t xml:space="preserve"> </w:t>
      </w:r>
      <w:r w:rsidR="00EE7000" w:rsidRPr="00740FD0">
        <w:rPr>
          <w:sz w:val="18"/>
          <w:szCs w:val="18"/>
        </w:rPr>
        <w:t xml:space="preserve">Ministry of Government and Consumer Services, </w:t>
      </w:r>
      <w:r w:rsidR="00EE7000" w:rsidRPr="00740FD0">
        <w:rPr>
          <w:i/>
          <w:iCs/>
          <w:sz w:val="18"/>
          <w:szCs w:val="18"/>
        </w:rPr>
        <w:t xml:space="preserve">Improving Ontario’s Consumer Protection Act: Strengthening Consumer Protection in Ontario </w:t>
      </w:r>
      <w:r w:rsidR="00EE7000" w:rsidRPr="00740FD0">
        <w:rPr>
          <w:sz w:val="18"/>
          <w:szCs w:val="18"/>
        </w:rPr>
        <w:t xml:space="preserve">(December 2020), online: </w:t>
      </w:r>
      <w:hyperlink r:id="rId119" w:history="1">
        <w:r w:rsidR="00EE7000" w:rsidRPr="00740FD0">
          <w:rPr>
            <w:rStyle w:val="Hyperlink"/>
            <w:sz w:val="18"/>
            <w:szCs w:val="18"/>
          </w:rPr>
          <w:t>https://www.ontariocanada.com/registry/view.do?language=en&amp;postingId=35387</w:t>
        </w:r>
      </w:hyperlink>
      <w:r w:rsidR="00EE7000" w:rsidRPr="00740FD0">
        <w:rPr>
          <w:sz w:val="18"/>
          <w:szCs w:val="18"/>
        </w:rPr>
        <w:t xml:space="preserve"> at 3.</w:t>
      </w:r>
    </w:p>
  </w:endnote>
  <w:endnote w:id="131">
    <w:p w14:paraId="6F59690C" w14:textId="37295262" w:rsidR="00456879" w:rsidRPr="00740FD0" w:rsidRDefault="00456879" w:rsidP="00456879">
      <w:pPr>
        <w:pStyle w:val="EndnoteText"/>
        <w:rPr>
          <w:sz w:val="18"/>
          <w:szCs w:val="18"/>
        </w:rPr>
      </w:pPr>
      <w:r w:rsidRPr="00740FD0">
        <w:rPr>
          <w:rStyle w:val="EndnoteReference"/>
          <w:sz w:val="18"/>
          <w:szCs w:val="18"/>
        </w:rPr>
        <w:endnoteRef/>
      </w:r>
      <w:r w:rsidRPr="00740FD0">
        <w:rPr>
          <w:sz w:val="18"/>
          <w:szCs w:val="18"/>
        </w:rPr>
        <w:t xml:space="preserve"> </w:t>
      </w:r>
      <w:r w:rsidR="00EE7000" w:rsidRPr="00740FD0">
        <w:rPr>
          <w:sz w:val="18"/>
          <w:szCs w:val="18"/>
        </w:rPr>
        <w:t xml:space="preserve">Ministry of Government and Consumer Services, </w:t>
      </w:r>
      <w:r w:rsidR="00EE7000" w:rsidRPr="00740FD0">
        <w:rPr>
          <w:i/>
          <w:iCs/>
          <w:sz w:val="18"/>
          <w:szCs w:val="18"/>
        </w:rPr>
        <w:t xml:space="preserve">Improving Ontario’s Consumer Protection Act: Strengthening Consumer Protection in Ontario </w:t>
      </w:r>
      <w:r w:rsidR="00EE7000" w:rsidRPr="00740FD0">
        <w:rPr>
          <w:sz w:val="18"/>
          <w:szCs w:val="18"/>
        </w:rPr>
        <w:t xml:space="preserve">(December 2020), online: </w:t>
      </w:r>
      <w:hyperlink r:id="rId120" w:history="1">
        <w:r w:rsidR="00EE7000" w:rsidRPr="00740FD0">
          <w:rPr>
            <w:rStyle w:val="Hyperlink"/>
            <w:sz w:val="18"/>
            <w:szCs w:val="18"/>
          </w:rPr>
          <w:t>https://www.ontariocanada.com/registry/view.do?language=en&amp;postingId=35387</w:t>
        </w:r>
      </w:hyperlink>
      <w:r w:rsidR="00EE7000" w:rsidRPr="00740FD0">
        <w:rPr>
          <w:sz w:val="18"/>
          <w:szCs w:val="18"/>
        </w:rPr>
        <w:t xml:space="preserve"> at 3.</w:t>
      </w:r>
    </w:p>
  </w:endnote>
  <w:endnote w:id="132">
    <w:p w14:paraId="66A2E894" w14:textId="1BCB7D4B" w:rsidR="00456879" w:rsidRPr="00740FD0" w:rsidRDefault="00456879" w:rsidP="00456879">
      <w:pPr>
        <w:pStyle w:val="EndnoteText"/>
        <w:rPr>
          <w:sz w:val="18"/>
          <w:szCs w:val="18"/>
        </w:rPr>
      </w:pPr>
      <w:r w:rsidRPr="00740FD0">
        <w:rPr>
          <w:rStyle w:val="EndnoteReference"/>
          <w:sz w:val="18"/>
          <w:szCs w:val="18"/>
        </w:rPr>
        <w:endnoteRef/>
      </w:r>
      <w:r w:rsidRPr="00740FD0">
        <w:rPr>
          <w:sz w:val="18"/>
          <w:szCs w:val="18"/>
        </w:rPr>
        <w:t xml:space="preserve"> Ontario, </w:t>
      </w:r>
      <w:r w:rsidRPr="00740FD0">
        <w:rPr>
          <w:i/>
          <w:iCs/>
          <w:sz w:val="18"/>
          <w:szCs w:val="18"/>
        </w:rPr>
        <w:t xml:space="preserve">Modernizing Consumer Protection in Ontario Strengthening the Consumer Protection Act </w:t>
      </w:r>
      <w:r w:rsidRPr="00740FD0">
        <w:rPr>
          <w:sz w:val="18"/>
          <w:szCs w:val="18"/>
        </w:rPr>
        <w:t xml:space="preserve">(Ministry of Public and Business Service Delivery, February 2023), </w:t>
      </w:r>
      <w:r w:rsidR="00EE7000" w:rsidRPr="00740FD0">
        <w:rPr>
          <w:sz w:val="18"/>
          <w:szCs w:val="18"/>
        </w:rPr>
        <w:t xml:space="preserve">at 3, </w:t>
      </w:r>
      <w:r w:rsidRPr="00740FD0">
        <w:rPr>
          <w:sz w:val="18"/>
          <w:szCs w:val="18"/>
        </w:rPr>
        <w:t xml:space="preserve">online: </w:t>
      </w:r>
      <w:hyperlink r:id="rId121" w:history="1">
        <w:r w:rsidRPr="00740FD0">
          <w:rPr>
            <w:rStyle w:val="Hyperlink"/>
            <w:sz w:val="18"/>
            <w:szCs w:val="18"/>
          </w:rPr>
          <w:t>https://www.ontariocanada.com/registry/view.do?postingId=43452&amp;language=en</w:t>
        </w:r>
      </w:hyperlink>
      <w:r w:rsidRPr="00740FD0">
        <w:rPr>
          <w:sz w:val="18"/>
          <w:szCs w:val="18"/>
        </w:rPr>
        <w:t xml:space="preserve">. </w:t>
      </w:r>
    </w:p>
  </w:endnote>
  <w:endnote w:id="133">
    <w:p w14:paraId="43702B92" w14:textId="4FD8AB25" w:rsidR="006E30FF" w:rsidRPr="00740FD0" w:rsidRDefault="006E30FF" w:rsidP="006E30FF">
      <w:pPr>
        <w:pStyle w:val="EndnoteText"/>
        <w:rPr>
          <w:sz w:val="18"/>
          <w:szCs w:val="18"/>
        </w:rPr>
      </w:pPr>
      <w:r w:rsidRPr="00740FD0">
        <w:rPr>
          <w:rStyle w:val="EndnoteReference"/>
          <w:sz w:val="18"/>
          <w:szCs w:val="18"/>
        </w:rPr>
        <w:endnoteRef/>
      </w:r>
      <w:r w:rsidRPr="00740FD0">
        <w:rPr>
          <w:sz w:val="18"/>
          <w:szCs w:val="18"/>
        </w:rPr>
        <w:t xml:space="preserve"> </w:t>
      </w:r>
      <w:r w:rsidR="00EE7000" w:rsidRPr="00740FD0">
        <w:rPr>
          <w:sz w:val="18"/>
          <w:szCs w:val="18"/>
        </w:rPr>
        <w:t xml:space="preserve">Ontario, </w:t>
      </w:r>
      <w:r w:rsidR="00EE7000" w:rsidRPr="00740FD0">
        <w:rPr>
          <w:i/>
          <w:iCs/>
          <w:sz w:val="18"/>
          <w:szCs w:val="18"/>
        </w:rPr>
        <w:t xml:space="preserve">Modernizing Consumer Protection in Ontario Strengthening the Consumer Protection Act </w:t>
      </w:r>
      <w:r w:rsidR="00EE7000" w:rsidRPr="00740FD0">
        <w:rPr>
          <w:sz w:val="18"/>
          <w:szCs w:val="18"/>
        </w:rPr>
        <w:t xml:space="preserve">(Ministry of Public and Business Service Delivery, February 2023), at 3, online: </w:t>
      </w:r>
      <w:hyperlink r:id="rId122" w:history="1">
        <w:r w:rsidR="00EE7000" w:rsidRPr="00740FD0">
          <w:rPr>
            <w:rStyle w:val="Hyperlink"/>
            <w:sz w:val="18"/>
            <w:szCs w:val="18"/>
          </w:rPr>
          <w:t>https://www.ontariocanada.com/registry/view.do?postingId=43452&amp;language=en</w:t>
        </w:r>
      </w:hyperlink>
      <w:r w:rsidR="00EE7000" w:rsidRPr="00740FD0">
        <w:rPr>
          <w:sz w:val="18"/>
          <w:szCs w:val="18"/>
        </w:rPr>
        <w:t>.</w:t>
      </w:r>
    </w:p>
  </w:endnote>
  <w:endnote w:id="134">
    <w:p w14:paraId="647017BF" w14:textId="4B78D346" w:rsidR="00572A93" w:rsidRPr="00740FD0" w:rsidRDefault="00572A93" w:rsidP="00572A93">
      <w:pPr>
        <w:pStyle w:val="EndnoteText"/>
        <w:rPr>
          <w:sz w:val="18"/>
          <w:szCs w:val="18"/>
        </w:rPr>
      </w:pPr>
      <w:r w:rsidRPr="00740FD0">
        <w:rPr>
          <w:rStyle w:val="EndnoteReference"/>
          <w:sz w:val="18"/>
          <w:szCs w:val="18"/>
        </w:rPr>
        <w:endnoteRef/>
      </w:r>
      <w:r w:rsidRPr="00740FD0">
        <w:rPr>
          <w:sz w:val="18"/>
          <w:szCs w:val="18"/>
        </w:rPr>
        <w:t xml:space="preserve"> </w:t>
      </w:r>
      <w:r w:rsidR="00EE7000" w:rsidRPr="00740FD0">
        <w:rPr>
          <w:sz w:val="18"/>
          <w:szCs w:val="18"/>
        </w:rPr>
        <w:t xml:space="preserve">Ontario, </w:t>
      </w:r>
      <w:r w:rsidR="00EE7000" w:rsidRPr="00740FD0">
        <w:rPr>
          <w:i/>
          <w:iCs/>
          <w:sz w:val="18"/>
          <w:szCs w:val="18"/>
        </w:rPr>
        <w:t xml:space="preserve">Modernizing Consumer Protection in Ontario Strengthening the Consumer Protection Act </w:t>
      </w:r>
      <w:r w:rsidR="00EE7000" w:rsidRPr="00740FD0">
        <w:rPr>
          <w:sz w:val="18"/>
          <w:szCs w:val="18"/>
        </w:rPr>
        <w:t xml:space="preserve">(Ministry of Public and Business Service Delivery, February 2023), at 5, online: </w:t>
      </w:r>
      <w:hyperlink r:id="rId123" w:history="1">
        <w:r w:rsidR="00EE7000" w:rsidRPr="00740FD0">
          <w:rPr>
            <w:rStyle w:val="Hyperlink"/>
            <w:sz w:val="18"/>
            <w:szCs w:val="18"/>
          </w:rPr>
          <w:t>https://www.ontariocanada.com/registry/view.do?postingId=43452&amp;language=en</w:t>
        </w:r>
      </w:hyperlink>
      <w:r w:rsidR="00EE7000" w:rsidRPr="00740FD0">
        <w:rPr>
          <w:sz w:val="18"/>
          <w:szCs w:val="18"/>
        </w:rPr>
        <w:t>.</w:t>
      </w:r>
    </w:p>
  </w:endnote>
  <w:endnote w:id="135">
    <w:p w14:paraId="3B4BF1F9" w14:textId="7DEAF916" w:rsidR="00572A93" w:rsidRPr="00740FD0" w:rsidRDefault="00572A93" w:rsidP="00572A93">
      <w:pPr>
        <w:pStyle w:val="EndnoteText"/>
        <w:rPr>
          <w:sz w:val="18"/>
          <w:szCs w:val="18"/>
        </w:rPr>
      </w:pPr>
      <w:r w:rsidRPr="00740FD0">
        <w:rPr>
          <w:rStyle w:val="EndnoteReference"/>
          <w:sz w:val="18"/>
          <w:szCs w:val="18"/>
        </w:rPr>
        <w:endnoteRef/>
      </w:r>
      <w:r w:rsidRPr="00740FD0">
        <w:rPr>
          <w:sz w:val="18"/>
          <w:szCs w:val="18"/>
        </w:rPr>
        <w:t xml:space="preserve"> </w:t>
      </w:r>
      <w:r w:rsidR="00A01343" w:rsidRPr="00740FD0">
        <w:rPr>
          <w:sz w:val="18"/>
          <w:szCs w:val="18"/>
        </w:rPr>
        <w:t xml:space="preserve">Ontario, </w:t>
      </w:r>
      <w:r w:rsidR="00A01343" w:rsidRPr="00740FD0">
        <w:rPr>
          <w:i/>
          <w:iCs/>
          <w:sz w:val="18"/>
          <w:szCs w:val="18"/>
        </w:rPr>
        <w:t xml:space="preserve">Modernizing Consumer Protection in Ontario Strengthening the Consumer Protection Act </w:t>
      </w:r>
      <w:r w:rsidR="00A01343" w:rsidRPr="00740FD0">
        <w:rPr>
          <w:sz w:val="18"/>
          <w:szCs w:val="18"/>
        </w:rPr>
        <w:t xml:space="preserve">(Ministry of Public and Business Service Delivery, February 2023), at 6, online: </w:t>
      </w:r>
      <w:hyperlink r:id="rId124" w:history="1">
        <w:r w:rsidR="00A01343" w:rsidRPr="00740FD0">
          <w:rPr>
            <w:rStyle w:val="Hyperlink"/>
            <w:sz w:val="18"/>
            <w:szCs w:val="18"/>
          </w:rPr>
          <w:t>https://www.ontariocanada.com/registry/view.do?postingId=43452&amp;language=en</w:t>
        </w:r>
      </w:hyperlink>
      <w:r w:rsidR="00A01343" w:rsidRPr="00740FD0">
        <w:rPr>
          <w:sz w:val="18"/>
          <w:szCs w:val="18"/>
        </w:rPr>
        <w:t>.</w:t>
      </w:r>
    </w:p>
  </w:endnote>
  <w:endnote w:id="136">
    <w:p w14:paraId="6B8EB366" w14:textId="58E6E223" w:rsidR="00572A93" w:rsidRPr="00740FD0" w:rsidRDefault="00572A93" w:rsidP="00572A93">
      <w:pPr>
        <w:pStyle w:val="EndnoteText"/>
        <w:rPr>
          <w:sz w:val="18"/>
          <w:szCs w:val="18"/>
        </w:rPr>
      </w:pPr>
      <w:r w:rsidRPr="00740FD0">
        <w:rPr>
          <w:rStyle w:val="EndnoteReference"/>
          <w:sz w:val="18"/>
          <w:szCs w:val="18"/>
        </w:rPr>
        <w:endnoteRef/>
      </w:r>
      <w:r w:rsidRPr="00740FD0">
        <w:rPr>
          <w:sz w:val="18"/>
          <w:szCs w:val="18"/>
        </w:rPr>
        <w:t xml:space="preserve"> </w:t>
      </w:r>
      <w:r w:rsidR="00A01343" w:rsidRPr="00740FD0">
        <w:rPr>
          <w:sz w:val="18"/>
          <w:szCs w:val="18"/>
        </w:rPr>
        <w:t xml:space="preserve">Ontario, </w:t>
      </w:r>
      <w:r w:rsidR="00A01343" w:rsidRPr="00740FD0">
        <w:rPr>
          <w:i/>
          <w:iCs/>
          <w:sz w:val="18"/>
          <w:szCs w:val="18"/>
        </w:rPr>
        <w:t xml:space="preserve">Modernizing Consumer Protection in Ontario Strengthening the Consumer Protection Act </w:t>
      </w:r>
      <w:r w:rsidR="00A01343" w:rsidRPr="00740FD0">
        <w:rPr>
          <w:sz w:val="18"/>
          <w:szCs w:val="18"/>
        </w:rPr>
        <w:t xml:space="preserve">(Ministry of Public and Business Service Delivery, February 2023), at 7-8, online: </w:t>
      </w:r>
      <w:hyperlink r:id="rId125" w:history="1">
        <w:r w:rsidR="00A01343" w:rsidRPr="00740FD0">
          <w:rPr>
            <w:rStyle w:val="Hyperlink"/>
            <w:sz w:val="18"/>
            <w:szCs w:val="18"/>
          </w:rPr>
          <w:t>https://www.ontariocanada.com/registry/view.do?postingId=43452&amp;language=en</w:t>
        </w:r>
      </w:hyperlink>
      <w:r w:rsidR="00A01343" w:rsidRPr="00740FD0">
        <w:rPr>
          <w:sz w:val="18"/>
          <w:szCs w:val="18"/>
        </w:rPr>
        <w:t>.</w:t>
      </w:r>
    </w:p>
  </w:endnote>
  <w:endnote w:id="137">
    <w:p w14:paraId="5C853701" w14:textId="59C0F22B" w:rsidR="00572A93" w:rsidRPr="00740FD0" w:rsidRDefault="00572A93" w:rsidP="00572A93">
      <w:pPr>
        <w:pStyle w:val="EndnoteText"/>
        <w:rPr>
          <w:sz w:val="18"/>
          <w:szCs w:val="18"/>
        </w:rPr>
      </w:pPr>
      <w:r w:rsidRPr="00740FD0">
        <w:rPr>
          <w:rStyle w:val="EndnoteReference"/>
          <w:sz w:val="18"/>
          <w:szCs w:val="18"/>
        </w:rPr>
        <w:endnoteRef/>
      </w:r>
      <w:r w:rsidRPr="00740FD0">
        <w:rPr>
          <w:sz w:val="18"/>
          <w:szCs w:val="18"/>
        </w:rPr>
        <w:t xml:space="preserve"> </w:t>
      </w:r>
      <w:r w:rsidR="00A01343" w:rsidRPr="00740FD0">
        <w:rPr>
          <w:sz w:val="18"/>
          <w:szCs w:val="18"/>
        </w:rPr>
        <w:t xml:space="preserve">Ontario, </w:t>
      </w:r>
      <w:r w:rsidR="00A01343" w:rsidRPr="00740FD0">
        <w:rPr>
          <w:i/>
          <w:iCs/>
          <w:sz w:val="18"/>
          <w:szCs w:val="18"/>
        </w:rPr>
        <w:t xml:space="preserve">Modernizing Consumer Protection in Ontario Strengthening the Consumer Protection Act </w:t>
      </w:r>
      <w:r w:rsidR="00A01343" w:rsidRPr="00740FD0">
        <w:rPr>
          <w:sz w:val="18"/>
          <w:szCs w:val="18"/>
        </w:rPr>
        <w:t xml:space="preserve">(Ministry of Public and Business Service Delivery, February 2023), at 10-11, online: </w:t>
      </w:r>
      <w:hyperlink r:id="rId126" w:history="1">
        <w:r w:rsidR="00A01343" w:rsidRPr="00740FD0">
          <w:rPr>
            <w:rStyle w:val="Hyperlink"/>
            <w:sz w:val="18"/>
            <w:szCs w:val="18"/>
          </w:rPr>
          <w:t>https://www.ontariocanada.com/registry/view.do?postingId=43452&amp;language=en</w:t>
        </w:r>
      </w:hyperlink>
      <w:r w:rsidR="00A01343" w:rsidRPr="00740FD0">
        <w:rPr>
          <w:sz w:val="18"/>
          <w:szCs w:val="18"/>
        </w:rPr>
        <w:t>.</w:t>
      </w:r>
    </w:p>
  </w:endnote>
  <w:endnote w:id="138">
    <w:p w14:paraId="7D9C1161" w14:textId="33CC87C9" w:rsidR="00572A93" w:rsidRPr="00740FD0" w:rsidRDefault="00572A93" w:rsidP="00572A93">
      <w:pPr>
        <w:pStyle w:val="EndnoteText"/>
        <w:rPr>
          <w:sz w:val="18"/>
          <w:szCs w:val="18"/>
        </w:rPr>
      </w:pPr>
      <w:r w:rsidRPr="00740FD0">
        <w:rPr>
          <w:rStyle w:val="EndnoteReference"/>
          <w:sz w:val="18"/>
          <w:szCs w:val="18"/>
        </w:rPr>
        <w:endnoteRef/>
      </w:r>
      <w:r w:rsidRPr="00740FD0">
        <w:rPr>
          <w:sz w:val="18"/>
          <w:szCs w:val="18"/>
        </w:rPr>
        <w:t xml:space="preserve"> </w:t>
      </w:r>
      <w:r w:rsidR="00A01343" w:rsidRPr="00740FD0">
        <w:rPr>
          <w:sz w:val="18"/>
          <w:szCs w:val="18"/>
        </w:rPr>
        <w:t xml:space="preserve">Ontario, </w:t>
      </w:r>
      <w:r w:rsidR="00A01343" w:rsidRPr="00740FD0">
        <w:rPr>
          <w:i/>
          <w:iCs/>
          <w:sz w:val="18"/>
          <w:szCs w:val="18"/>
        </w:rPr>
        <w:t xml:space="preserve">Modernizing Consumer Protection in Ontario Strengthening the Consumer Protection Act </w:t>
      </w:r>
      <w:r w:rsidR="00A01343" w:rsidRPr="00740FD0">
        <w:rPr>
          <w:sz w:val="18"/>
          <w:szCs w:val="18"/>
        </w:rPr>
        <w:t xml:space="preserve">(Ministry of Public and Business Service Delivery, February 2023), at 12, online: </w:t>
      </w:r>
      <w:hyperlink r:id="rId127" w:history="1">
        <w:r w:rsidR="00A01343" w:rsidRPr="00740FD0">
          <w:rPr>
            <w:rStyle w:val="Hyperlink"/>
            <w:sz w:val="18"/>
            <w:szCs w:val="18"/>
          </w:rPr>
          <w:t>https://www.ontariocanada.com/registry/view.do?postingId=43452&amp;language=en</w:t>
        </w:r>
      </w:hyperlink>
      <w:r w:rsidR="00A01343" w:rsidRPr="00740FD0">
        <w:rPr>
          <w:sz w:val="18"/>
          <w:szCs w:val="18"/>
        </w:rPr>
        <w:t>.</w:t>
      </w:r>
    </w:p>
  </w:endnote>
  <w:endnote w:id="139">
    <w:p w14:paraId="6753A548" w14:textId="31EEA899" w:rsidR="00572A93" w:rsidRPr="00740FD0" w:rsidRDefault="00572A93" w:rsidP="00572A93">
      <w:pPr>
        <w:pStyle w:val="EndnoteText"/>
        <w:rPr>
          <w:sz w:val="18"/>
          <w:szCs w:val="18"/>
        </w:rPr>
      </w:pPr>
      <w:r w:rsidRPr="00740FD0">
        <w:rPr>
          <w:rStyle w:val="EndnoteReference"/>
          <w:sz w:val="18"/>
          <w:szCs w:val="18"/>
        </w:rPr>
        <w:endnoteRef/>
      </w:r>
      <w:r w:rsidRPr="00740FD0">
        <w:rPr>
          <w:sz w:val="18"/>
          <w:szCs w:val="18"/>
        </w:rPr>
        <w:t xml:space="preserve"> </w:t>
      </w:r>
      <w:r w:rsidR="00A01343" w:rsidRPr="00740FD0">
        <w:rPr>
          <w:sz w:val="18"/>
          <w:szCs w:val="18"/>
        </w:rPr>
        <w:t xml:space="preserve">Ontario, </w:t>
      </w:r>
      <w:r w:rsidR="00A01343" w:rsidRPr="00740FD0">
        <w:rPr>
          <w:i/>
          <w:iCs/>
          <w:sz w:val="18"/>
          <w:szCs w:val="18"/>
        </w:rPr>
        <w:t xml:space="preserve">Modernizing Consumer Protection in Ontario Strengthening the Consumer Protection Act </w:t>
      </w:r>
      <w:r w:rsidR="00A01343" w:rsidRPr="00740FD0">
        <w:rPr>
          <w:sz w:val="18"/>
          <w:szCs w:val="18"/>
        </w:rPr>
        <w:t xml:space="preserve">(Ministry of Public and Business Service Delivery, February 2023), at 13-14, online: </w:t>
      </w:r>
      <w:hyperlink r:id="rId128" w:history="1">
        <w:r w:rsidR="00A01343" w:rsidRPr="00740FD0">
          <w:rPr>
            <w:rStyle w:val="Hyperlink"/>
            <w:sz w:val="18"/>
            <w:szCs w:val="18"/>
          </w:rPr>
          <w:t>https://www.ontariocanada.com/registry/view.do?postingId=43452&amp;language=en</w:t>
        </w:r>
      </w:hyperlink>
      <w:r w:rsidR="00A01343" w:rsidRPr="00740FD0">
        <w:rPr>
          <w:sz w:val="18"/>
          <w:szCs w:val="18"/>
        </w:rPr>
        <w:t>.</w:t>
      </w:r>
      <w:r w:rsidRPr="00740FD0">
        <w:rPr>
          <w:sz w:val="18"/>
          <w:szCs w:val="18"/>
        </w:rPr>
        <w:t>.</w:t>
      </w:r>
    </w:p>
  </w:endnote>
  <w:endnote w:id="140">
    <w:p w14:paraId="0EF89C7E" w14:textId="1AE8DD4C" w:rsidR="00572A93" w:rsidRPr="00740FD0" w:rsidRDefault="00572A93" w:rsidP="00572A93">
      <w:pPr>
        <w:pStyle w:val="EndnoteText"/>
        <w:rPr>
          <w:sz w:val="18"/>
          <w:szCs w:val="18"/>
        </w:rPr>
      </w:pPr>
      <w:r w:rsidRPr="00740FD0">
        <w:rPr>
          <w:rStyle w:val="EndnoteReference"/>
          <w:sz w:val="18"/>
          <w:szCs w:val="18"/>
        </w:rPr>
        <w:endnoteRef/>
      </w:r>
      <w:r w:rsidRPr="00740FD0">
        <w:rPr>
          <w:sz w:val="18"/>
          <w:szCs w:val="18"/>
        </w:rPr>
        <w:t xml:space="preserve"> </w:t>
      </w:r>
      <w:r w:rsidR="00A01343" w:rsidRPr="00740FD0">
        <w:rPr>
          <w:sz w:val="18"/>
          <w:szCs w:val="18"/>
        </w:rPr>
        <w:t xml:space="preserve">Ontario, </w:t>
      </w:r>
      <w:r w:rsidR="00A01343" w:rsidRPr="00740FD0">
        <w:rPr>
          <w:i/>
          <w:iCs/>
          <w:sz w:val="18"/>
          <w:szCs w:val="18"/>
        </w:rPr>
        <w:t xml:space="preserve">Modernizing Consumer Protection in Ontario Strengthening the Consumer Protection Act </w:t>
      </w:r>
      <w:r w:rsidR="00A01343" w:rsidRPr="00740FD0">
        <w:rPr>
          <w:sz w:val="18"/>
          <w:szCs w:val="18"/>
        </w:rPr>
        <w:t xml:space="preserve">(Ministry of Public and Business Service Delivery, February 2023), at 18, online: </w:t>
      </w:r>
      <w:hyperlink r:id="rId129" w:history="1">
        <w:r w:rsidR="00A01343" w:rsidRPr="00740FD0">
          <w:rPr>
            <w:rStyle w:val="Hyperlink"/>
            <w:sz w:val="18"/>
            <w:szCs w:val="18"/>
          </w:rPr>
          <w:t>https://www.ontariocanada.com/registry/view.do?postingId=43452&amp;language=en</w:t>
        </w:r>
      </w:hyperlink>
      <w:r w:rsidR="00A01343" w:rsidRPr="00740FD0">
        <w:rPr>
          <w:sz w:val="18"/>
          <w:szCs w:val="18"/>
        </w:rPr>
        <w:t>.</w:t>
      </w:r>
      <w:r w:rsidRPr="00740FD0">
        <w:rPr>
          <w:sz w:val="18"/>
          <w:szCs w:val="18"/>
        </w:rPr>
        <w:t>.</w:t>
      </w:r>
    </w:p>
  </w:endnote>
  <w:endnote w:id="141">
    <w:p w14:paraId="2CC5B823" w14:textId="573FB882" w:rsidR="00CD55E6" w:rsidRPr="00740FD0" w:rsidRDefault="00CD55E6">
      <w:pPr>
        <w:pStyle w:val="EndnoteText"/>
        <w:rPr>
          <w:sz w:val="18"/>
          <w:szCs w:val="18"/>
        </w:rPr>
      </w:pPr>
      <w:r w:rsidRPr="00740FD0">
        <w:rPr>
          <w:rStyle w:val="EndnoteReference"/>
          <w:sz w:val="18"/>
          <w:szCs w:val="18"/>
        </w:rPr>
        <w:endnoteRef/>
      </w:r>
      <w:r w:rsidRPr="00740FD0">
        <w:rPr>
          <w:sz w:val="18"/>
          <w:szCs w:val="18"/>
        </w:rPr>
        <w:t xml:space="preserve"> </w:t>
      </w:r>
      <w:r w:rsidR="00A01343" w:rsidRPr="00740FD0">
        <w:rPr>
          <w:sz w:val="18"/>
          <w:szCs w:val="18"/>
        </w:rPr>
        <w:t xml:space="preserve">CPA s. 5. </w:t>
      </w:r>
    </w:p>
  </w:endnote>
  <w:endnote w:id="142">
    <w:p w14:paraId="5CE90023" w14:textId="4BCD2E4F" w:rsidR="00B564DC" w:rsidRPr="00740FD0" w:rsidRDefault="00B564DC" w:rsidP="00B564DC">
      <w:pPr>
        <w:pStyle w:val="EndnoteText"/>
        <w:rPr>
          <w:sz w:val="18"/>
          <w:szCs w:val="18"/>
        </w:rPr>
      </w:pPr>
      <w:r w:rsidRPr="00740FD0">
        <w:rPr>
          <w:rStyle w:val="EndnoteReference"/>
          <w:sz w:val="18"/>
          <w:szCs w:val="18"/>
        </w:rPr>
        <w:endnoteRef/>
      </w:r>
      <w:r w:rsidRPr="00740FD0">
        <w:rPr>
          <w:sz w:val="18"/>
          <w:szCs w:val="18"/>
        </w:rPr>
        <w:t xml:space="preserve"> The Guardian, “Click to agree with what? No one reads terms of service, studies confirm” (March 3, 2017), online: </w:t>
      </w:r>
      <w:hyperlink r:id="rId130" w:history="1">
        <w:r w:rsidR="00E92718" w:rsidRPr="00740FD0">
          <w:rPr>
            <w:rStyle w:val="Hyperlink"/>
            <w:sz w:val="18"/>
            <w:szCs w:val="18"/>
          </w:rPr>
          <w:t>https://www.theguardian.com/technology/2017/mar/03/terms-of-service-online-contracts-fine-print</w:t>
        </w:r>
      </w:hyperlink>
      <w:r w:rsidR="00E92718" w:rsidRPr="00740FD0">
        <w:rPr>
          <w:sz w:val="18"/>
          <w:szCs w:val="18"/>
        </w:rPr>
        <w:t xml:space="preserve">; </w:t>
      </w:r>
      <w:r w:rsidRPr="00740FD0">
        <w:rPr>
          <w:sz w:val="18"/>
          <w:szCs w:val="18"/>
        </w:rPr>
        <w:t xml:space="preserve">Vice News, “Most Online ‘Terms of Service’ Are Incomprehensible to Adults, Study Finds” (December 2, 2019), online: </w:t>
      </w:r>
      <w:hyperlink r:id="rId131" w:history="1">
        <w:r w:rsidR="00E92718" w:rsidRPr="00740FD0">
          <w:rPr>
            <w:rStyle w:val="Hyperlink"/>
            <w:sz w:val="18"/>
            <w:szCs w:val="18"/>
          </w:rPr>
          <w:t>https://www.vice.com/en/article/xwbg7j/online-contract-terms-of-service-are-incomprehensible-to-adults-study-finds</w:t>
        </w:r>
      </w:hyperlink>
      <w:r w:rsidR="00E92718" w:rsidRPr="00740FD0">
        <w:rPr>
          <w:sz w:val="18"/>
          <w:szCs w:val="18"/>
        </w:rPr>
        <w:t xml:space="preserve">; </w:t>
      </w:r>
      <w:r w:rsidRPr="00740FD0">
        <w:rPr>
          <w:sz w:val="18"/>
          <w:szCs w:val="18"/>
        </w:rPr>
        <w:t xml:space="preserve">Business Insider, “You're not alone, no one reads terms of service agreements” (November 15, 2017), online: </w:t>
      </w:r>
      <w:hyperlink r:id="rId132" w:history="1">
        <w:r w:rsidR="00E92718" w:rsidRPr="00740FD0">
          <w:rPr>
            <w:rStyle w:val="Hyperlink"/>
            <w:sz w:val="18"/>
            <w:szCs w:val="18"/>
          </w:rPr>
          <w:t>https://www.businessinsider.com/deloitte-study-91-percent-agree-terms-of-service-without-reading-2017-11</w:t>
        </w:r>
      </w:hyperlink>
      <w:r w:rsidR="00E92718" w:rsidRPr="00740FD0">
        <w:rPr>
          <w:sz w:val="18"/>
          <w:szCs w:val="18"/>
        </w:rPr>
        <w:t>.</w:t>
      </w:r>
      <w:r w:rsidRPr="00740FD0">
        <w:rPr>
          <w:sz w:val="18"/>
          <w:szCs w:val="18"/>
        </w:rPr>
        <w:t xml:space="preserve"> </w:t>
      </w:r>
    </w:p>
  </w:endnote>
  <w:endnote w:id="143">
    <w:p w14:paraId="71B726DD" w14:textId="78F8F37C" w:rsidR="00B564DC" w:rsidRPr="00740FD0" w:rsidRDefault="00B564DC" w:rsidP="00B564DC">
      <w:pPr>
        <w:pStyle w:val="EndnoteText"/>
        <w:rPr>
          <w:sz w:val="18"/>
          <w:szCs w:val="18"/>
          <w:highlight w:val="yellow"/>
        </w:rPr>
      </w:pPr>
      <w:r w:rsidRPr="00740FD0">
        <w:rPr>
          <w:rStyle w:val="EndnoteReference"/>
          <w:sz w:val="18"/>
          <w:szCs w:val="18"/>
        </w:rPr>
        <w:endnoteRef/>
      </w:r>
      <w:r w:rsidRPr="00740FD0">
        <w:rPr>
          <w:sz w:val="18"/>
          <w:szCs w:val="18"/>
        </w:rPr>
        <w:t xml:space="preserve"> </w:t>
      </w:r>
      <w:r w:rsidR="00E92718" w:rsidRPr="00740FD0">
        <w:rPr>
          <w:sz w:val="18"/>
          <w:szCs w:val="18"/>
        </w:rPr>
        <w:t xml:space="preserve">CBC News, “Can't understand clickable online contracts? It's time to legislate them away” (April 30, 2018), online: </w:t>
      </w:r>
      <w:hyperlink r:id="rId133" w:history="1">
        <w:r w:rsidR="00E92718" w:rsidRPr="00740FD0">
          <w:rPr>
            <w:rStyle w:val="Hyperlink"/>
            <w:sz w:val="18"/>
            <w:szCs w:val="18"/>
          </w:rPr>
          <w:t>https://www.cbc.ca/news/business/clickable-agreements-contract-law-1.4634780</w:t>
        </w:r>
      </w:hyperlink>
      <w:r w:rsidR="00E92718" w:rsidRPr="00740FD0">
        <w:rPr>
          <w:sz w:val="18"/>
          <w:szCs w:val="18"/>
        </w:rPr>
        <w:t xml:space="preserve">. </w:t>
      </w:r>
    </w:p>
  </w:endnote>
  <w:endnote w:id="144">
    <w:p w14:paraId="1A5AD88F" w14:textId="37D1D116" w:rsidR="00B564DC" w:rsidRPr="00740FD0" w:rsidRDefault="00B564DC" w:rsidP="00B564DC">
      <w:pPr>
        <w:pStyle w:val="EndnoteText"/>
        <w:rPr>
          <w:sz w:val="18"/>
          <w:szCs w:val="18"/>
        </w:rPr>
      </w:pPr>
      <w:r w:rsidRPr="00740FD0">
        <w:rPr>
          <w:rStyle w:val="EndnoteReference"/>
          <w:sz w:val="18"/>
          <w:szCs w:val="18"/>
        </w:rPr>
        <w:endnoteRef/>
      </w:r>
      <w:r w:rsidRPr="00740FD0">
        <w:rPr>
          <w:sz w:val="18"/>
          <w:szCs w:val="18"/>
        </w:rPr>
        <w:t xml:space="preserve"> </w:t>
      </w:r>
      <w:r w:rsidR="00E92718" w:rsidRPr="00740FD0">
        <w:rPr>
          <w:sz w:val="18"/>
          <w:szCs w:val="18"/>
        </w:rPr>
        <w:t xml:space="preserve">The Guardian, “Click to agree with what? No one reads terms of service, studies confirm” (March 3, 2017), online: </w:t>
      </w:r>
      <w:hyperlink r:id="rId134" w:history="1">
        <w:r w:rsidR="00E92718" w:rsidRPr="00740FD0">
          <w:rPr>
            <w:rStyle w:val="Hyperlink"/>
            <w:sz w:val="18"/>
            <w:szCs w:val="18"/>
          </w:rPr>
          <w:t>https://www.theguardian.com/technology/2017/mar/03/terms-of-service-online-contracts-fine-print</w:t>
        </w:r>
      </w:hyperlink>
      <w:r w:rsidR="00E92718" w:rsidRPr="00740FD0">
        <w:rPr>
          <w:sz w:val="18"/>
          <w:szCs w:val="18"/>
        </w:rPr>
        <w:t xml:space="preserve">; Vice News, “Most Online ‘Terms of Service’ Are Incomprehensible to Adults, Study Finds” (December 2, 2019), online: </w:t>
      </w:r>
      <w:hyperlink r:id="rId135" w:history="1">
        <w:r w:rsidR="00E92718" w:rsidRPr="00740FD0">
          <w:rPr>
            <w:rStyle w:val="Hyperlink"/>
            <w:sz w:val="18"/>
            <w:szCs w:val="18"/>
          </w:rPr>
          <w:t>https://www.vice.com/en/article/xwbg7j/online-contract-terms-of-service-are-incomprehensible-to-adults-study-finds</w:t>
        </w:r>
      </w:hyperlink>
      <w:r w:rsidR="00E92718" w:rsidRPr="00740FD0">
        <w:rPr>
          <w:sz w:val="18"/>
          <w:szCs w:val="18"/>
        </w:rPr>
        <w:t xml:space="preserve">; Business Insider, “You're not alone, no one reads terms of service agreements” (November 15, 2017), online: </w:t>
      </w:r>
      <w:hyperlink r:id="rId136" w:history="1">
        <w:r w:rsidR="00E92718" w:rsidRPr="00740FD0">
          <w:rPr>
            <w:rStyle w:val="Hyperlink"/>
            <w:sz w:val="18"/>
            <w:szCs w:val="18"/>
          </w:rPr>
          <w:t>https://www.businessinsider.com/deloitte-study-91-percent-agree-terms-of-service-without-reading-2017-11</w:t>
        </w:r>
      </w:hyperlink>
      <w:r w:rsidR="00E92718" w:rsidRPr="00740FD0">
        <w:rPr>
          <w:sz w:val="18"/>
          <w:szCs w:val="18"/>
        </w:rPr>
        <w:t>.</w:t>
      </w:r>
    </w:p>
  </w:endnote>
  <w:endnote w:id="145">
    <w:p w14:paraId="2A32AB8F" w14:textId="3C22F265" w:rsidR="00B564DC" w:rsidRPr="00740FD0" w:rsidRDefault="00B564DC" w:rsidP="00B564DC">
      <w:pPr>
        <w:pStyle w:val="EndnoteText"/>
        <w:rPr>
          <w:sz w:val="18"/>
          <w:szCs w:val="18"/>
        </w:rPr>
      </w:pPr>
      <w:r w:rsidRPr="00740FD0">
        <w:rPr>
          <w:rStyle w:val="EndnoteReference"/>
          <w:sz w:val="18"/>
          <w:szCs w:val="18"/>
        </w:rPr>
        <w:endnoteRef/>
      </w:r>
      <w:r w:rsidRPr="00740FD0">
        <w:rPr>
          <w:sz w:val="18"/>
          <w:szCs w:val="18"/>
        </w:rPr>
        <w:t xml:space="preserve"> </w:t>
      </w:r>
      <w:r w:rsidR="00E92718" w:rsidRPr="00740FD0">
        <w:rPr>
          <w:sz w:val="18"/>
          <w:szCs w:val="18"/>
        </w:rPr>
        <w:t xml:space="preserve">The Guardian, “Click to agree with what? No one reads terms of service, studies confirm” (March 3, 2017), online: </w:t>
      </w:r>
      <w:hyperlink r:id="rId137" w:history="1">
        <w:r w:rsidR="00E92718" w:rsidRPr="00740FD0">
          <w:rPr>
            <w:rStyle w:val="Hyperlink"/>
            <w:sz w:val="18"/>
            <w:szCs w:val="18"/>
          </w:rPr>
          <w:t>https://www.theguardian.com/technology/2017/mar/03/terms-of-service-online-contracts-fine-print</w:t>
        </w:r>
      </w:hyperlink>
      <w:r w:rsidR="00E92718" w:rsidRPr="00740FD0">
        <w:rPr>
          <w:sz w:val="18"/>
          <w:szCs w:val="18"/>
        </w:rPr>
        <w:t xml:space="preserve">; Vice News, “Most Online ‘Terms of Service’ Are Incomprehensible to Adults, Study Finds” (December 2, 2019), online: </w:t>
      </w:r>
      <w:hyperlink r:id="rId138" w:history="1">
        <w:r w:rsidR="00E92718" w:rsidRPr="00740FD0">
          <w:rPr>
            <w:rStyle w:val="Hyperlink"/>
            <w:sz w:val="18"/>
            <w:szCs w:val="18"/>
          </w:rPr>
          <w:t>https://www.vice.com/en/article/xwbg7j/online-contract-terms-of-service-are-incomprehensible-to-adults-study-finds</w:t>
        </w:r>
      </w:hyperlink>
      <w:r w:rsidR="00E92718" w:rsidRPr="00740FD0">
        <w:rPr>
          <w:sz w:val="18"/>
          <w:szCs w:val="18"/>
        </w:rPr>
        <w:t xml:space="preserve">; Business Insider, “You're not alone, no one reads terms of service agreements” (November 15, 2017), online: </w:t>
      </w:r>
      <w:hyperlink r:id="rId139" w:history="1">
        <w:r w:rsidR="00E92718" w:rsidRPr="00740FD0">
          <w:rPr>
            <w:rStyle w:val="Hyperlink"/>
            <w:sz w:val="18"/>
            <w:szCs w:val="18"/>
          </w:rPr>
          <w:t>https://www.businessinsider.com/deloitte-study-91-percent-agree-terms-of-service-without-reading-2017-11</w:t>
        </w:r>
      </w:hyperlink>
      <w:r w:rsidR="00E92718" w:rsidRPr="00740FD0">
        <w:rPr>
          <w:sz w:val="18"/>
          <w:szCs w:val="18"/>
        </w:rPr>
        <w:t>.</w:t>
      </w:r>
      <w:r w:rsidRPr="00740FD0">
        <w:rPr>
          <w:sz w:val="18"/>
          <w:szCs w:val="18"/>
        </w:rPr>
        <w:t xml:space="preserve"> Canadian studies leave little doubt that experiences are similar in this country. See</w:t>
      </w:r>
      <w:r w:rsidR="00A80D97" w:rsidRPr="00740FD0">
        <w:rPr>
          <w:sz w:val="18"/>
          <w:szCs w:val="18"/>
        </w:rPr>
        <w:t xml:space="preserve"> Jonathan Obar and Anne </w:t>
      </w:r>
      <w:r w:rsidR="00A80D97" w:rsidRPr="00740FD0">
        <w:rPr>
          <w:sz w:val="18"/>
          <w:szCs w:val="18"/>
        </w:rPr>
        <w:t xml:space="preserve">Oeldorf-Hirsch, “The Biggest Lie on the Internet: Ignoring the Privacy Policies and Terms of Service Policies of Social Networking Services” (2018 Information, Communication &amp; Society 1-20), online: </w:t>
      </w:r>
      <w:hyperlink r:id="rId140" w:history="1">
        <w:r w:rsidR="00A80D97" w:rsidRPr="00740FD0">
          <w:rPr>
            <w:rStyle w:val="Hyperlink"/>
            <w:sz w:val="18"/>
            <w:szCs w:val="18"/>
          </w:rPr>
          <w:t>https://papers.ssrn.com/sol3/papers.cfm?abstract_id=2757465</w:t>
        </w:r>
      </w:hyperlink>
      <w:r w:rsidR="00A80D97" w:rsidRPr="00740FD0">
        <w:rPr>
          <w:sz w:val="18"/>
          <w:szCs w:val="18"/>
        </w:rPr>
        <w:t>.</w:t>
      </w:r>
    </w:p>
  </w:endnote>
  <w:endnote w:id="146">
    <w:p w14:paraId="1C53B0C5" w14:textId="22AB2508" w:rsidR="005A22B2" w:rsidRPr="00740FD0" w:rsidRDefault="005A22B2">
      <w:pPr>
        <w:pStyle w:val="EndnoteText"/>
        <w:rPr>
          <w:sz w:val="18"/>
          <w:szCs w:val="18"/>
        </w:rPr>
      </w:pPr>
      <w:r w:rsidRPr="00740FD0">
        <w:rPr>
          <w:rStyle w:val="EndnoteReference"/>
          <w:sz w:val="18"/>
          <w:szCs w:val="18"/>
        </w:rPr>
        <w:endnoteRef/>
      </w:r>
      <w:r w:rsidRPr="00740FD0">
        <w:rPr>
          <w:sz w:val="18"/>
          <w:szCs w:val="18"/>
        </w:rPr>
        <w:t xml:space="preserve"> </w:t>
      </w:r>
      <w:bookmarkStart w:id="52" w:name="_Hlk138065274"/>
      <w:r w:rsidR="00A80D97" w:rsidRPr="00740FD0">
        <w:rPr>
          <w:sz w:val="18"/>
          <w:szCs w:val="18"/>
        </w:rPr>
        <w:t xml:space="preserve">New York Times, “We Read 150 Privacy Policies. They Were an Incomprehensible Disaster” (June 12, 2019), online: </w:t>
      </w:r>
      <w:hyperlink r:id="rId141" w:history="1">
        <w:r w:rsidR="00A80D97" w:rsidRPr="00740FD0">
          <w:rPr>
            <w:rStyle w:val="Hyperlink"/>
            <w:sz w:val="18"/>
            <w:szCs w:val="18"/>
          </w:rPr>
          <w:t>https://www.nytimes.com/interactive/2019/06/12/opinion/facebook-google-privacy-policies.html</w:t>
        </w:r>
      </w:hyperlink>
      <w:r w:rsidR="00A80D97" w:rsidRPr="00740FD0">
        <w:rPr>
          <w:sz w:val="18"/>
          <w:szCs w:val="18"/>
        </w:rPr>
        <w:t xml:space="preserve">. </w:t>
      </w:r>
      <w:bookmarkEnd w:id="52"/>
    </w:p>
  </w:endnote>
  <w:endnote w:id="147">
    <w:p w14:paraId="132774B4" w14:textId="5E8AC1C2" w:rsidR="003B6FC7" w:rsidRPr="00740FD0" w:rsidRDefault="003B6FC7" w:rsidP="003B6FC7">
      <w:pPr>
        <w:pStyle w:val="EndnoteText"/>
        <w:rPr>
          <w:sz w:val="18"/>
          <w:szCs w:val="18"/>
        </w:rPr>
      </w:pPr>
      <w:r w:rsidRPr="00740FD0">
        <w:rPr>
          <w:rStyle w:val="EndnoteReference"/>
          <w:sz w:val="18"/>
          <w:szCs w:val="18"/>
        </w:rPr>
        <w:endnoteRef/>
      </w:r>
      <w:r w:rsidRPr="00740FD0">
        <w:rPr>
          <w:sz w:val="18"/>
          <w:szCs w:val="18"/>
        </w:rPr>
        <w:t xml:space="preserve"> </w:t>
      </w:r>
      <w:r w:rsidR="00A80D97" w:rsidRPr="00740FD0">
        <w:rPr>
          <w:sz w:val="18"/>
          <w:szCs w:val="18"/>
        </w:rPr>
        <w:t xml:space="preserve">Suhuyini Abudulai, </w:t>
      </w:r>
      <w:r w:rsidR="00A80D97" w:rsidRPr="00740FD0">
        <w:rPr>
          <w:i/>
          <w:iCs/>
          <w:sz w:val="18"/>
          <w:szCs w:val="18"/>
        </w:rPr>
        <w:t>The Annotated Ontario Consumer Protection Act, 2023 Edition</w:t>
      </w:r>
      <w:r w:rsidR="00A80D97" w:rsidRPr="00740FD0">
        <w:rPr>
          <w:sz w:val="18"/>
          <w:szCs w:val="18"/>
        </w:rPr>
        <w:t xml:space="preserve"> (LexisNexis, October 2022) at 37. </w:t>
      </w:r>
      <w:r w:rsidRPr="00740FD0">
        <w:rPr>
          <w:sz w:val="18"/>
          <w:szCs w:val="18"/>
        </w:rPr>
        <w:t xml:space="preserve">This provision was upheld in 2011 in </w:t>
      </w:r>
      <w:r w:rsidRPr="00740FD0">
        <w:rPr>
          <w:i/>
          <w:iCs/>
          <w:sz w:val="18"/>
          <w:szCs w:val="18"/>
        </w:rPr>
        <w:t>Wright v. United Parcel Service Canada Ltd</w:t>
      </w:r>
      <w:r w:rsidR="00A80D97" w:rsidRPr="00740FD0">
        <w:rPr>
          <w:sz w:val="18"/>
          <w:szCs w:val="18"/>
        </w:rPr>
        <w:t>.</w:t>
      </w:r>
      <w:r w:rsidRPr="00740FD0">
        <w:rPr>
          <w:sz w:val="18"/>
          <w:szCs w:val="18"/>
        </w:rPr>
        <w:t xml:space="preserve"> </w:t>
      </w:r>
      <w:r w:rsidR="00A80D97" w:rsidRPr="00740FD0">
        <w:rPr>
          <w:sz w:val="18"/>
          <w:szCs w:val="18"/>
        </w:rPr>
        <w:t>(</w:t>
      </w:r>
      <w:r w:rsidRPr="00740FD0">
        <w:rPr>
          <w:sz w:val="18"/>
          <w:szCs w:val="18"/>
        </w:rPr>
        <w:t>[2011] O.J. No. 3936, 2011 ONSC 5044 (Ont. S.C.J.), leave to appeal refused [2014] O.J. No. 1799, 2014 ONSC 1008 (Ont. Div. Ct.)</w:t>
      </w:r>
      <w:r w:rsidR="00A80D97" w:rsidRPr="00740FD0">
        <w:rPr>
          <w:sz w:val="18"/>
          <w:szCs w:val="18"/>
        </w:rPr>
        <w:t>)</w:t>
      </w:r>
      <w:r w:rsidRPr="00740FD0">
        <w:rPr>
          <w:sz w:val="18"/>
          <w:szCs w:val="18"/>
        </w:rPr>
        <w:t>.</w:t>
      </w:r>
    </w:p>
  </w:endnote>
  <w:endnote w:id="148">
    <w:p w14:paraId="4CB1AE22" w14:textId="1080B3C2" w:rsidR="00B564DC" w:rsidRPr="00740FD0" w:rsidRDefault="00B564DC" w:rsidP="00B564DC">
      <w:pPr>
        <w:pStyle w:val="EndnoteText"/>
        <w:rPr>
          <w:sz w:val="18"/>
          <w:szCs w:val="18"/>
        </w:rPr>
      </w:pPr>
      <w:r w:rsidRPr="00740FD0">
        <w:rPr>
          <w:rStyle w:val="EndnoteReference"/>
          <w:sz w:val="18"/>
          <w:szCs w:val="18"/>
        </w:rPr>
        <w:endnoteRef/>
      </w:r>
      <w:r w:rsidRPr="00740FD0">
        <w:rPr>
          <w:sz w:val="18"/>
          <w:szCs w:val="18"/>
        </w:rPr>
        <w:t xml:space="preserve"> </w:t>
      </w:r>
      <w:r w:rsidR="00A80D97" w:rsidRPr="00740FD0">
        <w:rPr>
          <w:sz w:val="18"/>
          <w:szCs w:val="18"/>
        </w:rPr>
        <w:t xml:space="preserve">Suhuyini Abudulai, </w:t>
      </w:r>
      <w:r w:rsidR="00A80D97" w:rsidRPr="00740FD0">
        <w:rPr>
          <w:i/>
          <w:iCs/>
          <w:sz w:val="18"/>
          <w:szCs w:val="18"/>
        </w:rPr>
        <w:t>The Annotated Ontario Consumer Protection Act, 2023 Edition</w:t>
      </w:r>
      <w:r w:rsidR="00A80D97" w:rsidRPr="00740FD0">
        <w:rPr>
          <w:sz w:val="18"/>
          <w:szCs w:val="18"/>
        </w:rPr>
        <w:t xml:space="preserve"> (LexisNexis, October 2022) at 37. This provision was upheld in 2011 in </w:t>
      </w:r>
      <w:r w:rsidR="00A80D97" w:rsidRPr="00740FD0">
        <w:rPr>
          <w:i/>
          <w:iCs/>
          <w:sz w:val="18"/>
          <w:szCs w:val="18"/>
        </w:rPr>
        <w:t>Wright v. United Parcel Service Canada Ltd</w:t>
      </w:r>
      <w:r w:rsidR="00A80D97" w:rsidRPr="00740FD0">
        <w:rPr>
          <w:sz w:val="18"/>
          <w:szCs w:val="18"/>
        </w:rPr>
        <w:t>. ([2011] O.J. No. 3936, 2011 ONSC 5044 (Ont. S.C.J.), leave to appeal refused [2014] O.J. No. 1799, 2014 ONSC 1008 (Ont. Div. Ct.)).</w:t>
      </w:r>
    </w:p>
  </w:endnote>
  <w:endnote w:id="149">
    <w:p w14:paraId="321B0684" w14:textId="77777777" w:rsidR="00A44CB9" w:rsidRPr="00740FD0" w:rsidRDefault="00A44CB9" w:rsidP="00A44CB9">
      <w:pPr>
        <w:pStyle w:val="EndnoteText"/>
        <w:rPr>
          <w:sz w:val="18"/>
          <w:szCs w:val="18"/>
        </w:rPr>
      </w:pPr>
      <w:r w:rsidRPr="00740FD0">
        <w:rPr>
          <w:rStyle w:val="EndnoteReference"/>
          <w:sz w:val="18"/>
          <w:szCs w:val="18"/>
        </w:rPr>
        <w:endnoteRef/>
      </w:r>
      <w:r w:rsidRPr="00740FD0">
        <w:rPr>
          <w:sz w:val="18"/>
          <w:szCs w:val="18"/>
        </w:rPr>
        <w:t xml:space="preserve"> See Florencia Marotta-Wurgler, “Does Contract Disclosure Matter?” (168 Journal of Institutional and Theoretical Economics 1 (March 2012); Florencia Marotta-Wurgler, “Will Increased Disclosure Help? Evaluating the Recommendations of the ALI’s Principles of the Law of Software Contracts” (78 University of Chicago Law Review 165 (2011)); and Yannis </w:t>
      </w:r>
      <w:r w:rsidRPr="00740FD0">
        <w:rPr>
          <w:sz w:val="18"/>
          <w:szCs w:val="18"/>
        </w:rPr>
        <w:t>Bakos, Florencia Marotta-Wurgler, and David R Trossen, “Does Anyone Read the Fine Print? Consumer Attention to Standard-Form Contracts” (43 Journal of Legal Studies 1 (January 2014).</w:t>
      </w:r>
    </w:p>
  </w:endnote>
  <w:endnote w:id="150">
    <w:p w14:paraId="533BC253" w14:textId="23125C07" w:rsidR="00D257B4" w:rsidRPr="00740FD0" w:rsidRDefault="00D257B4">
      <w:pPr>
        <w:pStyle w:val="EndnoteText"/>
        <w:rPr>
          <w:sz w:val="18"/>
          <w:szCs w:val="18"/>
        </w:rPr>
      </w:pPr>
      <w:r w:rsidRPr="00740FD0">
        <w:rPr>
          <w:rStyle w:val="EndnoteReference"/>
          <w:sz w:val="18"/>
          <w:szCs w:val="18"/>
        </w:rPr>
        <w:endnoteRef/>
      </w:r>
      <w:r w:rsidRPr="00740FD0">
        <w:rPr>
          <w:sz w:val="18"/>
          <w:szCs w:val="18"/>
        </w:rPr>
        <w:t xml:space="preserve"> </w:t>
      </w:r>
      <w:r w:rsidR="006B2A27" w:rsidRPr="00740FD0">
        <w:rPr>
          <w:sz w:val="18"/>
          <w:szCs w:val="18"/>
        </w:rPr>
        <w:t>Organization for Economic Cooperation and Development</w:t>
      </w:r>
      <w:r w:rsidR="008A3116" w:rsidRPr="00740FD0">
        <w:rPr>
          <w:sz w:val="18"/>
          <w:szCs w:val="18"/>
        </w:rPr>
        <w:t xml:space="preserve">, </w:t>
      </w:r>
      <w:r w:rsidRPr="00740FD0">
        <w:rPr>
          <w:i/>
          <w:iCs/>
          <w:sz w:val="18"/>
          <w:szCs w:val="18"/>
        </w:rPr>
        <w:t>Enhancing Online Disclosure Effectiveness</w:t>
      </w:r>
      <w:r w:rsidRPr="00740FD0">
        <w:rPr>
          <w:sz w:val="18"/>
          <w:szCs w:val="18"/>
        </w:rPr>
        <w:t xml:space="preserve"> </w:t>
      </w:r>
      <w:r w:rsidR="008A3116" w:rsidRPr="00740FD0">
        <w:rPr>
          <w:sz w:val="18"/>
          <w:szCs w:val="18"/>
        </w:rPr>
        <w:t xml:space="preserve">(October </w:t>
      </w:r>
      <w:r w:rsidRPr="00740FD0">
        <w:rPr>
          <w:sz w:val="18"/>
          <w:szCs w:val="18"/>
        </w:rPr>
        <w:t>2022</w:t>
      </w:r>
      <w:r w:rsidR="008A3116" w:rsidRPr="00740FD0">
        <w:rPr>
          <w:sz w:val="18"/>
          <w:szCs w:val="18"/>
        </w:rPr>
        <w:t>)</w:t>
      </w:r>
      <w:r w:rsidRPr="00740FD0">
        <w:rPr>
          <w:sz w:val="18"/>
          <w:szCs w:val="18"/>
        </w:rPr>
        <w:t xml:space="preserve"> at 2, 7</w:t>
      </w:r>
      <w:r w:rsidR="008A3116" w:rsidRPr="00740FD0">
        <w:rPr>
          <w:sz w:val="18"/>
          <w:szCs w:val="18"/>
        </w:rPr>
        <w:t xml:space="preserve">, online: </w:t>
      </w:r>
      <w:hyperlink r:id="rId142" w:history="1">
        <w:r w:rsidR="008A3116" w:rsidRPr="00740FD0">
          <w:rPr>
            <w:rStyle w:val="Hyperlink"/>
            <w:sz w:val="18"/>
            <w:szCs w:val="18"/>
          </w:rPr>
          <w:t>https://www.oecd.org/publications/enhancing-online-disclosure-effectiveness-6d7ea79c-en.htm</w:t>
        </w:r>
      </w:hyperlink>
      <w:r w:rsidR="008A3116" w:rsidRPr="00740FD0">
        <w:rPr>
          <w:sz w:val="18"/>
          <w:szCs w:val="18"/>
        </w:rPr>
        <w:t xml:space="preserve">. </w:t>
      </w:r>
    </w:p>
  </w:endnote>
  <w:endnote w:id="151">
    <w:p w14:paraId="46B80E6C" w14:textId="022D49E5" w:rsidR="0082208D" w:rsidRPr="00740FD0" w:rsidRDefault="0082208D">
      <w:pPr>
        <w:pStyle w:val="EndnoteText"/>
        <w:rPr>
          <w:sz w:val="18"/>
          <w:szCs w:val="18"/>
        </w:rPr>
      </w:pPr>
      <w:r w:rsidRPr="00740FD0">
        <w:rPr>
          <w:rStyle w:val="EndnoteReference"/>
          <w:sz w:val="18"/>
          <w:szCs w:val="18"/>
        </w:rPr>
        <w:endnoteRef/>
      </w:r>
      <w:r w:rsidRPr="00740FD0">
        <w:rPr>
          <w:sz w:val="18"/>
          <w:szCs w:val="18"/>
        </w:rPr>
        <w:t xml:space="preserve"> </w:t>
      </w:r>
      <w:r w:rsidR="006B2A27" w:rsidRPr="00740FD0">
        <w:rPr>
          <w:sz w:val="18"/>
          <w:szCs w:val="18"/>
        </w:rPr>
        <w:t xml:space="preserve">Organization for Economic Cooperation and </w:t>
      </w:r>
      <w:r w:rsidR="006B2A27" w:rsidRPr="00740FD0">
        <w:rPr>
          <w:sz w:val="18"/>
          <w:szCs w:val="18"/>
        </w:rPr>
        <w:t>DEvelopment</w:t>
      </w:r>
      <w:r w:rsidR="008A3116" w:rsidRPr="00740FD0">
        <w:rPr>
          <w:sz w:val="18"/>
          <w:szCs w:val="18"/>
        </w:rPr>
        <w:t xml:space="preserve">, </w:t>
      </w:r>
      <w:r w:rsidR="008A3116" w:rsidRPr="00740FD0">
        <w:rPr>
          <w:i/>
          <w:iCs/>
          <w:sz w:val="18"/>
          <w:szCs w:val="18"/>
        </w:rPr>
        <w:t>Enhancing Online Disclosure Effectiveness</w:t>
      </w:r>
      <w:r w:rsidR="008A3116" w:rsidRPr="00740FD0">
        <w:rPr>
          <w:sz w:val="18"/>
          <w:szCs w:val="18"/>
        </w:rPr>
        <w:t xml:space="preserve"> (October 2022) at 7, online: </w:t>
      </w:r>
      <w:hyperlink r:id="rId143" w:history="1">
        <w:r w:rsidR="008A3116" w:rsidRPr="00740FD0">
          <w:rPr>
            <w:rStyle w:val="Hyperlink"/>
            <w:sz w:val="18"/>
            <w:szCs w:val="18"/>
          </w:rPr>
          <w:t>https://www.oecd.org/publications/enhancing-online-disclosure-effectiveness-6d7ea79c-en.htm</w:t>
        </w:r>
      </w:hyperlink>
      <w:r w:rsidR="008A3116" w:rsidRPr="00740FD0">
        <w:rPr>
          <w:sz w:val="18"/>
          <w:szCs w:val="18"/>
        </w:rPr>
        <w:t>.</w:t>
      </w:r>
    </w:p>
  </w:endnote>
  <w:endnote w:id="152">
    <w:p w14:paraId="705ED56C" w14:textId="60503D40" w:rsidR="00E36044" w:rsidRPr="00740FD0" w:rsidRDefault="00E36044">
      <w:pPr>
        <w:pStyle w:val="EndnoteText"/>
        <w:rPr>
          <w:sz w:val="18"/>
          <w:szCs w:val="18"/>
        </w:rPr>
      </w:pPr>
      <w:r w:rsidRPr="00740FD0">
        <w:rPr>
          <w:rStyle w:val="EndnoteReference"/>
          <w:sz w:val="18"/>
          <w:szCs w:val="18"/>
        </w:rPr>
        <w:endnoteRef/>
      </w:r>
      <w:r w:rsidRPr="00740FD0">
        <w:rPr>
          <w:sz w:val="18"/>
          <w:szCs w:val="18"/>
        </w:rPr>
        <w:t xml:space="preserve"> </w:t>
      </w:r>
      <w:r w:rsidR="008A3116" w:rsidRPr="00740FD0">
        <w:rPr>
          <w:sz w:val="18"/>
          <w:szCs w:val="18"/>
        </w:rPr>
        <w:t xml:space="preserve">Florencia Marotta-Wurgler, “Does Contract Disclosure Matter?” (168 Journal of Institutional and Theoretical Economics 1 (March 2012) at </w:t>
      </w:r>
      <w:r w:rsidR="003F2E22" w:rsidRPr="00740FD0">
        <w:rPr>
          <w:sz w:val="18"/>
          <w:szCs w:val="18"/>
        </w:rPr>
        <w:t>1</w:t>
      </w:r>
      <w:r w:rsidR="008A3116" w:rsidRPr="00740FD0">
        <w:rPr>
          <w:sz w:val="18"/>
          <w:szCs w:val="18"/>
        </w:rPr>
        <w:t xml:space="preserve">. </w:t>
      </w:r>
    </w:p>
  </w:endnote>
  <w:endnote w:id="153">
    <w:p w14:paraId="44756F88" w14:textId="2B083C59" w:rsidR="00E36044" w:rsidRPr="00740FD0" w:rsidRDefault="00E36044" w:rsidP="00E36044">
      <w:pPr>
        <w:pStyle w:val="EndnoteText"/>
        <w:rPr>
          <w:sz w:val="18"/>
          <w:szCs w:val="18"/>
        </w:rPr>
      </w:pPr>
      <w:r w:rsidRPr="00740FD0">
        <w:rPr>
          <w:rStyle w:val="EndnoteReference"/>
          <w:sz w:val="18"/>
          <w:szCs w:val="18"/>
        </w:rPr>
        <w:endnoteRef/>
      </w:r>
      <w:r w:rsidRPr="00740FD0">
        <w:rPr>
          <w:sz w:val="18"/>
          <w:szCs w:val="18"/>
        </w:rPr>
        <w:t xml:space="preserve"> </w:t>
      </w:r>
      <w:r w:rsidR="008A3116" w:rsidRPr="00740FD0">
        <w:rPr>
          <w:sz w:val="18"/>
          <w:szCs w:val="18"/>
        </w:rPr>
        <w:t xml:space="preserve">Florencia Marotta-Wurgler, “Does Contract Disclosure Matter?” (168 Journal of Institutional and Theoretical Economics 1 (March 2012) at </w:t>
      </w:r>
      <w:r w:rsidR="003F2E22" w:rsidRPr="00740FD0">
        <w:rPr>
          <w:sz w:val="18"/>
          <w:szCs w:val="18"/>
        </w:rPr>
        <w:t>1</w:t>
      </w:r>
      <w:r w:rsidR="008A3116" w:rsidRPr="00740FD0">
        <w:rPr>
          <w:sz w:val="18"/>
          <w:szCs w:val="18"/>
        </w:rPr>
        <w:t xml:space="preserve">. </w:t>
      </w:r>
    </w:p>
  </w:endnote>
  <w:endnote w:id="154">
    <w:p w14:paraId="7CB26FD6" w14:textId="78ECFBFB" w:rsidR="00E36044" w:rsidRPr="00740FD0" w:rsidRDefault="00E36044" w:rsidP="00E36044">
      <w:pPr>
        <w:pStyle w:val="EndnoteText"/>
        <w:rPr>
          <w:sz w:val="18"/>
          <w:szCs w:val="18"/>
        </w:rPr>
      </w:pPr>
      <w:r w:rsidRPr="00740FD0">
        <w:rPr>
          <w:rStyle w:val="EndnoteReference"/>
          <w:sz w:val="18"/>
          <w:szCs w:val="18"/>
        </w:rPr>
        <w:endnoteRef/>
      </w:r>
      <w:r w:rsidRPr="00740FD0">
        <w:rPr>
          <w:sz w:val="18"/>
          <w:szCs w:val="18"/>
        </w:rPr>
        <w:t xml:space="preserve"> </w:t>
      </w:r>
      <w:r w:rsidR="008A3116" w:rsidRPr="00740FD0">
        <w:rPr>
          <w:sz w:val="18"/>
          <w:szCs w:val="18"/>
        </w:rPr>
        <w:t xml:space="preserve">Yannis </w:t>
      </w:r>
      <w:r w:rsidR="008A3116" w:rsidRPr="00740FD0">
        <w:rPr>
          <w:sz w:val="18"/>
          <w:szCs w:val="18"/>
        </w:rPr>
        <w:t xml:space="preserve">Bakos, Florencia Marotta-Wurgler, and David R Trossen, “Does Anyone Read the Fine Print? Consumer Attention to Standard-Form Contracts” (43 Journal of Legal Studies 1 (January 2014) at </w:t>
      </w:r>
      <w:r w:rsidR="003F2E22" w:rsidRPr="00740FD0">
        <w:rPr>
          <w:sz w:val="18"/>
          <w:szCs w:val="18"/>
        </w:rPr>
        <w:t>1</w:t>
      </w:r>
      <w:r w:rsidR="008A3116" w:rsidRPr="00740FD0">
        <w:rPr>
          <w:sz w:val="18"/>
          <w:szCs w:val="18"/>
        </w:rPr>
        <w:t xml:space="preserve">. </w:t>
      </w:r>
    </w:p>
  </w:endnote>
  <w:endnote w:id="155">
    <w:p w14:paraId="32E2538E" w14:textId="2C99FECC" w:rsidR="00E36044" w:rsidRPr="00740FD0" w:rsidRDefault="00E36044" w:rsidP="00E36044">
      <w:pPr>
        <w:pStyle w:val="EndnoteText"/>
        <w:rPr>
          <w:sz w:val="18"/>
          <w:szCs w:val="18"/>
        </w:rPr>
      </w:pPr>
      <w:r w:rsidRPr="00740FD0">
        <w:rPr>
          <w:rStyle w:val="EndnoteReference"/>
          <w:sz w:val="18"/>
          <w:szCs w:val="18"/>
        </w:rPr>
        <w:endnoteRef/>
      </w:r>
      <w:r w:rsidRPr="00740FD0">
        <w:rPr>
          <w:sz w:val="18"/>
          <w:szCs w:val="18"/>
        </w:rPr>
        <w:t xml:space="preserve"> </w:t>
      </w:r>
      <w:r w:rsidR="008A3116" w:rsidRPr="00740FD0">
        <w:rPr>
          <w:sz w:val="18"/>
          <w:szCs w:val="18"/>
        </w:rPr>
        <w:t xml:space="preserve">Yannis </w:t>
      </w:r>
      <w:r w:rsidR="008A3116" w:rsidRPr="00740FD0">
        <w:rPr>
          <w:sz w:val="18"/>
          <w:szCs w:val="18"/>
        </w:rPr>
        <w:t xml:space="preserve">Bakos, Florencia Marotta-Wurgler, and David R Trossen, “Does Anyone Read the Fine Print? Consumer Attention to Standard-Form Contracts” (43 Journal of Legal Studies 1 (January 2014) at </w:t>
      </w:r>
      <w:r w:rsidR="003F2E22" w:rsidRPr="00740FD0">
        <w:rPr>
          <w:sz w:val="18"/>
          <w:szCs w:val="18"/>
        </w:rPr>
        <w:t>1</w:t>
      </w:r>
      <w:r w:rsidR="008A3116" w:rsidRPr="00740FD0">
        <w:rPr>
          <w:sz w:val="18"/>
          <w:szCs w:val="18"/>
        </w:rPr>
        <w:t xml:space="preserve">. </w:t>
      </w:r>
    </w:p>
  </w:endnote>
  <w:endnote w:id="156">
    <w:p w14:paraId="27098D4F" w14:textId="23C8E322" w:rsidR="00E36044" w:rsidRPr="00740FD0" w:rsidRDefault="00E36044" w:rsidP="00E36044">
      <w:pPr>
        <w:pStyle w:val="EndnoteText"/>
        <w:rPr>
          <w:sz w:val="18"/>
          <w:szCs w:val="18"/>
        </w:rPr>
      </w:pPr>
      <w:r w:rsidRPr="00740FD0">
        <w:rPr>
          <w:rStyle w:val="EndnoteReference"/>
          <w:sz w:val="18"/>
          <w:szCs w:val="18"/>
        </w:rPr>
        <w:endnoteRef/>
      </w:r>
      <w:r w:rsidRPr="00740FD0">
        <w:rPr>
          <w:sz w:val="18"/>
          <w:szCs w:val="18"/>
        </w:rPr>
        <w:t xml:space="preserve"> </w:t>
      </w:r>
      <w:r w:rsidR="008A3116" w:rsidRPr="00740FD0">
        <w:rPr>
          <w:sz w:val="18"/>
          <w:szCs w:val="18"/>
        </w:rPr>
        <w:t xml:space="preserve">Florencia Marotta-Wurgler, “Will Increased Disclosure Help? Evaluating the Recommendations of the ALI’s Principles of the Law of Software Contracts” (78 University of Chicago Law Review 165 (2011) at </w:t>
      </w:r>
      <w:r w:rsidR="003F2E22" w:rsidRPr="00740FD0">
        <w:rPr>
          <w:sz w:val="18"/>
          <w:szCs w:val="18"/>
        </w:rPr>
        <w:t>1</w:t>
      </w:r>
      <w:r w:rsidR="008A3116" w:rsidRPr="00740FD0">
        <w:rPr>
          <w:sz w:val="18"/>
          <w:szCs w:val="18"/>
        </w:rPr>
        <w:t xml:space="preserve">. </w:t>
      </w:r>
    </w:p>
  </w:endnote>
  <w:endnote w:id="157">
    <w:p w14:paraId="56B60162" w14:textId="5E212D34" w:rsidR="00D350BF" w:rsidRPr="00740FD0" w:rsidRDefault="00D350BF" w:rsidP="00D350BF">
      <w:pPr>
        <w:pStyle w:val="EndnoteText"/>
        <w:rPr>
          <w:sz w:val="18"/>
          <w:szCs w:val="18"/>
        </w:rPr>
      </w:pPr>
      <w:r w:rsidRPr="00740FD0">
        <w:rPr>
          <w:rStyle w:val="EndnoteReference"/>
          <w:sz w:val="18"/>
          <w:szCs w:val="18"/>
        </w:rPr>
        <w:endnoteRef/>
      </w:r>
      <w:r w:rsidRPr="00740FD0">
        <w:rPr>
          <w:sz w:val="18"/>
          <w:szCs w:val="18"/>
        </w:rPr>
        <w:t xml:space="preserve"> Public Interest Advocacy Centre</w:t>
      </w:r>
      <w:r w:rsidRPr="00740FD0">
        <w:rPr>
          <w:i/>
          <w:iCs/>
          <w:sz w:val="18"/>
          <w:szCs w:val="18"/>
        </w:rPr>
        <w:t>, No Such Thing as a Free Lunch: Consumer Contracts and "Free" Services</w:t>
      </w:r>
      <w:r w:rsidRPr="00740FD0">
        <w:rPr>
          <w:sz w:val="18"/>
          <w:szCs w:val="18"/>
        </w:rPr>
        <w:t xml:space="preserve"> (</w:t>
      </w:r>
      <w:r w:rsidR="008A3116" w:rsidRPr="00740FD0">
        <w:rPr>
          <w:sz w:val="18"/>
          <w:szCs w:val="18"/>
        </w:rPr>
        <w:t>November</w:t>
      </w:r>
      <w:r w:rsidRPr="00740FD0">
        <w:rPr>
          <w:sz w:val="18"/>
          <w:szCs w:val="18"/>
        </w:rPr>
        <w:t xml:space="preserve"> 2014) at 37, online: </w:t>
      </w:r>
      <w:hyperlink r:id="rId144" w:history="1">
        <w:r w:rsidR="008A3116" w:rsidRPr="00740FD0">
          <w:rPr>
            <w:rStyle w:val="Hyperlink"/>
            <w:sz w:val="18"/>
            <w:szCs w:val="18"/>
          </w:rPr>
          <w:t>https://www.piac.ca/wp-content/uploads/2014/11/free_services.pdf</w:t>
        </w:r>
      </w:hyperlink>
      <w:r w:rsidR="008A3116" w:rsidRPr="00740FD0">
        <w:rPr>
          <w:sz w:val="18"/>
          <w:szCs w:val="18"/>
        </w:rPr>
        <w:t>.</w:t>
      </w:r>
    </w:p>
  </w:endnote>
  <w:endnote w:id="158">
    <w:p w14:paraId="5B2E1E27" w14:textId="25DD8186" w:rsidR="00363B90" w:rsidRPr="00740FD0" w:rsidRDefault="00363B90">
      <w:pPr>
        <w:pStyle w:val="EndnoteText"/>
        <w:rPr>
          <w:sz w:val="18"/>
          <w:szCs w:val="18"/>
        </w:rPr>
      </w:pPr>
      <w:r w:rsidRPr="00740FD0">
        <w:rPr>
          <w:rStyle w:val="EndnoteReference"/>
          <w:sz w:val="18"/>
          <w:szCs w:val="18"/>
        </w:rPr>
        <w:endnoteRef/>
      </w:r>
      <w:r w:rsidRPr="00740FD0">
        <w:rPr>
          <w:sz w:val="18"/>
          <w:szCs w:val="18"/>
        </w:rPr>
        <w:t xml:space="preserve"> </w:t>
      </w:r>
      <w:r w:rsidR="00F45D85" w:rsidRPr="00740FD0">
        <w:rPr>
          <w:sz w:val="18"/>
          <w:szCs w:val="18"/>
        </w:rPr>
        <w:t xml:space="preserve">See Yannis </w:t>
      </w:r>
      <w:r w:rsidR="00F45D85" w:rsidRPr="00740FD0">
        <w:rPr>
          <w:sz w:val="18"/>
          <w:szCs w:val="18"/>
        </w:rPr>
        <w:t>Bakos, Florencia Marotta-Wurgler, and David R Trossen, “Does Anyone Read the Fine Print? Consumer Attention to Standard-Form Contracts” (43 Journal of Legal Studies 1 (January 2014).</w:t>
      </w:r>
    </w:p>
  </w:endnote>
  <w:endnote w:id="159">
    <w:p w14:paraId="5871E10D" w14:textId="0C10DF8E" w:rsidR="007E17D4" w:rsidRPr="00740FD0" w:rsidRDefault="007E17D4" w:rsidP="007E17D4">
      <w:pPr>
        <w:pStyle w:val="EndnoteText"/>
        <w:rPr>
          <w:sz w:val="18"/>
          <w:szCs w:val="18"/>
        </w:rPr>
      </w:pPr>
      <w:r w:rsidRPr="00740FD0">
        <w:rPr>
          <w:rStyle w:val="EndnoteReference"/>
          <w:sz w:val="18"/>
          <w:szCs w:val="18"/>
        </w:rPr>
        <w:endnoteRef/>
      </w:r>
      <w:r w:rsidRPr="00740FD0">
        <w:rPr>
          <w:sz w:val="18"/>
          <w:szCs w:val="18"/>
        </w:rPr>
        <w:t xml:space="preserve"> </w:t>
      </w:r>
      <w:r w:rsidR="009A7593" w:rsidRPr="00740FD0">
        <w:rPr>
          <w:sz w:val="18"/>
          <w:szCs w:val="18"/>
        </w:rPr>
        <w:t xml:space="preserve">See for instance the database at “Terms </w:t>
      </w:r>
      <w:r w:rsidR="009A7593" w:rsidRPr="00740FD0">
        <w:rPr>
          <w:sz w:val="18"/>
          <w:szCs w:val="18"/>
        </w:rPr>
        <w:t xml:space="preserve">Of Service; Didn’t Read,” online: </w:t>
      </w:r>
      <w:hyperlink r:id="rId145" w:history="1">
        <w:r w:rsidR="009A7593" w:rsidRPr="00740FD0">
          <w:rPr>
            <w:rStyle w:val="Hyperlink"/>
            <w:sz w:val="18"/>
            <w:szCs w:val="18"/>
          </w:rPr>
          <w:t>https://tosdr.org/</w:t>
        </w:r>
      </w:hyperlink>
      <w:r w:rsidR="009A7593" w:rsidRPr="00740FD0">
        <w:rPr>
          <w:sz w:val="18"/>
          <w:szCs w:val="18"/>
        </w:rPr>
        <w:t xml:space="preserve"> which illustrates the numerous consequential terms consumers may be unaware of.</w:t>
      </w:r>
    </w:p>
  </w:endnote>
  <w:endnote w:id="160">
    <w:p w14:paraId="4BFF3B32" w14:textId="71D90039" w:rsidR="0087561F" w:rsidRPr="00740FD0" w:rsidRDefault="0087561F" w:rsidP="0087561F">
      <w:pPr>
        <w:pStyle w:val="EndnoteText"/>
        <w:rPr>
          <w:sz w:val="18"/>
          <w:szCs w:val="18"/>
        </w:rPr>
      </w:pPr>
      <w:r w:rsidRPr="00740FD0">
        <w:rPr>
          <w:rStyle w:val="EndnoteReference"/>
          <w:sz w:val="18"/>
          <w:szCs w:val="18"/>
        </w:rPr>
        <w:endnoteRef/>
      </w:r>
      <w:r w:rsidRPr="00740FD0">
        <w:rPr>
          <w:sz w:val="18"/>
          <w:szCs w:val="18"/>
        </w:rPr>
        <w:t xml:space="preserve"> </w:t>
      </w:r>
      <w:r w:rsidR="009A7593" w:rsidRPr="00740FD0">
        <w:rPr>
          <w:sz w:val="18"/>
          <w:szCs w:val="18"/>
        </w:rPr>
        <w:t xml:space="preserve">Organization for Economic Cooperation and Development, </w:t>
      </w:r>
      <w:r w:rsidR="009A7593" w:rsidRPr="00740FD0">
        <w:rPr>
          <w:i/>
          <w:iCs/>
          <w:sz w:val="18"/>
          <w:szCs w:val="18"/>
        </w:rPr>
        <w:t xml:space="preserve">Dark Commercial Patterns </w:t>
      </w:r>
      <w:r w:rsidR="009A7593" w:rsidRPr="00740FD0">
        <w:rPr>
          <w:sz w:val="18"/>
          <w:szCs w:val="18"/>
        </w:rPr>
        <w:t xml:space="preserve">(October 2022) at 7, online: </w:t>
      </w:r>
      <w:hyperlink r:id="rId146" w:history="1">
        <w:r w:rsidR="009A7593" w:rsidRPr="00740FD0">
          <w:rPr>
            <w:rStyle w:val="Hyperlink"/>
            <w:sz w:val="18"/>
            <w:szCs w:val="18"/>
          </w:rPr>
          <w:t>https://www.oecd.org/digital/dark-commercial-patterns-44f5e846-en.htm</w:t>
        </w:r>
      </w:hyperlink>
      <w:r w:rsidRPr="00740FD0">
        <w:rPr>
          <w:sz w:val="18"/>
          <w:szCs w:val="18"/>
        </w:rPr>
        <w:t>.</w:t>
      </w:r>
    </w:p>
  </w:endnote>
  <w:endnote w:id="161">
    <w:p w14:paraId="198ECEE0" w14:textId="79087E24" w:rsidR="0087561F" w:rsidRPr="00740FD0" w:rsidRDefault="0087561F" w:rsidP="0087561F">
      <w:pPr>
        <w:pStyle w:val="EndnoteText"/>
        <w:rPr>
          <w:sz w:val="18"/>
          <w:szCs w:val="18"/>
        </w:rPr>
      </w:pPr>
      <w:r w:rsidRPr="00740FD0">
        <w:rPr>
          <w:rStyle w:val="EndnoteReference"/>
          <w:sz w:val="18"/>
          <w:szCs w:val="18"/>
        </w:rPr>
        <w:endnoteRef/>
      </w:r>
      <w:r w:rsidRPr="00740FD0">
        <w:rPr>
          <w:sz w:val="18"/>
          <w:szCs w:val="18"/>
        </w:rPr>
        <w:t xml:space="preserve"> </w:t>
      </w:r>
      <w:r w:rsidR="009A7593" w:rsidRPr="00740FD0">
        <w:rPr>
          <w:sz w:val="18"/>
          <w:szCs w:val="18"/>
        </w:rPr>
        <w:t xml:space="preserve">Organization for Economic Cooperation and Development, </w:t>
      </w:r>
      <w:r w:rsidR="009A7593" w:rsidRPr="00740FD0">
        <w:rPr>
          <w:i/>
          <w:iCs/>
          <w:sz w:val="18"/>
          <w:szCs w:val="18"/>
        </w:rPr>
        <w:t xml:space="preserve">Dark Commercial Patterns </w:t>
      </w:r>
      <w:r w:rsidR="009A7593" w:rsidRPr="00740FD0">
        <w:rPr>
          <w:sz w:val="18"/>
          <w:szCs w:val="18"/>
        </w:rPr>
        <w:t xml:space="preserve">(October 2022) at 17, online: </w:t>
      </w:r>
      <w:hyperlink r:id="rId147" w:history="1">
        <w:r w:rsidR="009A7593" w:rsidRPr="00740FD0">
          <w:rPr>
            <w:rStyle w:val="Hyperlink"/>
            <w:sz w:val="18"/>
            <w:szCs w:val="18"/>
          </w:rPr>
          <w:t>https://www.oecd.org/digital/dark-commercial-patterns-44f5e846-en.htm</w:t>
        </w:r>
      </w:hyperlink>
      <w:r w:rsidRPr="00740FD0">
        <w:rPr>
          <w:sz w:val="18"/>
          <w:szCs w:val="18"/>
        </w:rPr>
        <w:t>.</w:t>
      </w:r>
    </w:p>
  </w:endnote>
  <w:endnote w:id="162">
    <w:p w14:paraId="7B1BC263" w14:textId="6AAA8846" w:rsidR="00FB1CDD" w:rsidRPr="00740FD0" w:rsidRDefault="00FB1CDD" w:rsidP="00FB1CDD">
      <w:pPr>
        <w:pStyle w:val="EndnoteText"/>
        <w:rPr>
          <w:sz w:val="18"/>
          <w:szCs w:val="18"/>
        </w:rPr>
      </w:pPr>
      <w:r w:rsidRPr="00740FD0">
        <w:rPr>
          <w:rStyle w:val="EndnoteReference"/>
          <w:sz w:val="18"/>
          <w:szCs w:val="18"/>
        </w:rPr>
        <w:endnoteRef/>
      </w:r>
      <w:r w:rsidRPr="00740FD0">
        <w:rPr>
          <w:sz w:val="18"/>
          <w:szCs w:val="18"/>
        </w:rPr>
        <w:t xml:space="preserve"> </w:t>
      </w:r>
      <w:r w:rsidR="009A7593" w:rsidRPr="00740FD0">
        <w:rPr>
          <w:sz w:val="18"/>
          <w:szCs w:val="18"/>
        </w:rPr>
        <w:t xml:space="preserve">Organization for Economic Cooperation and Development, </w:t>
      </w:r>
      <w:r w:rsidR="009A7593" w:rsidRPr="00740FD0">
        <w:rPr>
          <w:i/>
          <w:iCs/>
          <w:sz w:val="18"/>
          <w:szCs w:val="18"/>
        </w:rPr>
        <w:t xml:space="preserve">Dark Commercial Patterns </w:t>
      </w:r>
      <w:r w:rsidR="009A7593" w:rsidRPr="00740FD0">
        <w:rPr>
          <w:sz w:val="18"/>
          <w:szCs w:val="18"/>
        </w:rPr>
        <w:t xml:space="preserve">(October 2022) at 53, online: </w:t>
      </w:r>
      <w:hyperlink r:id="rId148" w:history="1">
        <w:r w:rsidR="009A7593" w:rsidRPr="00740FD0">
          <w:rPr>
            <w:rStyle w:val="Hyperlink"/>
            <w:sz w:val="18"/>
            <w:szCs w:val="18"/>
          </w:rPr>
          <w:t>https://www.oecd.org/digital/dark-commercial-patterns-44f5e846-en.htm</w:t>
        </w:r>
      </w:hyperlink>
      <w:r w:rsidRPr="00740FD0">
        <w:rPr>
          <w:sz w:val="18"/>
          <w:szCs w:val="18"/>
        </w:rPr>
        <w:t>.</w:t>
      </w:r>
    </w:p>
  </w:endnote>
  <w:endnote w:id="163">
    <w:p w14:paraId="16A31575" w14:textId="5DAAE048" w:rsidR="0087561F" w:rsidRPr="00740FD0" w:rsidRDefault="0087561F" w:rsidP="0087561F">
      <w:pPr>
        <w:pStyle w:val="EndnoteText"/>
        <w:rPr>
          <w:sz w:val="18"/>
          <w:szCs w:val="18"/>
        </w:rPr>
      </w:pPr>
      <w:r w:rsidRPr="00740FD0">
        <w:rPr>
          <w:rStyle w:val="EndnoteReference"/>
          <w:sz w:val="18"/>
          <w:szCs w:val="18"/>
        </w:rPr>
        <w:endnoteRef/>
      </w:r>
      <w:r w:rsidRPr="00740FD0">
        <w:rPr>
          <w:sz w:val="18"/>
          <w:szCs w:val="18"/>
        </w:rPr>
        <w:t xml:space="preserve"> </w:t>
      </w:r>
      <w:r w:rsidR="009A7593" w:rsidRPr="00740FD0">
        <w:rPr>
          <w:sz w:val="18"/>
          <w:szCs w:val="18"/>
        </w:rPr>
        <w:t xml:space="preserve">Organization for Economic Cooperation and Development, </w:t>
      </w:r>
      <w:r w:rsidR="009A7593" w:rsidRPr="00740FD0">
        <w:rPr>
          <w:i/>
          <w:iCs/>
          <w:sz w:val="18"/>
          <w:szCs w:val="18"/>
        </w:rPr>
        <w:t xml:space="preserve">Dark Commercial Patterns </w:t>
      </w:r>
      <w:r w:rsidR="009A7593" w:rsidRPr="00740FD0">
        <w:rPr>
          <w:sz w:val="18"/>
          <w:szCs w:val="18"/>
        </w:rPr>
        <w:t xml:space="preserve">(October 2022) at 53, online: </w:t>
      </w:r>
      <w:hyperlink r:id="rId149" w:history="1">
        <w:r w:rsidR="009A7593" w:rsidRPr="00740FD0">
          <w:rPr>
            <w:rStyle w:val="Hyperlink"/>
            <w:sz w:val="18"/>
            <w:szCs w:val="18"/>
          </w:rPr>
          <w:t>https://www.oecd.org/digital/dark-commercial-patterns-44f5e846-en.htm</w:t>
        </w:r>
      </w:hyperlink>
      <w:r w:rsidRPr="00740FD0">
        <w:rPr>
          <w:sz w:val="18"/>
          <w:szCs w:val="18"/>
        </w:rPr>
        <w:t>.</w:t>
      </w:r>
    </w:p>
  </w:endnote>
  <w:endnote w:id="164">
    <w:p w14:paraId="097AF82F" w14:textId="559C2921" w:rsidR="0087561F" w:rsidRPr="00740FD0" w:rsidRDefault="0087561F" w:rsidP="0087561F">
      <w:pPr>
        <w:pStyle w:val="EndnoteText"/>
        <w:rPr>
          <w:sz w:val="18"/>
          <w:szCs w:val="18"/>
        </w:rPr>
      </w:pPr>
      <w:r w:rsidRPr="00740FD0">
        <w:rPr>
          <w:rStyle w:val="EndnoteReference"/>
          <w:sz w:val="18"/>
          <w:szCs w:val="18"/>
        </w:rPr>
        <w:endnoteRef/>
      </w:r>
      <w:r w:rsidRPr="00740FD0">
        <w:rPr>
          <w:sz w:val="18"/>
          <w:szCs w:val="18"/>
        </w:rPr>
        <w:t xml:space="preserve"> </w:t>
      </w:r>
      <w:r w:rsidR="009A7593" w:rsidRPr="00740FD0">
        <w:rPr>
          <w:sz w:val="18"/>
          <w:szCs w:val="18"/>
        </w:rPr>
        <w:t xml:space="preserve">Organization for Economic Cooperation and Development, </w:t>
      </w:r>
      <w:r w:rsidR="009A7593" w:rsidRPr="00740FD0">
        <w:rPr>
          <w:i/>
          <w:iCs/>
          <w:sz w:val="18"/>
          <w:szCs w:val="18"/>
        </w:rPr>
        <w:t xml:space="preserve">Dark Commercial Patterns </w:t>
      </w:r>
      <w:r w:rsidR="009A7593" w:rsidRPr="00740FD0">
        <w:rPr>
          <w:sz w:val="18"/>
          <w:szCs w:val="18"/>
        </w:rPr>
        <w:t xml:space="preserve">(October 2022) at 8, online: </w:t>
      </w:r>
      <w:hyperlink r:id="rId150" w:history="1">
        <w:r w:rsidR="009A7593" w:rsidRPr="00740FD0">
          <w:rPr>
            <w:rStyle w:val="Hyperlink"/>
            <w:sz w:val="18"/>
            <w:szCs w:val="18"/>
          </w:rPr>
          <w:t>https://www.oecd.org/digital/dark-commercial-patterns-44f5e846-en.htm</w:t>
        </w:r>
      </w:hyperlink>
      <w:r w:rsidRPr="00740FD0">
        <w:rPr>
          <w:sz w:val="18"/>
          <w:szCs w:val="18"/>
        </w:rPr>
        <w:t>.</w:t>
      </w:r>
    </w:p>
  </w:endnote>
  <w:endnote w:id="165">
    <w:p w14:paraId="4D8FCBE9" w14:textId="2DDA445C" w:rsidR="0087561F" w:rsidRPr="00740FD0" w:rsidRDefault="0087561F" w:rsidP="0087561F">
      <w:pPr>
        <w:pStyle w:val="EndnoteText"/>
        <w:rPr>
          <w:sz w:val="18"/>
          <w:szCs w:val="18"/>
        </w:rPr>
      </w:pPr>
      <w:r w:rsidRPr="00740FD0">
        <w:rPr>
          <w:rStyle w:val="EndnoteReference"/>
          <w:sz w:val="18"/>
          <w:szCs w:val="18"/>
        </w:rPr>
        <w:endnoteRef/>
      </w:r>
      <w:r w:rsidRPr="00740FD0">
        <w:rPr>
          <w:sz w:val="18"/>
          <w:szCs w:val="18"/>
        </w:rPr>
        <w:t xml:space="preserve"> </w:t>
      </w:r>
      <w:r w:rsidR="009A7593" w:rsidRPr="00740FD0">
        <w:rPr>
          <w:sz w:val="18"/>
          <w:szCs w:val="18"/>
        </w:rPr>
        <w:t xml:space="preserve">Organization for Economic Cooperation and Development, </w:t>
      </w:r>
      <w:r w:rsidR="009A7593" w:rsidRPr="00740FD0">
        <w:rPr>
          <w:i/>
          <w:iCs/>
          <w:sz w:val="18"/>
          <w:szCs w:val="18"/>
        </w:rPr>
        <w:t xml:space="preserve">Dark Commercial Patterns </w:t>
      </w:r>
      <w:r w:rsidR="009A7593" w:rsidRPr="00740FD0">
        <w:rPr>
          <w:sz w:val="18"/>
          <w:szCs w:val="18"/>
        </w:rPr>
        <w:t xml:space="preserve">(October 2022) at 7, online: </w:t>
      </w:r>
      <w:hyperlink r:id="rId151" w:history="1">
        <w:r w:rsidR="009A7593" w:rsidRPr="00740FD0">
          <w:rPr>
            <w:rStyle w:val="Hyperlink"/>
            <w:sz w:val="18"/>
            <w:szCs w:val="18"/>
          </w:rPr>
          <w:t>https://www.oecd.org/digital/dark-commercial-patterns-44f5e846-en.htm</w:t>
        </w:r>
      </w:hyperlink>
      <w:r w:rsidRPr="00740FD0">
        <w:rPr>
          <w:sz w:val="18"/>
          <w:szCs w:val="18"/>
        </w:rPr>
        <w:t>.</w:t>
      </w:r>
    </w:p>
  </w:endnote>
  <w:endnote w:id="166">
    <w:p w14:paraId="5349604E" w14:textId="6FA63682" w:rsidR="00E136EA" w:rsidRPr="00740FD0" w:rsidRDefault="00E136EA" w:rsidP="00E136EA">
      <w:pPr>
        <w:pStyle w:val="EndnoteText"/>
        <w:rPr>
          <w:sz w:val="18"/>
          <w:szCs w:val="18"/>
        </w:rPr>
      </w:pPr>
      <w:r w:rsidRPr="00740FD0">
        <w:rPr>
          <w:rStyle w:val="EndnoteReference"/>
          <w:sz w:val="18"/>
          <w:szCs w:val="18"/>
        </w:rPr>
        <w:endnoteRef/>
      </w:r>
      <w:r w:rsidRPr="00740FD0">
        <w:rPr>
          <w:sz w:val="18"/>
          <w:szCs w:val="18"/>
        </w:rPr>
        <w:t xml:space="preserve"> </w:t>
      </w:r>
      <w:r w:rsidR="009A7593" w:rsidRPr="00740FD0">
        <w:rPr>
          <w:sz w:val="18"/>
          <w:szCs w:val="18"/>
        </w:rPr>
        <w:t xml:space="preserve">Organization for Economic Cooperation and Development, </w:t>
      </w:r>
      <w:r w:rsidR="009A7593" w:rsidRPr="00740FD0">
        <w:rPr>
          <w:i/>
          <w:iCs/>
          <w:sz w:val="18"/>
          <w:szCs w:val="18"/>
        </w:rPr>
        <w:t xml:space="preserve">Dark Commercial Patterns </w:t>
      </w:r>
      <w:r w:rsidR="009A7593" w:rsidRPr="00740FD0">
        <w:rPr>
          <w:sz w:val="18"/>
          <w:szCs w:val="18"/>
        </w:rPr>
        <w:t xml:space="preserve">(October 2022) at 12-13, online: </w:t>
      </w:r>
      <w:hyperlink r:id="rId152" w:history="1">
        <w:r w:rsidR="009A7593" w:rsidRPr="00740FD0">
          <w:rPr>
            <w:rStyle w:val="Hyperlink"/>
            <w:sz w:val="18"/>
            <w:szCs w:val="18"/>
          </w:rPr>
          <w:t>https://www.oecd.org/digital/dark-commercial-patterns-44f5e846-en.htm</w:t>
        </w:r>
      </w:hyperlink>
      <w:r w:rsidRPr="00740FD0">
        <w:rPr>
          <w:sz w:val="18"/>
          <w:szCs w:val="18"/>
        </w:rPr>
        <w:t>.</w:t>
      </w:r>
    </w:p>
  </w:endnote>
  <w:endnote w:id="167">
    <w:p w14:paraId="410084DA" w14:textId="3E40CF6D" w:rsidR="00E136EA" w:rsidRPr="00740FD0" w:rsidRDefault="00E136EA" w:rsidP="00E136EA">
      <w:pPr>
        <w:pStyle w:val="EndnoteText"/>
        <w:rPr>
          <w:sz w:val="18"/>
          <w:szCs w:val="18"/>
        </w:rPr>
      </w:pPr>
      <w:r w:rsidRPr="00740FD0">
        <w:rPr>
          <w:rStyle w:val="EndnoteReference"/>
          <w:sz w:val="18"/>
          <w:szCs w:val="18"/>
        </w:rPr>
        <w:endnoteRef/>
      </w:r>
      <w:r w:rsidRPr="00740FD0">
        <w:rPr>
          <w:sz w:val="18"/>
          <w:szCs w:val="18"/>
        </w:rPr>
        <w:t xml:space="preserve"> </w:t>
      </w:r>
      <w:r w:rsidR="009A7593" w:rsidRPr="00740FD0">
        <w:rPr>
          <w:sz w:val="18"/>
          <w:szCs w:val="18"/>
        </w:rPr>
        <w:t xml:space="preserve">Organization for Economic Cooperation and Development, </w:t>
      </w:r>
      <w:r w:rsidR="009A7593" w:rsidRPr="00740FD0">
        <w:rPr>
          <w:i/>
          <w:iCs/>
          <w:sz w:val="18"/>
          <w:szCs w:val="18"/>
        </w:rPr>
        <w:t xml:space="preserve">Dark Commercial Patterns </w:t>
      </w:r>
      <w:r w:rsidR="009A7593" w:rsidRPr="00740FD0">
        <w:rPr>
          <w:sz w:val="18"/>
          <w:szCs w:val="18"/>
        </w:rPr>
        <w:t xml:space="preserve">(October 2022) at 12-13, online: </w:t>
      </w:r>
      <w:hyperlink r:id="rId153" w:history="1">
        <w:r w:rsidR="009A7593" w:rsidRPr="00740FD0">
          <w:rPr>
            <w:rStyle w:val="Hyperlink"/>
            <w:sz w:val="18"/>
            <w:szCs w:val="18"/>
          </w:rPr>
          <w:t>https://www.oecd.org/digital/dark-commercial-patterns-44f5e846-en.htm</w:t>
        </w:r>
      </w:hyperlink>
      <w:r w:rsidRPr="00740FD0">
        <w:rPr>
          <w:sz w:val="18"/>
          <w:szCs w:val="18"/>
        </w:rPr>
        <w:t>.</w:t>
      </w:r>
    </w:p>
  </w:endnote>
  <w:endnote w:id="168">
    <w:p w14:paraId="4BF563FB" w14:textId="726A6B3F" w:rsidR="00E136EA" w:rsidRPr="00740FD0" w:rsidRDefault="00E136EA" w:rsidP="00E136EA">
      <w:pPr>
        <w:pStyle w:val="EndnoteText"/>
        <w:rPr>
          <w:sz w:val="18"/>
          <w:szCs w:val="18"/>
        </w:rPr>
      </w:pPr>
      <w:r w:rsidRPr="00740FD0">
        <w:rPr>
          <w:rStyle w:val="EndnoteReference"/>
          <w:sz w:val="18"/>
          <w:szCs w:val="18"/>
        </w:rPr>
        <w:endnoteRef/>
      </w:r>
      <w:r w:rsidRPr="00740FD0">
        <w:rPr>
          <w:sz w:val="18"/>
          <w:szCs w:val="18"/>
        </w:rPr>
        <w:t xml:space="preserve"> </w:t>
      </w:r>
      <w:r w:rsidR="009A7593" w:rsidRPr="00740FD0">
        <w:rPr>
          <w:sz w:val="18"/>
          <w:szCs w:val="18"/>
        </w:rPr>
        <w:t xml:space="preserve">Organization for Economic Cooperation and Development, </w:t>
      </w:r>
      <w:r w:rsidR="009A7593" w:rsidRPr="00740FD0">
        <w:rPr>
          <w:i/>
          <w:iCs/>
          <w:sz w:val="18"/>
          <w:szCs w:val="18"/>
        </w:rPr>
        <w:t xml:space="preserve">Dark Commercial Patterns </w:t>
      </w:r>
      <w:r w:rsidR="009A7593" w:rsidRPr="00740FD0">
        <w:rPr>
          <w:sz w:val="18"/>
          <w:szCs w:val="18"/>
        </w:rPr>
        <w:t xml:space="preserve">(October 2022) at 7, online: </w:t>
      </w:r>
      <w:hyperlink r:id="rId154" w:history="1">
        <w:r w:rsidR="009A7593" w:rsidRPr="00740FD0">
          <w:rPr>
            <w:rStyle w:val="Hyperlink"/>
            <w:sz w:val="18"/>
            <w:szCs w:val="18"/>
          </w:rPr>
          <w:t>https://www.oecd.org/digital/dark-commercial-patterns-44f5e846-en.htm</w:t>
        </w:r>
      </w:hyperlink>
      <w:r w:rsidRPr="00740FD0">
        <w:rPr>
          <w:sz w:val="18"/>
          <w:szCs w:val="18"/>
        </w:rPr>
        <w:t>.</w:t>
      </w:r>
    </w:p>
  </w:endnote>
  <w:endnote w:id="169">
    <w:p w14:paraId="1F4169E7" w14:textId="028D33E7" w:rsidR="00521A85" w:rsidRPr="00740FD0" w:rsidRDefault="00521A85" w:rsidP="00521A85">
      <w:pPr>
        <w:pStyle w:val="EndnoteText"/>
        <w:rPr>
          <w:sz w:val="18"/>
          <w:szCs w:val="18"/>
        </w:rPr>
      </w:pPr>
      <w:r w:rsidRPr="00740FD0">
        <w:rPr>
          <w:rStyle w:val="EndnoteReference"/>
          <w:sz w:val="18"/>
          <w:szCs w:val="18"/>
        </w:rPr>
        <w:endnoteRef/>
      </w:r>
      <w:r w:rsidRPr="00740FD0">
        <w:rPr>
          <w:sz w:val="18"/>
          <w:szCs w:val="18"/>
        </w:rPr>
        <w:t xml:space="preserve"> US Federal Trade Commission, “FTC Report Shows Rise in Sophisticated Dark Patterns Designed to Trick and Trap Consumers” (September 15, 2022), online: </w:t>
      </w:r>
      <w:hyperlink r:id="rId155" w:history="1">
        <w:r w:rsidRPr="00740FD0">
          <w:rPr>
            <w:rStyle w:val="Hyperlink"/>
            <w:sz w:val="18"/>
            <w:szCs w:val="18"/>
          </w:rPr>
          <w:t>https://www.ftc.gov/news-events/news/press-releases/2022/09/ftc-report-shows-rise-sophisticated-dark-patterns-designed-trick-trap-consumers</w:t>
        </w:r>
      </w:hyperlink>
      <w:r w:rsidRPr="00740FD0">
        <w:rPr>
          <w:sz w:val="18"/>
          <w:szCs w:val="18"/>
        </w:rPr>
        <w:t xml:space="preserve">, citing </w:t>
      </w:r>
      <w:r w:rsidR="009A7593" w:rsidRPr="00740FD0">
        <w:rPr>
          <w:i/>
          <w:iCs/>
          <w:sz w:val="18"/>
          <w:szCs w:val="18"/>
        </w:rPr>
        <w:t>B</w:t>
      </w:r>
      <w:r w:rsidRPr="00740FD0">
        <w:rPr>
          <w:i/>
          <w:iCs/>
          <w:sz w:val="18"/>
          <w:szCs w:val="18"/>
        </w:rPr>
        <w:t xml:space="preserve">ringing Dark Patterns To Light: Staff Report </w:t>
      </w:r>
      <w:r w:rsidRPr="00740FD0">
        <w:rPr>
          <w:sz w:val="18"/>
          <w:szCs w:val="18"/>
        </w:rPr>
        <w:t xml:space="preserve">(September 2022), online: </w:t>
      </w:r>
      <w:hyperlink r:id="rId156" w:history="1">
        <w:r w:rsidRPr="00740FD0">
          <w:rPr>
            <w:rStyle w:val="Hyperlink"/>
            <w:sz w:val="18"/>
            <w:szCs w:val="18"/>
          </w:rPr>
          <w:t>https://www.ftc.gov/system/files/ftc_gov/pdf/P214800%20Dark%20Patterns%20Report%209.14.2022%20-%20FINAL.pdf</w:t>
        </w:r>
      </w:hyperlink>
      <w:r w:rsidRPr="00740FD0">
        <w:rPr>
          <w:sz w:val="18"/>
          <w:szCs w:val="18"/>
        </w:rPr>
        <w:t xml:space="preserve">. </w:t>
      </w:r>
    </w:p>
  </w:endnote>
  <w:endnote w:id="170">
    <w:p w14:paraId="2DBCCC28" w14:textId="77777777" w:rsidR="00521A85" w:rsidRPr="00740FD0" w:rsidRDefault="00521A85" w:rsidP="00521A85">
      <w:pPr>
        <w:pStyle w:val="EndnoteText"/>
        <w:rPr>
          <w:sz w:val="18"/>
          <w:szCs w:val="18"/>
        </w:rPr>
      </w:pPr>
      <w:r w:rsidRPr="00740FD0">
        <w:rPr>
          <w:rStyle w:val="EndnoteReference"/>
          <w:sz w:val="18"/>
          <w:szCs w:val="18"/>
        </w:rPr>
        <w:endnoteRef/>
      </w:r>
      <w:r w:rsidRPr="00740FD0">
        <w:rPr>
          <w:sz w:val="18"/>
          <w:szCs w:val="18"/>
        </w:rPr>
        <w:t xml:space="preserve"> See for instance: US Federal Trade Commission, “FTC Finalizes Order Requiring Fortnite maker Epic Games to Pay $245 Million for Tricking Users into Making Unwanted Charges” (March 14, 2023), online: </w:t>
      </w:r>
      <w:hyperlink r:id="rId157" w:history="1">
        <w:r w:rsidRPr="00740FD0">
          <w:rPr>
            <w:rStyle w:val="Hyperlink"/>
            <w:sz w:val="18"/>
            <w:szCs w:val="18"/>
          </w:rPr>
          <w:t>https://www.ftc.gov/news-events/news/press-releases/2023/03/ftc-finalizes-order-requiring-fortnite-maker-epic-games-pay-245-million-tricking-users-making</w:t>
        </w:r>
      </w:hyperlink>
      <w:r w:rsidRPr="00740FD0">
        <w:rPr>
          <w:sz w:val="18"/>
          <w:szCs w:val="18"/>
        </w:rPr>
        <w:t xml:space="preserve">. </w:t>
      </w:r>
    </w:p>
  </w:endnote>
  <w:endnote w:id="171">
    <w:p w14:paraId="3EF0EDED" w14:textId="77777777" w:rsidR="00521A85" w:rsidRPr="00740FD0" w:rsidRDefault="00521A85" w:rsidP="00521A85">
      <w:pPr>
        <w:pStyle w:val="EndnoteText"/>
        <w:rPr>
          <w:sz w:val="18"/>
          <w:szCs w:val="18"/>
        </w:rPr>
      </w:pPr>
      <w:r w:rsidRPr="00740FD0">
        <w:rPr>
          <w:rStyle w:val="EndnoteReference"/>
          <w:sz w:val="18"/>
          <w:szCs w:val="18"/>
        </w:rPr>
        <w:endnoteRef/>
      </w:r>
      <w:r w:rsidRPr="00740FD0">
        <w:rPr>
          <w:sz w:val="18"/>
          <w:szCs w:val="18"/>
        </w:rPr>
        <w:t xml:space="preserve"> See for instance: US Federal Trade Commission, “FTC Finalizes Order Requiring Fortnite maker Epic Games to Pay $245 Million for Tricking Users into Making Unwanted Charges” (March 14, 2023), online: </w:t>
      </w:r>
      <w:hyperlink r:id="rId158" w:history="1">
        <w:r w:rsidRPr="00740FD0">
          <w:rPr>
            <w:rStyle w:val="Hyperlink"/>
            <w:sz w:val="18"/>
            <w:szCs w:val="18"/>
          </w:rPr>
          <w:t>https://www.ftc.gov/news-events/news/press-releases/2023/03/ftc-finalizes-order-requiring-fortnite-maker-epic-games-pay-245-million-tricking-users-making</w:t>
        </w:r>
      </w:hyperlink>
      <w:r w:rsidRPr="00740FD0">
        <w:rPr>
          <w:sz w:val="18"/>
          <w:szCs w:val="18"/>
        </w:rPr>
        <w:t xml:space="preserve">. </w:t>
      </w:r>
    </w:p>
  </w:endnote>
  <w:endnote w:id="172">
    <w:p w14:paraId="7A960054" w14:textId="0409B6E8" w:rsidR="008D2995" w:rsidRPr="00740FD0" w:rsidRDefault="008D2995">
      <w:pPr>
        <w:pStyle w:val="EndnoteText"/>
        <w:rPr>
          <w:sz w:val="18"/>
          <w:szCs w:val="18"/>
        </w:rPr>
      </w:pPr>
      <w:r w:rsidRPr="00740FD0">
        <w:rPr>
          <w:rStyle w:val="EndnoteReference"/>
          <w:sz w:val="18"/>
          <w:szCs w:val="18"/>
        </w:rPr>
        <w:endnoteRef/>
      </w:r>
      <w:r w:rsidRPr="00740FD0">
        <w:rPr>
          <w:sz w:val="18"/>
          <w:szCs w:val="18"/>
        </w:rPr>
        <w:t xml:space="preserve"> See CBC News, “Quebec class action alleging Fortnite is addictive will go ahead, judge rules” (December 8 2022), online: </w:t>
      </w:r>
      <w:hyperlink r:id="rId159" w:history="1">
        <w:r w:rsidRPr="00740FD0">
          <w:rPr>
            <w:rStyle w:val="Hyperlink"/>
            <w:sz w:val="18"/>
            <w:szCs w:val="18"/>
          </w:rPr>
          <w:t>https://www.cbc.ca/news/canada/montreal/fortnite-class-action-1.6678687</w:t>
        </w:r>
      </w:hyperlink>
      <w:r w:rsidRPr="00740FD0">
        <w:rPr>
          <w:sz w:val="18"/>
          <w:szCs w:val="18"/>
        </w:rPr>
        <w:t xml:space="preserve">. </w:t>
      </w:r>
    </w:p>
  </w:endnote>
  <w:endnote w:id="173">
    <w:p w14:paraId="0258ECD2" w14:textId="043BC9D8" w:rsidR="00C20D4B" w:rsidRPr="00740FD0" w:rsidRDefault="00C20D4B" w:rsidP="00C20D4B">
      <w:pPr>
        <w:pStyle w:val="EndnoteText"/>
        <w:rPr>
          <w:sz w:val="18"/>
          <w:szCs w:val="18"/>
        </w:rPr>
      </w:pPr>
      <w:r w:rsidRPr="00740FD0">
        <w:rPr>
          <w:rStyle w:val="EndnoteReference"/>
          <w:sz w:val="18"/>
          <w:szCs w:val="18"/>
        </w:rPr>
        <w:endnoteRef/>
      </w:r>
      <w:r w:rsidRPr="00740FD0">
        <w:rPr>
          <w:sz w:val="18"/>
          <w:szCs w:val="18"/>
        </w:rPr>
        <w:t xml:space="preserve"> The Guardian, “France fines Google and Facebook €210m over user tracking: Data privacy watchdog says websites make it difficult for users to refuse cookies” (January 6, 2022), online: </w:t>
      </w:r>
      <w:hyperlink r:id="rId160" w:history="1">
        <w:r w:rsidRPr="00740FD0">
          <w:rPr>
            <w:rStyle w:val="Hyperlink"/>
            <w:sz w:val="18"/>
            <w:szCs w:val="18"/>
          </w:rPr>
          <w:t>https://www.theguardian.com/technology/2022/jan/06/france-fines-google-and-facebook-210m-over-user-tracking-cookies</w:t>
        </w:r>
      </w:hyperlink>
      <w:r w:rsidRPr="00740FD0">
        <w:rPr>
          <w:sz w:val="18"/>
          <w:szCs w:val="18"/>
        </w:rPr>
        <w:t xml:space="preserve">. </w:t>
      </w:r>
      <w:r w:rsidR="007D2805" w:rsidRPr="00740FD0">
        <w:rPr>
          <w:sz w:val="18"/>
          <w:szCs w:val="18"/>
        </w:rPr>
        <w:t xml:space="preserve">See also TechCrunch, “Facebook fined again in Italy for misleading users over what it does with their data” (February 17, 2021), online: </w:t>
      </w:r>
      <w:hyperlink r:id="rId161" w:history="1">
        <w:r w:rsidR="007D2805" w:rsidRPr="00740FD0">
          <w:rPr>
            <w:rStyle w:val="Hyperlink"/>
            <w:sz w:val="18"/>
            <w:szCs w:val="18"/>
          </w:rPr>
          <w:t>https://techcrunch.com/2021/02/17/facebook-fined-again-in-italy-for-misleading-users-over-what-it-does-with-their-data/</w:t>
        </w:r>
      </w:hyperlink>
      <w:r w:rsidR="007D2805" w:rsidRPr="00740FD0">
        <w:rPr>
          <w:rStyle w:val="Hyperlink"/>
          <w:sz w:val="18"/>
          <w:szCs w:val="18"/>
        </w:rPr>
        <w:t>.</w:t>
      </w:r>
    </w:p>
  </w:endnote>
  <w:endnote w:id="174">
    <w:p w14:paraId="2FCA39A8" w14:textId="667420A5" w:rsidR="00C20D4B" w:rsidRPr="00740FD0" w:rsidRDefault="00C20D4B" w:rsidP="00C20D4B">
      <w:pPr>
        <w:pStyle w:val="EndnoteText"/>
        <w:rPr>
          <w:sz w:val="18"/>
          <w:szCs w:val="18"/>
        </w:rPr>
      </w:pPr>
      <w:r w:rsidRPr="00740FD0">
        <w:rPr>
          <w:rStyle w:val="EndnoteReference"/>
          <w:sz w:val="18"/>
          <w:szCs w:val="18"/>
        </w:rPr>
        <w:endnoteRef/>
      </w:r>
      <w:r w:rsidRPr="00740FD0">
        <w:rPr>
          <w:sz w:val="18"/>
          <w:szCs w:val="18"/>
        </w:rPr>
        <w:t xml:space="preserve"> TechCrunch</w:t>
      </w:r>
      <w:r w:rsidR="007D2805" w:rsidRPr="00740FD0">
        <w:rPr>
          <w:sz w:val="18"/>
          <w:szCs w:val="18"/>
        </w:rPr>
        <w:t>, “Italy fines Apple and Google for ‘aggressive’ data practices”</w:t>
      </w:r>
      <w:r w:rsidRPr="00740FD0">
        <w:rPr>
          <w:sz w:val="18"/>
          <w:szCs w:val="18"/>
        </w:rPr>
        <w:t xml:space="preserve"> </w:t>
      </w:r>
      <w:hyperlink r:id="rId162" w:history="1">
        <w:r w:rsidRPr="00740FD0">
          <w:rPr>
            <w:rStyle w:val="Hyperlink"/>
            <w:sz w:val="18"/>
            <w:szCs w:val="18"/>
          </w:rPr>
          <w:t>https://techcrunch.com/2021/11/26/agcm-fines-apple-google/</w:t>
        </w:r>
      </w:hyperlink>
      <w:r w:rsidRPr="00740FD0">
        <w:rPr>
          <w:sz w:val="18"/>
          <w:szCs w:val="18"/>
        </w:rPr>
        <w:t>. The full text of the</w:t>
      </w:r>
      <w:r w:rsidR="007D2805" w:rsidRPr="00740FD0">
        <w:rPr>
          <w:sz w:val="18"/>
          <w:szCs w:val="18"/>
        </w:rPr>
        <w:t xml:space="preserve"> decisions of the Italian competition and market authority can be found here</w:t>
      </w:r>
      <w:r w:rsidRPr="00740FD0">
        <w:rPr>
          <w:sz w:val="18"/>
          <w:szCs w:val="18"/>
        </w:rPr>
        <w:t xml:space="preserve"> </w:t>
      </w:r>
      <w:r w:rsidR="007D2805" w:rsidRPr="00740FD0">
        <w:rPr>
          <w:sz w:val="18"/>
          <w:szCs w:val="18"/>
        </w:rPr>
        <w:t>f</w:t>
      </w:r>
      <w:r w:rsidRPr="00740FD0">
        <w:rPr>
          <w:sz w:val="18"/>
          <w:szCs w:val="18"/>
        </w:rPr>
        <w:t xml:space="preserve">or </w:t>
      </w:r>
      <w:hyperlink r:id="rId163" w:history="1">
        <w:r w:rsidRPr="00740FD0">
          <w:rPr>
            <w:rStyle w:val="Hyperlink"/>
            <w:sz w:val="18"/>
            <w:szCs w:val="18"/>
          </w:rPr>
          <w:t>Apple</w:t>
        </w:r>
      </w:hyperlink>
      <w:r w:rsidRPr="00740FD0">
        <w:rPr>
          <w:sz w:val="18"/>
          <w:szCs w:val="18"/>
        </w:rPr>
        <w:t xml:space="preserve"> and </w:t>
      </w:r>
      <w:hyperlink r:id="rId164" w:history="1">
        <w:r w:rsidRPr="00740FD0">
          <w:rPr>
            <w:rStyle w:val="Hyperlink"/>
            <w:sz w:val="18"/>
            <w:szCs w:val="18"/>
          </w:rPr>
          <w:t>Google</w:t>
        </w:r>
      </w:hyperlink>
      <w:r w:rsidRPr="00740FD0">
        <w:rPr>
          <w:sz w:val="18"/>
          <w:szCs w:val="18"/>
        </w:rPr>
        <w:t xml:space="preserve">. </w:t>
      </w:r>
      <w:r w:rsidR="007D2805" w:rsidRPr="00740FD0">
        <w:rPr>
          <w:sz w:val="18"/>
          <w:szCs w:val="18"/>
        </w:rPr>
        <w:t xml:space="preserve">Google </w:t>
      </w:r>
      <w:r w:rsidRPr="00740FD0">
        <w:rPr>
          <w:sz w:val="18"/>
          <w:szCs w:val="18"/>
        </w:rPr>
        <w:t xml:space="preserve">is accused of omitting relevant information at the account creation phase and as consumers are using its services — information the regulator says should be providing </w:t>
      </w:r>
      <w:r w:rsidRPr="00740FD0">
        <w:rPr>
          <w:sz w:val="18"/>
          <w:szCs w:val="18"/>
        </w:rPr>
        <w:t>in order for people to decide whether or not to consent to its use of their data for commercial ends. Apple</w:t>
      </w:r>
      <w:r w:rsidR="007D2805" w:rsidRPr="00740FD0">
        <w:rPr>
          <w:sz w:val="18"/>
          <w:szCs w:val="18"/>
        </w:rPr>
        <w:t xml:space="preserve"> is accused</w:t>
      </w:r>
      <w:r w:rsidRPr="00740FD0">
        <w:rPr>
          <w:sz w:val="18"/>
          <w:szCs w:val="18"/>
        </w:rPr>
        <w:t xml:space="preserve"> of failing to immediately provide users with clear information on how it uses their information commercially when they create an Apple ID or access its digital stores, such as the App Store. </w:t>
      </w:r>
      <w:r w:rsidR="007D2805" w:rsidRPr="00740FD0">
        <w:rPr>
          <w:sz w:val="18"/>
          <w:szCs w:val="18"/>
        </w:rPr>
        <w:t xml:space="preserve">The Italian regulator further notes that Google </w:t>
      </w:r>
      <w:r w:rsidRPr="00740FD0">
        <w:rPr>
          <w:sz w:val="18"/>
          <w:szCs w:val="18"/>
        </w:rPr>
        <w:t xml:space="preserve">pre-sets user acceptance of commercial </w:t>
      </w:r>
      <w:r w:rsidR="007D2805" w:rsidRPr="00740FD0">
        <w:rPr>
          <w:sz w:val="18"/>
          <w:szCs w:val="18"/>
        </w:rPr>
        <w:t xml:space="preserve">data </w:t>
      </w:r>
      <w:r w:rsidRPr="00740FD0">
        <w:rPr>
          <w:sz w:val="18"/>
          <w:szCs w:val="18"/>
        </w:rPr>
        <w:t>processing</w:t>
      </w:r>
      <w:r w:rsidR="007D2805" w:rsidRPr="00740FD0">
        <w:rPr>
          <w:sz w:val="18"/>
          <w:szCs w:val="18"/>
        </w:rPr>
        <w:t xml:space="preserve"> yet </w:t>
      </w:r>
      <w:r w:rsidRPr="00740FD0">
        <w:rPr>
          <w:sz w:val="18"/>
          <w:szCs w:val="18"/>
        </w:rPr>
        <w:t>fails to provide a clear way for users to revoke consent for these data transfers later</w:t>
      </w:r>
      <w:r w:rsidR="007D2805" w:rsidRPr="00740FD0">
        <w:rPr>
          <w:sz w:val="18"/>
          <w:szCs w:val="18"/>
        </w:rPr>
        <w:t>,</w:t>
      </w:r>
      <w:r w:rsidRPr="00740FD0">
        <w:rPr>
          <w:sz w:val="18"/>
          <w:szCs w:val="18"/>
        </w:rPr>
        <w:t xml:space="preserve"> or otherwise change their choice after the account step has been completed. It also takes the view that Apple’s approach denies users the ability to properly exercise choice over its commercial use of their data, with the regulator arguing the iPhone maker’s data acquisition practices and architecture essentially “condition” the consumer to accept its commercial terms. </w:t>
      </w:r>
      <w:r w:rsidR="007D2805" w:rsidRPr="00740FD0">
        <w:rPr>
          <w:sz w:val="18"/>
          <w:szCs w:val="18"/>
        </w:rPr>
        <w:t xml:space="preserve">With respect to Facebook, the Italian regulator began investigations in 2018 related to the </w:t>
      </w:r>
      <w:r w:rsidRPr="00740FD0">
        <w:rPr>
          <w:sz w:val="18"/>
          <w:szCs w:val="18"/>
        </w:rPr>
        <w:t xml:space="preserve">information </w:t>
      </w:r>
      <w:r w:rsidR="007D2805" w:rsidRPr="00740FD0">
        <w:rPr>
          <w:sz w:val="18"/>
          <w:szCs w:val="18"/>
        </w:rPr>
        <w:t>Facebook</w:t>
      </w:r>
      <w:r w:rsidRPr="00740FD0">
        <w:rPr>
          <w:sz w:val="18"/>
          <w:szCs w:val="18"/>
        </w:rPr>
        <w:t xml:space="preserve"> provided to users at sign up and the lack of an opt out for advertising</w:t>
      </w:r>
      <w:r w:rsidR="007D2805" w:rsidRPr="00740FD0">
        <w:rPr>
          <w:sz w:val="18"/>
          <w:szCs w:val="18"/>
        </w:rPr>
        <w:t xml:space="preserve">, later fining Facebook </w:t>
      </w:r>
      <w:r w:rsidRPr="00740FD0">
        <w:rPr>
          <w:sz w:val="18"/>
          <w:szCs w:val="18"/>
        </w:rPr>
        <w:t xml:space="preserve">€10M for two violations of the country’s Consumer Code. </w:t>
      </w:r>
      <w:r w:rsidR="007D2805" w:rsidRPr="00740FD0">
        <w:rPr>
          <w:sz w:val="18"/>
          <w:szCs w:val="18"/>
        </w:rPr>
        <w:t xml:space="preserve">The regulator subsequently found in 2020 that Facebook </w:t>
      </w:r>
      <w:r w:rsidRPr="00740FD0">
        <w:rPr>
          <w:sz w:val="18"/>
          <w:szCs w:val="18"/>
        </w:rPr>
        <w:t>was still failing to inform users “with clarity and immediacy” about how it monetizes their data</w:t>
      </w:r>
      <w:r w:rsidR="003224D3" w:rsidRPr="00740FD0">
        <w:rPr>
          <w:sz w:val="18"/>
          <w:szCs w:val="18"/>
        </w:rPr>
        <w:t xml:space="preserve"> </w:t>
      </w:r>
      <w:r w:rsidRPr="00740FD0">
        <w:rPr>
          <w:sz w:val="18"/>
          <w:szCs w:val="18"/>
        </w:rPr>
        <w:t>at the point of sign</w:t>
      </w:r>
      <w:r w:rsidR="003224D3" w:rsidRPr="00740FD0">
        <w:rPr>
          <w:sz w:val="18"/>
          <w:szCs w:val="18"/>
        </w:rPr>
        <w:t>-</w:t>
      </w:r>
      <w:r w:rsidRPr="00740FD0">
        <w:rPr>
          <w:sz w:val="18"/>
          <w:szCs w:val="18"/>
        </w:rPr>
        <w:t xml:space="preserve">up. Instead, it found Facebook emphasizes its service’s </w:t>
      </w:r>
      <w:r w:rsidR="003224D3" w:rsidRPr="00740FD0">
        <w:rPr>
          <w:sz w:val="18"/>
          <w:szCs w:val="18"/>
        </w:rPr>
        <w:t>“</w:t>
      </w:r>
      <w:r w:rsidRPr="00740FD0">
        <w:rPr>
          <w:sz w:val="18"/>
          <w:szCs w:val="18"/>
        </w:rPr>
        <w:t>gratuitousness</w:t>
      </w:r>
      <w:r w:rsidR="003224D3" w:rsidRPr="00740FD0">
        <w:rPr>
          <w:sz w:val="18"/>
          <w:szCs w:val="18"/>
        </w:rPr>
        <w:t xml:space="preserve">”: </w:t>
      </w:r>
      <w:r w:rsidRPr="00740FD0">
        <w:rPr>
          <w:sz w:val="18"/>
          <w:szCs w:val="18"/>
        </w:rPr>
        <w:t>“The information provided by Facebook was generic and incomplete and did not provide an adequate distinction between the use of data necessary for the personalization of the service (with the aim of facilitating socialization with other users) and the use of data to carry out targeted advertising campaigns.”</w:t>
      </w:r>
      <w:r w:rsidR="003224D3" w:rsidRPr="00740FD0">
        <w:rPr>
          <w:sz w:val="18"/>
          <w:szCs w:val="18"/>
        </w:rPr>
        <w:t xml:space="preserve"> See TechCrunch, “Facebook fined again in Italy for misleading users over what it does with their data” (February 17, 2021), online: </w:t>
      </w:r>
      <w:hyperlink r:id="rId165" w:history="1">
        <w:r w:rsidR="003224D3" w:rsidRPr="00740FD0">
          <w:rPr>
            <w:rStyle w:val="Hyperlink"/>
            <w:sz w:val="18"/>
            <w:szCs w:val="18"/>
          </w:rPr>
          <w:t>https://techcrunch.com/2021/02/17/facebook-fined-again-in-italy-for-misleading-users-over-what-it-does-with-their-data/</w:t>
        </w:r>
      </w:hyperlink>
      <w:r w:rsidR="003224D3" w:rsidRPr="00740FD0">
        <w:rPr>
          <w:rStyle w:val="Hyperlink"/>
          <w:sz w:val="18"/>
          <w:szCs w:val="18"/>
        </w:rPr>
        <w:t xml:space="preserve">. </w:t>
      </w:r>
    </w:p>
  </w:endnote>
  <w:endnote w:id="175">
    <w:p w14:paraId="25F3DE44" w14:textId="0178A4A9" w:rsidR="006A6F86" w:rsidRPr="00740FD0" w:rsidRDefault="006A6F86">
      <w:pPr>
        <w:pStyle w:val="EndnoteText"/>
        <w:rPr>
          <w:sz w:val="18"/>
          <w:szCs w:val="18"/>
        </w:rPr>
      </w:pPr>
      <w:r w:rsidRPr="00740FD0">
        <w:rPr>
          <w:rStyle w:val="EndnoteReference"/>
          <w:sz w:val="18"/>
          <w:szCs w:val="18"/>
        </w:rPr>
        <w:endnoteRef/>
      </w:r>
      <w:r w:rsidRPr="00740FD0">
        <w:rPr>
          <w:sz w:val="18"/>
          <w:szCs w:val="18"/>
        </w:rPr>
        <w:t xml:space="preserve"> See for instance: Canadian Lawyer Magazine, “Regulators increasingly using privacy law to confront deceptive online design, say lawyers“ (March 14, 2023), online: </w:t>
      </w:r>
      <w:hyperlink r:id="rId166" w:history="1">
        <w:r w:rsidRPr="00740FD0">
          <w:rPr>
            <w:rStyle w:val="Hyperlink"/>
            <w:sz w:val="18"/>
            <w:szCs w:val="18"/>
          </w:rPr>
          <w:t>https://www.canadianlawyermag.com/practice-areas/privacy-and-data/regulators-increasingly-using-privacy-law-to-confront-deceptive-online-design-say-lawyers/374401</w:t>
        </w:r>
      </w:hyperlink>
      <w:r w:rsidRPr="00740FD0">
        <w:rPr>
          <w:sz w:val="18"/>
          <w:szCs w:val="18"/>
        </w:rPr>
        <w:t xml:space="preserve">. </w:t>
      </w:r>
    </w:p>
  </w:endnote>
  <w:endnote w:id="176">
    <w:p w14:paraId="608C7E98" w14:textId="58DD8A36" w:rsidR="00A03A7A" w:rsidRPr="00740FD0" w:rsidRDefault="00A03A7A" w:rsidP="00A03A7A">
      <w:pPr>
        <w:pStyle w:val="EndnoteText"/>
        <w:rPr>
          <w:sz w:val="18"/>
          <w:szCs w:val="18"/>
        </w:rPr>
      </w:pPr>
      <w:r w:rsidRPr="00740FD0">
        <w:rPr>
          <w:rStyle w:val="EndnoteReference"/>
          <w:sz w:val="18"/>
          <w:szCs w:val="18"/>
        </w:rPr>
        <w:endnoteRef/>
      </w:r>
      <w:r w:rsidRPr="00740FD0">
        <w:rPr>
          <w:sz w:val="18"/>
          <w:szCs w:val="18"/>
        </w:rPr>
        <w:t xml:space="preserve"> See for example CPA s. 13, 1</w:t>
      </w:r>
      <w:r w:rsidR="003224D3" w:rsidRPr="00740FD0">
        <w:rPr>
          <w:sz w:val="18"/>
          <w:szCs w:val="18"/>
        </w:rPr>
        <w:t>4.</w:t>
      </w:r>
    </w:p>
  </w:endnote>
  <w:endnote w:id="177">
    <w:p w14:paraId="6347ED96" w14:textId="609C1F00" w:rsidR="00FA4D57" w:rsidRPr="00740FD0" w:rsidRDefault="00FA4D57" w:rsidP="00FA4D57">
      <w:pPr>
        <w:pStyle w:val="EndnoteText"/>
        <w:rPr>
          <w:sz w:val="18"/>
          <w:szCs w:val="18"/>
        </w:rPr>
      </w:pPr>
      <w:r w:rsidRPr="00740FD0">
        <w:rPr>
          <w:rStyle w:val="EndnoteReference"/>
          <w:sz w:val="18"/>
          <w:szCs w:val="18"/>
        </w:rPr>
        <w:endnoteRef/>
      </w:r>
      <w:r w:rsidRPr="00740FD0">
        <w:rPr>
          <w:sz w:val="18"/>
          <w:szCs w:val="18"/>
        </w:rPr>
        <w:t xml:space="preserve"> </w:t>
      </w:r>
      <w:r w:rsidR="009C551F" w:rsidRPr="00740FD0">
        <w:rPr>
          <w:sz w:val="18"/>
          <w:szCs w:val="18"/>
        </w:rPr>
        <w:t xml:space="preserve">US Federal Trade Commission, “FTC Finalizes Order Requiring Fortnite maker Epic Games to Pay $245 Million for Tricking Users into Making Unwanted Charges” (March 14, 2023), online: </w:t>
      </w:r>
      <w:hyperlink r:id="rId167" w:history="1">
        <w:r w:rsidR="009C551F" w:rsidRPr="00740FD0">
          <w:rPr>
            <w:rStyle w:val="Hyperlink"/>
            <w:sz w:val="18"/>
            <w:szCs w:val="18"/>
          </w:rPr>
          <w:t>https://www.ftc.gov/news-events/news/press-releases/2023/03/ftc-finalizes-order-requiring-fortnite-maker-epic-games-pay-245-million-tricking-users-making</w:t>
        </w:r>
      </w:hyperlink>
      <w:r w:rsidR="009C551F" w:rsidRPr="00740FD0">
        <w:rPr>
          <w:sz w:val="18"/>
          <w:szCs w:val="18"/>
        </w:rPr>
        <w:t>.</w:t>
      </w:r>
    </w:p>
  </w:endnote>
  <w:endnote w:id="178">
    <w:p w14:paraId="5B078194" w14:textId="77777777" w:rsidR="00194C70" w:rsidRPr="00740FD0" w:rsidRDefault="00194C70" w:rsidP="00194C70">
      <w:pPr>
        <w:pStyle w:val="EndnoteText"/>
        <w:rPr>
          <w:sz w:val="18"/>
          <w:szCs w:val="18"/>
        </w:rPr>
      </w:pPr>
      <w:r w:rsidRPr="00740FD0">
        <w:rPr>
          <w:rStyle w:val="EndnoteReference"/>
          <w:sz w:val="18"/>
          <w:szCs w:val="18"/>
        </w:rPr>
        <w:endnoteRef/>
      </w:r>
      <w:r w:rsidRPr="00740FD0">
        <w:rPr>
          <w:sz w:val="18"/>
          <w:szCs w:val="18"/>
        </w:rPr>
        <w:t xml:space="preserve"> The Guardian, “Uber broke laws, duped police and secretly lobbied governments, leak reveals” (July 11, 2022), online: </w:t>
      </w:r>
      <w:hyperlink r:id="rId168" w:history="1">
        <w:r w:rsidRPr="00740FD0">
          <w:rPr>
            <w:rStyle w:val="Hyperlink"/>
            <w:sz w:val="18"/>
            <w:szCs w:val="18"/>
          </w:rPr>
          <w:t>https://www.theguardian.com/news/2022/jul/10/uber-files-leak-reveals-global-lobbying-campaign</w:t>
        </w:r>
      </w:hyperlink>
      <w:r w:rsidRPr="00740FD0">
        <w:rPr>
          <w:sz w:val="18"/>
          <w:szCs w:val="18"/>
        </w:rPr>
        <w:t xml:space="preserve">. See also Margaret Jane </w:t>
      </w:r>
      <w:r w:rsidRPr="00740FD0">
        <w:rPr>
          <w:sz w:val="18"/>
          <w:szCs w:val="18"/>
        </w:rPr>
        <w:t xml:space="preserve">Radin, “Evaluating Current Judicial Oversight” in </w:t>
      </w:r>
      <w:r w:rsidRPr="00740FD0">
        <w:rPr>
          <w:i/>
          <w:iCs/>
          <w:sz w:val="18"/>
          <w:szCs w:val="18"/>
        </w:rPr>
        <w:t xml:space="preserve">Boilerplate: The Fine Print, Vanishing Rights, and the Rule of Law </w:t>
      </w:r>
      <w:r w:rsidRPr="00740FD0">
        <w:rPr>
          <w:sz w:val="18"/>
          <w:szCs w:val="18"/>
        </w:rPr>
        <w:t>(Princeton University Press, 2013) at 123-142.</w:t>
      </w:r>
    </w:p>
  </w:endnote>
  <w:endnote w:id="179">
    <w:p w14:paraId="61E6408A" w14:textId="771329D3" w:rsidR="009C5F86" w:rsidRPr="00740FD0" w:rsidRDefault="009C5F86">
      <w:pPr>
        <w:pStyle w:val="EndnoteText"/>
        <w:rPr>
          <w:sz w:val="18"/>
          <w:szCs w:val="18"/>
        </w:rPr>
      </w:pPr>
      <w:r w:rsidRPr="00740FD0">
        <w:rPr>
          <w:rStyle w:val="EndnoteReference"/>
          <w:sz w:val="18"/>
          <w:szCs w:val="18"/>
        </w:rPr>
        <w:endnoteRef/>
      </w:r>
      <w:r w:rsidRPr="00740FD0">
        <w:rPr>
          <w:sz w:val="18"/>
          <w:szCs w:val="18"/>
        </w:rPr>
        <w:t xml:space="preserve"> </w:t>
      </w:r>
      <w:r w:rsidR="009B55E5" w:rsidRPr="00740FD0">
        <w:rPr>
          <w:sz w:val="18"/>
          <w:szCs w:val="18"/>
        </w:rPr>
        <w:t xml:space="preserve">For </w:t>
      </w:r>
      <w:r w:rsidR="009B55E5" w:rsidRPr="00740FD0">
        <w:rPr>
          <w:sz w:val="18"/>
          <w:szCs w:val="18"/>
        </w:rPr>
        <w:t xml:space="preserve">instance see </w:t>
      </w:r>
      <w:r w:rsidR="009B55E5" w:rsidRPr="00740FD0">
        <w:rPr>
          <w:i/>
          <w:iCs/>
          <w:sz w:val="18"/>
          <w:szCs w:val="18"/>
        </w:rPr>
        <w:t>Douez v. Facebook, Inc</w:t>
      </w:r>
      <w:r w:rsidR="009B55E5" w:rsidRPr="00740FD0">
        <w:rPr>
          <w:sz w:val="18"/>
          <w:szCs w:val="18"/>
        </w:rPr>
        <w:t xml:space="preserve">. (2022 BCSC 914), in which the court notes the practical difficulty in bringing a class action against a digital platform given “the matter is complex: there are 29 affidavits, with exhibits including cross-examination transcripts comprising just under 14,000 pages, and 400 cited authorities, comprising just under 16,000 pages. There are about 540 pages of written submissions, and the summary trial took ten days” (at para 46). For the courts’ expression of broader public policy concerns in interpreting online ToS see: </w:t>
      </w:r>
      <w:r w:rsidR="00A3181D" w:rsidRPr="00740FD0">
        <w:rPr>
          <w:i/>
          <w:iCs/>
          <w:sz w:val="18"/>
          <w:szCs w:val="18"/>
        </w:rPr>
        <w:t>Douez v. Facebook, Inc</w:t>
      </w:r>
      <w:r w:rsidR="00A3181D" w:rsidRPr="00740FD0">
        <w:rPr>
          <w:sz w:val="18"/>
          <w:szCs w:val="18"/>
        </w:rPr>
        <w:t xml:space="preserve">. </w:t>
      </w:r>
      <w:r w:rsidR="00952B7A" w:rsidRPr="00740FD0">
        <w:rPr>
          <w:sz w:val="18"/>
          <w:szCs w:val="18"/>
        </w:rPr>
        <w:t xml:space="preserve">(2017 SCC 33, [2017] 1 SCR 751) </w:t>
      </w:r>
      <w:r w:rsidR="00A3181D" w:rsidRPr="00740FD0">
        <w:rPr>
          <w:sz w:val="18"/>
          <w:szCs w:val="18"/>
        </w:rPr>
        <w:t>at para</w:t>
      </w:r>
      <w:r w:rsidR="00952B7A" w:rsidRPr="00740FD0">
        <w:rPr>
          <w:sz w:val="18"/>
          <w:szCs w:val="18"/>
        </w:rPr>
        <w:t>s 97-99, 111, 116.</w:t>
      </w:r>
      <w:r w:rsidR="009E0094" w:rsidRPr="00740FD0">
        <w:rPr>
          <w:sz w:val="18"/>
          <w:szCs w:val="18"/>
        </w:rPr>
        <w:t xml:space="preserve"> </w:t>
      </w:r>
    </w:p>
  </w:endnote>
  <w:endnote w:id="180">
    <w:p w14:paraId="2FEFC096" w14:textId="7765E864" w:rsidR="00F81524" w:rsidRPr="00740FD0" w:rsidRDefault="00F81524" w:rsidP="0086292E">
      <w:pPr>
        <w:pStyle w:val="EndnoteText"/>
        <w:rPr>
          <w:sz w:val="18"/>
          <w:szCs w:val="18"/>
        </w:rPr>
      </w:pPr>
      <w:r w:rsidRPr="00740FD0">
        <w:rPr>
          <w:rStyle w:val="EndnoteReference"/>
          <w:sz w:val="18"/>
          <w:szCs w:val="18"/>
        </w:rPr>
        <w:endnoteRef/>
      </w:r>
      <w:r w:rsidRPr="00740FD0">
        <w:rPr>
          <w:sz w:val="18"/>
          <w:szCs w:val="18"/>
        </w:rPr>
        <w:t xml:space="preserve"> </w:t>
      </w:r>
      <w:r w:rsidR="003A4019" w:rsidRPr="00740FD0">
        <w:rPr>
          <w:sz w:val="18"/>
          <w:szCs w:val="18"/>
        </w:rPr>
        <w:t xml:space="preserve">See </w:t>
      </w:r>
      <w:r w:rsidR="003A4019" w:rsidRPr="00740FD0">
        <w:rPr>
          <w:i/>
          <w:iCs/>
          <w:sz w:val="18"/>
          <w:szCs w:val="18"/>
        </w:rPr>
        <w:t>Douez v. Facebook, Inc</w:t>
      </w:r>
      <w:r w:rsidR="003A4019" w:rsidRPr="00740FD0">
        <w:rPr>
          <w:sz w:val="18"/>
          <w:szCs w:val="18"/>
        </w:rPr>
        <w:t xml:space="preserve">. (2022 BCSC 914), which found in part that the court could adjudicate claims under consumer protection and privacy statutes enacted outside British Columbia. See Law360.ca, “Facebook privacy decision highlights need for tech companies to get consent from users, lawyers say” (June 21, 2022), online: </w:t>
      </w:r>
      <w:hyperlink r:id="rId169" w:history="1">
        <w:r w:rsidR="003A4019" w:rsidRPr="00740FD0">
          <w:rPr>
            <w:rStyle w:val="Hyperlink"/>
            <w:sz w:val="18"/>
            <w:szCs w:val="18"/>
          </w:rPr>
          <w:t>https://www.law360.ca/articles/37394/facebook-privacy-decision-highlights-need-for-tech-companies-to-get-consent-from-users-lawyers-say</w:t>
        </w:r>
      </w:hyperlink>
      <w:r w:rsidR="003A4019" w:rsidRPr="00740FD0">
        <w:rPr>
          <w:sz w:val="18"/>
          <w:szCs w:val="18"/>
        </w:rPr>
        <w:t>.</w:t>
      </w:r>
    </w:p>
  </w:endnote>
  <w:endnote w:id="181">
    <w:p w14:paraId="1BBC068C" w14:textId="054C3DB1" w:rsidR="00F81524" w:rsidRPr="00740FD0" w:rsidRDefault="00F81524" w:rsidP="0086292E">
      <w:pPr>
        <w:pStyle w:val="EndnoteText"/>
        <w:rPr>
          <w:sz w:val="18"/>
          <w:szCs w:val="18"/>
        </w:rPr>
      </w:pPr>
      <w:r w:rsidRPr="00740FD0">
        <w:rPr>
          <w:rStyle w:val="EndnoteReference"/>
          <w:sz w:val="18"/>
          <w:szCs w:val="18"/>
        </w:rPr>
        <w:endnoteRef/>
      </w:r>
      <w:r w:rsidRPr="00740FD0">
        <w:rPr>
          <w:sz w:val="18"/>
          <w:szCs w:val="18"/>
        </w:rPr>
        <w:t xml:space="preserve"> </w:t>
      </w:r>
      <w:r w:rsidR="00347E96" w:rsidRPr="00740FD0">
        <w:rPr>
          <w:sz w:val="18"/>
          <w:szCs w:val="18"/>
        </w:rPr>
        <w:t xml:space="preserve">Law360.ca, “Facebook privacy decision highlights need for tech companies to get consent from users, lawyers say” (June 21, 2022), online: </w:t>
      </w:r>
      <w:hyperlink r:id="rId170" w:history="1">
        <w:r w:rsidR="00347E96" w:rsidRPr="00740FD0">
          <w:rPr>
            <w:rStyle w:val="Hyperlink"/>
            <w:sz w:val="18"/>
            <w:szCs w:val="18"/>
          </w:rPr>
          <w:t>https://www.law360.ca/articles/37394/facebook-privacy-decision-highlights-need-for-tech-companies-to-get-consent-from-users-lawyers-say</w:t>
        </w:r>
      </w:hyperlink>
      <w:r w:rsidR="00347E96" w:rsidRPr="00740FD0">
        <w:rPr>
          <w:sz w:val="18"/>
          <w:szCs w:val="18"/>
        </w:rPr>
        <w:t xml:space="preserve">. </w:t>
      </w:r>
    </w:p>
  </w:endnote>
  <w:endnote w:id="182">
    <w:p w14:paraId="45CB6710" w14:textId="5454CA4D" w:rsidR="000E271B" w:rsidRPr="00740FD0" w:rsidRDefault="000E271B" w:rsidP="000E271B">
      <w:pPr>
        <w:pStyle w:val="EndnoteText"/>
        <w:rPr>
          <w:sz w:val="18"/>
          <w:szCs w:val="18"/>
          <w:highlight w:val="yellow"/>
        </w:rPr>
      </w:pPr>
      <w:r w:rsidRPr="00740FD0">
        <w:rPr>
          <w:rStyle w:val="EndnoteReference"/>
          <w:sz w:val="18"/>
          <w:szCs w:val="18"/>
        </w:rPr>
        <w:endnoteRef/>
      </w:r>
      <w:r w:rsidRPr="00740FD0">
        <w:rPr>
          <w:sz w:val="18"/>
          <w:szCs w:val="18"/>
        </w:rPr>
        <w:t xml:space="preserve"> See </w:t>
      </w:r>
      <w:r w:rsidRPr="00740FD0">
        <w:rPr>
          <w:i/>
          <w:iCs/>
          <w:sz w:val="18"/>
          <w:szCs w:val="18"/>
        </w:rPr>
        <w:t>Douez v. Facebook, Inc.</w:t>
      </w:r>
      <w:r w:rsidRPr="00740FD0">
        <w:rPr>
          <w:sz w:val="18"/>
          <w:szCs w:val="18"/>
        </w:rPr>
        <w:t xml:space="preserve"> (2017 SCC 33) which found that the relevance of public policy factors and the consumer context – including unequal bargaining powers – may provide strong reasons not to enforce forum selection clauses that may waive local class action and privacy rights</w:t>
      </w:r>
      <w:r w:rsidR="00DD275D" w:rsidRPr="00740FD0">
        <w:rPr>
          <w:sz w:val="18"/>
          <w:szCs w:val="18"/>
        </w:rPr>
        <w:t>, at paras 97-99, 111, 116.</w:t>
      </w:r>
    </w:p>
  </w:endnote>
  <w:endnote w:id="183">
    <w:p w14:paraId="043015B0" w14:textId="0FD925E9" w:rsidR="000E271B" w:rsidRPr="00740FD0" w:rsidRDefault="000E271B" w:rsidP="000E271B">
      <w:pPr>
        <w:pStyle w:val="EndnoteText"/>
        <w:rPr>
          <w:sz w:val="18"/>
          <w:szCs w:val="18"/>
          <w:highlight w:val="yellow"/>
        </w:rPr>
      </w:pPr>
      <w:r w:rsidRPr="00740FD0">
        <w:rPr>
          <w:rStyle w:val="EndnoteReference"/>
          <w:sz w:val="18"/>
          <w:szCs w:val="18"/>
        </w:rPr>
        <w:endnoteRef/>
      </w:r>
      <w:r w:rsidRPr="00740FD0">
        <w:rPr>
          <w:sz w:val="18"/>
          <w:szCs w:val="18"/>
        </w:rPr>
        <w:t xml:space="preserve"> </w:t>
      </w:r>
      <w:r w:rsidR="003434DC" w:rsidRPr="00740FD0">
        <w:rPr>
          <w:i/>
          <w:iCs/>
          <w:sz w:val="18"/>
          <w:szCs w:val="18"/>
        </w:rPr>
        <w:t>Douez v. Facebook, Inc</w:t>
      </w:r>
      <w:r w:rsidR="003434DC" w:rsidRPr="00740FD0">
        <w:rPr>
          <w:sz w:val="18"/>
          <w:szCs w:val="18"/>
        </w:rPr>
        <w:t>. (2022 BCSC 914)</w:t>
      </w:r>
      <w:r w:rsidR="00FE1A01" w:rsidRPr="00740FD0">
        <w:rPr>
          <w:sz w:val="18"/>
          <w:szCs w:val="18"/>
        </w:rPr>
        <w:t>, at para 96-97</w:t>
      </w:r>
      <w:r w:rsidR="00D42EF8" w:rsidRPr="00740FD0">
        <w:rPr>
          <w:sz w:val="18"/>
          <w:szCs w:val="18"/>
        </w:rPr>
        <w:t>, noting that “The principle governing contract interpretation is to review the contract as a whole to promote the true mutual intent of the parties at the time of contract formation… Factors such as the contract’s purpose, the relationship it creates and the environment in which it operates remain considerations in the interpretive exercise, but are not case specific…”</w:t>
      </w:r>
    </w:p>
  </w:endnote>
  <w:endnote w:id="184">
    <w:p w14:paraId="3A14502A" w14:textId="465DF53E" w:rsidR="000E271B" w:rsidRPr="00740FD0" w:rsidRDefault="000E271B" w:rsidP="000E271B">
      <w:pPr>
        <w:pStyle w:val="EndnoteText"/>
        <w:rPr>
          <w:sz w:val="18"/>
          <w:szCs w:val="18"/>
          <w:highlight w:val="yellow"/>
        </w:rPr>
      </w:pPr>
      <w:r w:rsidRPr="00740FD0">
        <w:rPr>
          <w:rStyle w:val="EndnoteReference"/>
          <w:sz w:val="18"/>
          <w:szCs w:val="18"/>
        </w:rPr>
        <w:endnoteRef/>
      </w:r>
      <w:r w:rsidRPr="00740FD0">
        <w:rPr>
          <w:sz w:val="18"/>
          <w:szCs w:val="18"/>
        </w:rPr>
        <w:t xml:space="preserve"> </w:t>
      </w:r>
      <w:r w:rsidR="00EE2C6C" w:rsidRPr="00740FD0">
        <w:rPr>
          <w:sz w:val="18"/>
          <w:szCs w:val="18"/>
        </w:rPr>
        <w:t xml:space="preserve">See </w:t>
      </w:r>
      <w:r w:rsidRPr="00740FD0">
        <w:rPr>
          <w:i/>
          <w:iCs/>
          <w:sz w:val="18"/>
          <w:szCs w:val="18"/>
        </w:rPr>
        <w:t>Uber Technologies Inc. v. Heller</w:t>
      </w:r>
      <w:r w:rsidRPr="00740FD0">
        <w:rPr>
          <w:sz w:val="18"/>
          <w:szCs w:val="18"/>
        </w:rPr>
        <w:t xml:space="preserve"> (2020 SCC 16), which found that a mandatory arbitration clause was unconscionable; </w:t>
      </w:r>
      <w:r w:rsidRPr="00740FD0">
        <w:rPr>
          <w:i/>
          <w:iCs/>
          <w:sz w:val="18"/>
          <w:szCs w:val="18"/>
        </w:rPr>
        <w:t>Douez v. Facebook, Inc.</w:t>
      </w:r>
      <w:r w:rsidRPr="00740FD0">
        <w:rPr>
          <w:sz w:val="18"/>
          <w:szCs w:val="18"/>
        </w:rPr>
        <w:t xml:space="preserve"> (2017 SCC 33) which found that the relevance of public policy factors and the consumer context – including unequal bargaining powers – may provide strong reasons not to enforce forum selection clauses that may waive local class action and privacy rights; </w:t>
      </w:r>
      <w:r w:rsidRPr="00740FD0">
        <w:rPr>
          <w:i/>
          <w:iCs/>
          <w:sz w:val="18"/>
          <w:szCs w:val="18"/>
        </w:rPr>
        <w:t>Canadian Union of Postal Workers v Foodora Inc.</w:t>
      </w:r>
      <w:r w:rsidRPr="00740FD0">
        <w:rPr>
          <w:sz w:val="18"/>
          <w:szCs w:val="18"/>
        </w:rPr>
        <w:t xml:space="preserve"> (2020 CanLII 16750 (ON LRB)), in which the Ontario Labour Relations Board found that Foodora meal delivery couriers are dependent contractors and eligible to be unionized under Ontario's </w:t>
      </w:r>
      <w:r w:rsidRPr="00740FD0">
        <w:rPr>
          <w:i/>
          <w:iCs/>
          <w:sz w:val="18"/>
          <w:szCs w:val="18"/>
        </w:rPr>
        <w:t>Labour Relations Act</w:t>
      </w:r>
      <w:r w:rsidRPr="00740FD0">
        <w:rPr>
          <w:sz w:val="18"/>
          <w:szCs w:val="18"/>
        </w:rPr>
        <w:t>.</w:t>
      </w:r>
    </w:p>
  </w:endnote>
  <w:endnote w:id="185">
    <w:p w14:paraId="095228BC" w14:textId="07A0F015" w:rsidR="00F81524" w:rsidRPr="00740FD0" w:rsidRDefault="00F81524" w:rsidP="0086292E">
      <w:pPr>
        <w:pStyle w:val="EndnoteText"/>
        <w:rPr>
          <w:sz w:val="18"/>
          <w:szCs w:val="18"/>
        </w:rPr>
      </w:pPr>
      <w:r w:rsidRPr="00740FD0">
        <w:rPr>
          <w:rStyle w:val="EndnoteReference"/>
          <w:sz w:val="18"/>
          <w:szCs w:val="18"/>
        </w:rPr>
        <w:endnoteRef/>
      </w:r>
      <w:r w:rsidRPr="00740FD0">
        <w:rPr>
          <w:sz w:val="18"/>
          <w:szCs w:val="18"/>
        </w:rPr>
        <w:t xml:space="preserve"> </w:t>
      </w:r>
      <w:r w:rsidR="003802CD" w:rsidRPr="00740FD0">
        <w:rPr>
          <w:sz w:val="18"/>
          <w:szCs w:val="18"/>
        </w:rPr>
        <w:t xml:space="preserve">See for instance </w:t>
      </w:r>
      <w:r w:rsidRPr="00740FD0">
        <w:rPr>
          <w:i/>
          <w:iCs/>
          <w:sz w:val="18"/>
          <w:szCs w:val="18"/>
        </w:rPr>
        <w:t>Uber Technologies Inc. v. Heller</w:t>
      </w:r>
      <w:r w:rsidRPr="00740FD0">
        <w:rPr>
          <w:sz w:val="18"/>
          <w:szCs w:val="18"/>
        </w:rPr>
        <w:t xml:space="preserve"> (2020 SCC 16), which found that a mandatory arbitration clause was unconscionable; </w:t>
      </w:r>
      <w:r w:rsidRPr="00740FD0">
        <w:rPr>
          <w:i/>
          <w:iCs/>
          <w:sz w:val="18"/>
          <w:szCs w:val="18"/>
        </w:rPr>
        <w:t xml:space="preserve">Canadian Union of Postal Workers v </w:t>
      </w:r>
      <w:r w:rsidRPr="00740FD0">
        <w:rPr>
          <w:i/>
          <w:iCs/>
          <w:sz w:val="18"/>
          <w:szCs w:val="18"/>
        </w:rPr>
        <w:t>Foodora Inc.</w:t>
      </w:r>
      <w:r w:rsidRPr="00740FD0">
        <w:rPr>
          <w:sz w:val="18"/>
          <w:szCs w:val="18"/>
        </w:rPr>
        <w:t xml:space="preserve"> (2020 CanLII 16750 (ON LRB)), in which the Ontario Labour Relations Board found that Foodora meal delivery couriers are dependent contractors and eligible to be unionized under Ontario's </w:t>
      </w:r>
      <w:r w:rsidRPr="00740FD0">
        <w:rPr>
          <w:i/>
          <w:iCs/>
          <w:sz w:val="18"/>
          <w:szCs w:val="18"/>
        </w:rPr>
        <w:t>Labour Relations Act</w:t>
      </w:r>
      <w:r w:rsidR="003802CD" w:rsidRPr="00740FD0">
        <w:rPr>
          <w:sz w:val="18"/>
          <w:szCs w:val="18"/>
        </w:rPr>
        <w:t>; and</w:t>
      </w:r>
      <w:r w:rsidRPr="00740FD0">
        <w:rPr>
          <w:i/>
          <w:iCs/>
          <w:sz w:val="18"/>
          <w:szCs w:val="18"/>
        </w:rPr>
        <w:t xml:space="preserve"> WCL Capital Group Inc. v. Google LLC</w:t>
      </w:r>
      <w:r w:rsidRPr="00740FD0">
        <w:rPr>
          <w:sz w:val="18"/>
          <w:szCs w:val="18"/>
        </w:rPr>
        <w:t>, 2019 ONSC 947</w:t>
      </w:r>
      <w:r w:rsidR="003802CD" w:rsidRPr="00740FD0">
        <w:rPr>
          <w:sz w:val="18"/>
          <w:szCs w:val="18"/>
        </w:rPr>
        <w:t xml:space="preserve"> in which the ToS governing the purchase of online advertising was accepted by a sophisticated commercial private mortgage lending business (as distinct from a consumer) and so did not raise the same public policy concerns.</w:t>
      </w:r>
    </w:p>
  </w:endnote>
  <w:endnote w:id="186">
    <w:p w14:paraId="7745D2EA" w14:textId="77777777" w:rsidR="008D2995" w:rsidRPr="00740FD0" w:rsidRDefault="008D2995" w:rsidP="008D2995">
      <w:pPr>
        <w:pStyle w:val="EndnoteText"/>
        <w:rPr>
          <w:sz w:val="18"/>
          <w:szCs w:val="18"/>
        </w:rPr>
      </w:pPr>
      <w:r w:rsidRPr="00740FD0">
        <w:rPr>
          <w:rStyle w:val="EndnoteReference"/>
          <w:sz w:val="18"/>
          <w:szCs w:val="18"/>
        </w:rPr>
        <w:endnoteRef/>
      </w:r>
      <w:r w:rsidRPr="00740FD0">
        <w:rPr>
          <w:sz w:val="18"/>
          <w:szCs w:val="18"/>
        </w:rPr>
        <w:t xml:space="preserve"> See CBC News, “Quebec class action alleging Fortnite is addictive will go ahead, judge rules” (December 8 2022), online: </w:t>
      </w:r>
      <w:hyperlink r:id="rId171" w:history="1">
        <w:r w:rsidRPr="00740FD0">
          <w:rPr>
            <w:rStyle w:val="Hyperlink"/>
            <w:sz w:val="18"/>
            <w:szCs w:val="18"/>
          </w:rPr>
          <w:t>https://www.cbc.ca/news/canada/montreal/fortnite-class-action-1.6678687</w:t>
        </w:r>
      </w:hyperlink>
      <w:r w:rsidRPr="00740FD0">
        <w:rPr>
          <w:sz w:val="18"/>
          <w:szCs w:val="18"/>
        </w:rPr>
        <w:t xml:space="preserve">. </w:t>
      </w:r>
    </w:p>
  </w:endnote>
  <w:endnote w:id="187">
    <w:p w14:paraId="449D5B82" w14:textId="600F4036" w:rsidR="00696E6C" w:rsidRPr="00740FD0" w:rsidRDefault="00696E6C">
      <w:pPr>
        <w:pStyle w:val="EndnoteText"/>
        <w:rPr>
          <w:sz w:val="18"/>
          <w:szCs w:val="18"/>
        </w:rPr>
      </w:pPr>
      <w:r w:rsidRPr="00740FD0">
        <w:rPr>
          <w:rStyle w:val="EndnoteReference"/>
          <w:sz w:val="18"/>
          <w:szCs w:val="18"/>
        </w:rPr>
        <w:endnoteRef/>
      </w:r>
      <w:r w:rsidRPr="00740FD0">
        <w:rPr>
          <w:sz w:val="18"/>
          <w:szCs w:val="18"/>
        </w:rPr>
        <w:t xml:space="preserve"> See generally, European Commission, </w:t>
      </w:r>
      <w:r w:rsidRPr="00740FD0">
        <w:rPr>
          <w:i/>
          <w:iCs/>
          <w:sz w:val="18"/>
          <w:szCs w:val="18"/>
        </w:rPr>
        <w:t>The New Consumer Agenda</w:t>
      </w:r>
      <w:r w:rsidRPr="00740FD0">
        <w:rPr>
          <w:sz w:val="18"/>
          <w:szCs w:val="18"/>
        </w:rPr>
        <w:t xml:space="preserve">, (2020) at </w:t>
      </w:r>
      <w:hyperlink r:id="rId172" w:history="1">
        <w:r w:rsidRPr="00740FD0">
          <w:rPr>
            <w:rStyle w:val="Hyperlink"/>
            <w:sz w:val="18"/>
            <w:szCs w:val="18"/>
          </w:rPr>
          <w:t>https://commission.europa.eu/strategy-and-policy/policies/consumers/consumer-protection-policy/consumer-strategy_en</w:t>
        </w:r>
      </w:hyperlink>
      <w:r w:rsidRPr="00740FD0">
        <w:rPr>
          <w:sz w:val="18"/>
          <w:szCs w:val="18"/>
        </w:rPr>
        <w:t>.</w:t>
      </w:r>
    </w:p>
  </w:endnote>
  <w:endnote w:id="188">
    <w:p w14:paraId="4915E3B1" w14:textId="2BEDE86A" w:rsidR="00DD3020" w:rsidRPr="00740FD0" w:rsidRDefault="00DD3020" w:rsidP="00DD3020">
      <w:pPr>
        <w:pStyle w:val="EndnoteText"/>
        <w:rPr>
          <w:sz w:val="18"/>
          <w:szCs w:val="18"/>
        </w:rPr>
      </w:pPr>
      <w:r w:rsidRPr="00740FD0">
        <w:rPr>
          <w:rStyle w:val="EndnoteReference"/>
          <w:sz w:val="18"/>
          <w:szCs w:val="18"/>
        </w:rPr>
        <w:endnoteRef/>
      </w:r>
      <w:r w:rsidRPr="00740FD0">
        <w:rPr>
          <w:sz w:val="18"/>
          <w:szCs w:val="18"/>
        </w:rPr>
        <w:t xml:space="preserve"> </w:t>
      </w:r>
      <w:r w:rsidR="00D42EF8" w:rsidRPr="00740FD0">
        <w:rPr>
          <w:sz w:val="18"/>
          <w:szCs w:val="18"/>
        </w:rPr>
        <w:t>“Internet Agreements” (CPA s. 37-40); “Direct Agreements” (CPA s. 41-43.</w:t>
      </w:r>
      <w:r w:rsidR="00D42EF8" w:rsidRPr="00740FD0">
        <w:rPr>
          <w:sz w:val="18"/>
          <w:szCs w:val="18"/>
        </w:rPr>
        <w:t xml:space="preserve">1)“Remote Agreements” (CPA s. 44-47). </w:t>
      </w:r>
    </w:p>
  </w:endnote>
  <w:endnote w:id="189">
    <w:p w14:paraId="23162F16" w14:textId="63B9A878" w:rsidR="00EE3282" w:rsidRPr="00740FD0" w:rsidRDefault="00EE3282" w:rsidP="00EE3282">
      <w:pPr>
        <w:pStyle w:val="EndnoteText"/>
        <w:rPr>
          <w:sz w:val="18"/>
          <w:szCs w:val="18"/>
        </w:rPr>
      </w:pPr>
      <w:r w:rsidRPr="00740FD0">
        <w:rPr>
          <w:rStyle w:val="EndnoteReference"/>
          <w:sz w:val="18"/>
          <w:szCs w:val="18"/>
        </w:rPr>
        <w:endnoteRef/>
      </w:r>
      <w:r w:rsidRPr="00740FD0">
        <w:rPr>
          <w:sz w:val="18"/>
          <w:szCs w:val="18"/>
        </w:rPr>
        <w:t xml:space="preserve"> </w:t>
      </w:r>
      <w:r w:rsidR="009C6F0E" w:rsidRPr="00740FD0">
        <w:rPr>
          <w:sz w:val="18"/>
          <w:szCs w:val="18"/>
        </w:rPr>
        <w:t xml:space="preserve">See for instance </w:t>
      </w:r>
      <w:r w:rsidR="007865B3" w:rsidRPr="00740FD0">
        <w:rPr>
          <w:sz w:val="18"/>
          <w:szCs w:val="18"/>
        </w:rPr>
        <w:t xml:space="preserve">Legislature of Ontario, Hansard Transcripts (September 26, 2002), </w:t>
      </w:r>
      <w:r w:rsidR="009C6F0E" w:rsidRPr="00740FD0">
        <w:rPr>
          <w:sz w:val="18"/>
          <w:szCs w:val="18"/>
        </w:rPr>
        <w:t xml:space="preserve">online: </w:t>
      </w:r>
      <w:hyperlink r:id="rId173" w:anchor="P390_116153" w:history="1">
        <w:r w:rsidR="00B10321" w:rsidRPr="00740FD0">
          <w:rPr>
            <w:rStyle w:val="Hyperlink"/>
            <w:sz w:val="18"/>
            <w:szCs w:val="18"/>
          </w:rPr>
          <w:t>https://www.ola.org/en/legislative-business/house-documents/parliament-37/session-3/2002-09-26/hansard#P390_116153</w:t>
        </w:r>
      </w:hyperlink>
      <w:r w:rsidR="009C6F0E" w:rsidRPr="00740FD0">
        <w:rPr>
          <w:sz w:val="18"/>
          <w:szCs w:val="18"/>
        </w:rPr>
        <w:t xml:space="preserve">. </w:t>
      </w:r>
      <w:r w:rsidR="006055CF" w:rsidRPr="00740FD0">
        <w:rPr>
          <w:sz w:val="18"/>
          <w:szCs w:val="18"/>
        </w:rPr>
        <w:t xml:space="preserve">Scholars point out that prior to 2002, the CPA was little changed since it’s original introduction in 1966. The core structure largely remains unchanged since then. See John Enman-Beech, </w:t>
      </w:r>
      <w:r w:rsidR="006055CF" w:rsidRPr="00740FD0">
        <w:rPr>
          <w:i/>
          <w:iCs/>
          <w:sz w:val="18"/>
          <w:szCs w:val="18"/>
        </w:rPr>
        <w:t>Contract Life: A Rhetoric on Law, Tech and Power in Everyday Work, Consumer and User Agreements</w:t>
      </w:r>
      <w:r w:rsidR="006055CF" w:rsidRPr="00740FD0">
        <w:rPr>
          <w:sz w:val="18"/>
          <w:szCs w:val="18"/>
        </w:rPr>
        <w:t xml:space="preserve"> (Doctoral dissertation, University of Toronto, 2023) at 141-142.</w:t>
      </w:r>
    </w:p>
  </w:endnote>
  <w:endnote w:id="190">
    <w:p w14:paraId="25191DB6" w14:textId="3FE487C2" w:rsidR="00EE3282" w:rsidRPr="00740FD0" w:rsidRDefault="00EE3282" w:rsidP="00EE3282">
      <w:pPr>
        <w:pStyle w:val="EndnoteText"/>
        <w:rPr>
          <w:sz w:val="18"/>
          <w:szCs w:val="18"/>
        </w:rPr>
      </w:pPr>
      <w:r w:rsidRPr="00740FD0">
        <w:rPr>
          <w:rStyle w:val="EndnoteReference"/>
          <w:sz w:val="18"/>
          <w:szCs w:val="18"/>
        </w:rPr>
        <w:endnoteRef/>
      </w:r>
      <w:r w:rsidRPr="00740FD0">
        <w:rPr>
          <w:sz w:val="18"/>
          <w:szCs w:val="18"/>
        </w:rPr>
        <w:t xml:space="preserve"> </w:t>
      </w:r>
      <w:r w:rsidR="00484B45" w:rsidRPr="00740FD0">
        <w:rPr>
          <w:sz w:val="18"/>
          <w:szCs w:val="18"/>
        </w:rPr>
        <w:t xml:space="preserve">Ontario, </w:t>
      </w:r>
      <w:r w:rsidR="00484B45" w:rsidRPr="00740FD0">
        <w:rPr>
          <w:i/>
          <w:iCs/>
          <w:sz w:val="18"/>
          <w:szCs w:val="18"/>
        </w:rPr>
        <w:t xml:space="preserve">Modernizing Consumer Protection in Ontario Strengthening the Consumer Protection Act </w:t>
      </w:r>
      <w:r w:rsidR="00484B45" w:rsidRPr="00740FD0">
        <w:rPr>
          <w:sz w:val="18"/>
          <w:szCs w:val="18"/>
        </w:rPr>
        <w:t xml:space="preserve">(Ministry of Public and Business Service Delivery, February 2023) at 5, online: </w:t>
      </w:r>
      <w:hyperlink r:id="rId174" w:history="1">
        <w:r w:rsidR="00484B45" w:rsidRPr="00740FD0">
          <w:rPr>
            <w:rStyle w:val="Hyperlink"/>
            <w:sz w:val="18"/>
            <w:szCs w:val="18"/>
          </w:rPr>
          <w:t>https://www.ontariocanada.com/registry/view.do?postingId=43452&amp;language=en</w:t>
        </w:r>
      </w:hyperlink>
      <w:r w:rsidR="00484B45" w:rsidRPr="00740FD0">
        <w:rPr>
          <w:sz w:val="18"/>
          <w:szCs w:val="18"/>
        </w:rPr>
        <w:t>. Thes</w:t>
      </w:r>
      <w:r w:rsidR="00C97625" w:rsidRPr="00740FD0">
        <w:rPr>
          <w:sz w:val="18"/>
          <w:szCs w:val="18"/>
        </w:rPr>
        <w:t>e</w:t>
      </w:r>
      <w:r w:rsidR="00484B45" w:rsidRPr="00740FD0">
        <w:rPr>
          <w:sz w:val="18"/>
          <w:szCs w:val="18"/>
        </w:rPr>
        <w:t xml:space="preserve"> changes are noted in </w:t>
      </w:r>
      <w:r w:rsidR="00C6423E" w:rsidRPr="00740FD0">
        <w:rPr>
          <w:sz w:val="18"/>
          <w:szCs w:val="18"/>
        </w:rPr>
        <w:t xml:space="preserve">Suhuyini Abudulai, </w:t>
      </w:r>
      <w:r w:rsidR="00C6423E" w:rsidRPr="00740FD0">
        <w:rPr>
          <w:i/>
          <w:iCs/>
          <w:sz w:val="18"/>
          <w:szCs w:val="18"/>
        </w:rPr>
        <w:t>The Annotated Ontario Consumer Protection Act, 2023 Edition</w:t>
      </w:r>
      <w:r w:rsidR="00C6423E" w:rsidRPr="00740FD0">
        <w:rPr>
          <w:sz w:val="18"/>
          <w:szCs w:val="18"/>
        </w:rPr>
        <w:t xml:space="preserve"> (LexisNexis, October 2022) at </w:t>
      </w:r>
      <w:r w:rsidR="00484B45" w:rsidRPr="00740FD0">
        <w:rPr>
          <w:sz w:val="18"/>
          <w:szCs w:val="18"/>
        </w:rPr>
        <w:t>8</w:t>
      </w:r>
      <w:r w:rsidR="00C6423E" w:rsidRPr="00740FD0">
        <w:rPr>
          <w:sz w:val="18"/>
          <w:szCs w:val="18"/>
        </w:rPr>
        <w:t xml:space="preserve">. </w:t>
      </w:r>
    </w:p>
  </w:endnote>
  <w:endnote w:id="191">
    <w:p w14:paraId="4F9583DE" w14:textId="6425A408" w:rsidR="00EE3282" w:rsidRPr="00740FD0" w:rsidRDefault="00EE3282" w:rsidP="00EE3282">
      <w:pPr>
        <w:pStyle w:val="EndnoteText"/>
        <w:rPr>
          <w:sz w:val="18"/>
          <w:szCs w:val="18"/>
        </w:rPr>
      </w:pPr>
      <w:r w:rsidRPr="00740FD0">
        <w:rPr>
          <w:rStyle w:val="EndnoteReference"/>
          <w:sz w:val="18"/>
          <w:szCs w:val="18"/>
        </w:rPr>
        <w:endnoteRef/>
      </w:r>
      <w:r w:rsidRPr="00740FD0">
        <w:rPr>
          <w:sz w:val="18"/>
          <w:szCs w:val="18"/>
        </w:rPr>
        <w:t xml:space="preserve"> </w:t>
      </w:r>
      <w:r w:rsidR="00C6423E" w:rsidRPr="00740FD0">
        <w:rPr>
          <w:sz w:val="18"/>
          <w:szCs w:val="18"/>
        </w:rPr>
        <w:t xml:space="preserve">Suhuyini Abudulai, </w:t>
      </w:r>
      <w:r w:rsidR="00C6423E" w:rsidRPr="00740FD0">
        <w:rPr>
          <w:i/>
          <w:iCs/>
          <w:sz w:val="18"/>
          <w:szCs w:val="18"/>
        </w:rPr>
        <w:t>The Annotated Ontario Consumer Protection Act, 2023 Edition</w:t>
      </w:r>
      <w:r w:rsidR="00C6423E" w:rsidRPr="00740FD0">
        <w:rPr>
          <w:sz w:val="18"/>
          <w:szCs w:val="18"/>
        </w:rPr>
        <w:t xml:space="preserve"> (LexisNexis, October 2022) </w:t>
      </w:r>
      <w:r w:rsidRPr="00740FD0">
        <w:rPr>
          <w:sz w:val="18"/>
          <w:szCs w:val="18"/>
        </w:rPr>
        <w:t>Tables 1-12 at 290-298.</w:t>
      </w:r>
    </w:p>
  </w:endnote>
  <w:endnote w:id="192">
    <w:p w14:paraId="433B2F92" w14:textId="446DCD94" w:rsidR="00114B24" w:rsidRPr="00740FD0" w:rsidRDefault="00114B24" w:rsidP="00114B24">
      <w:pPr>
        <w:pStyle w:val="EndnoteText"/>
        <w:rPr>
          <w:sz w:val="18"/>
          <w:szCs w:val="18"/>
        </w:rPr>
      </w:pPr>
      <w:r w:rsidRPr="00740FD0">
        <w:rPr>
          <w:rStyle w:val="EndnoteReference"/>
          <w:sz w:val="18"/>
          <w:szCs w:val="18"/>
        </w:rPr>
        <w:endnoteRef/>
      </w:r>
      <w:r w:rsidRPr="00740FD0">
        <w:rPr>
          <w:sz w:val="18"/>
          <w:szCs w:val="18"/>
        </w:rPr>
        <w:t xml:space="preserve"> </w:t>
      </w:r>
      <w:r w:rsidR="008A2952" w:rsidRPr="00740FD0">
        <w:rPr>
          <w:sz w:val="18"/>
          <w:szCs w:val="18"/>
        </w:rPr>
        <w:t xml:space="preserve">Ontario, </w:t>
      </w:r>
      <w:r w:rsidR="008A2952" w:rsidRPr="00740FD0">
        <w:rPr>
          <w:i/>
          <w:iCs/>
          <w:sz w:val="18"/>
          <w:szCs w:val="18"/>
        </w:rPr>
        <w:t xml:space="preserve">Modernizing Consumer Protection in Ontario Strengthening the Consumer Protection Act </w:t>
      </w:r>
      <w:r w:rsidR="008A2952" w:rsidRPr="00740FD0">
        <w:rPr>
          <w:sz w:val="18"/>
          <w:szCs w:val="18"/>
        </w:rPr>
        <w:t xml:space="preserve">(Ministry of Public and Business Service Delivery, February 2023) at 5, online: </w:t>
      </w:r>
      <w:hyperlink r:id="rId175" w:history="1">
        <w:r w:rsidR="008A2952" w:rsidRPr="00740FD0">
          <w:rPr>
            <w:rStyle w:val="Hyperlink"/>
            <w:sz w:val="18"/>
            <w:szCs w:val="18"/>
          </w:rPr>
          <w:t>https://www.ontariocanada.com/registry/view.do?postingId=43452&amp;language=en</w:t>
        </w:r>
      </w:hyperlink>
      <w:r w:rsidRPr="00740FD0">
        <w:rPr>
          <w:sz w:val="18"/>
          <w:szCs w:val="18"/>
        </w:rPr>
        <w:t xml:space="preserve">. </w:t>
      </w:r>
    </w:p>
  </w:endnote>
  <w:endnote w:id="193">
    <w:p w14:paraId="509CCFC0" w14:textId="3B2D88A7" w:rsidR="00114B24" w:rsidRPr="00740FD0" w:rsidRDefault="00114B24" w:rsidP="00114B24">
      <w:pPr>
        <w:pStyle w:val="EndnoteText"/>
        <w:rPr>
          <w:sz w:val="18"/>
          <w:szCs w:val="18"/>
        </w:rPr>
      </w:pPr>
      <w:r w:rsidRPr="00740FD0">
        <w:rPr>
          <w:rStyle w:val="EndnoteReference"/>
          <w:sz w:val="18"/>
          <w:szCs w:val="18"/>
        </w:rPr>
        <w:endnoteRef/>
      </w:r>
      <w:r w:rsidRPr="00740FD0">
        <w:rPr>
          <w:sz w:val="18"/>
          <w:szCs w:val="18"/>
        </w:rPr>
        <w:t xml:space="preserve"> </w:t>
      </w:r>
      <w:r w:rsidR="008A2952" w:rsidRPr="00740FD0">
        <w:rPr>
          <w:sz w:val="18"/>
          <w:szCs w:val="18"/>
        </w:rPr>
        <w:t xml:space="preserve">Ontario, </w:t>
      </w:r>
      <w:r w:rsidR="008A2952" w:rsidRPr="00740FD0">
        <w:rPr>
          <w:i/>
          <w:iCs/>
          <w:sz w:val="18"/>
          <w:szCs w:val="18"/>
        </w:rPr>
        <w:t xml:space="preserve">Modernizing Consumer Protection in Ontario Strengthening the Consumer Protection Act </w:t>
      </w:r>
      <w:r w:rsidR="008A2952" w:rsidRPr="00740FD0">
        <w:rPr>
          <w:sz w:val="18"/>
          <w:szCs w:val="18"/>
        </w:rPr>
        <w:t xml:space="preserve">(Ministry of Public and Business Service Delivery, February 2023) at 5, online: </w:t>
      </w:r>
      <w:hyperlink r:id="rId176" w:history="1">
        <w:r w:rsidR="008A2952" w:rsidRPr="00740FD0">
          <w:rPr>
            <w:rStyle w:val="Hyperlink"/>
            <w:sz w:val="18"/>
            <w:szCs w:val="18"/>
          </w:rPr>
          <w:t>https://www.ontariocanada.com/registry/view.do?postingId=43452&amp;language=en</w:t>
        </w:r>
      </w:hyperlink>
      <w:r w:rsidRPr="00740FD0">
        <w:rPr>
          <w:sz w:val="18"/>
          <w:szCs w:val="18"/>
        </w:rPr>
        <w:t>.</w:t>
      </w:r>
    </w:p>
  </w:endnote>
  <w:endnote w:id="194">
    <w:p w14:paraId="2ADADF2E" w14:textId="77777777" w:rsidR="00114B24" w:rsidRPr="00740FD0" w:rsidRDefault="00114B24" w:rsidP="00114B24">
      <w:pPr>
        <w:pStyle w:val="EndnoteText"/>
        <w:rPr>
          <w:sz w:val="18"/>
          <w:szCs w:val="18"/>
        </w:rPr>
      </w:pPr>
      <w:r w:rsidRPr="00740FD0">
        <w:rPr>
          <w:rStyle w:val="EndnoteReference"/>
          <w:sz w:val="18"/>
          <w:szCs w:val="18"/>
        </w:rPr>
        <w:endnoteRef/>
      </w:r>
      <w:r w:rsidRPr="00740FD0">
        <w:rPr>
          <w:sz w:val="18"/>
          <w:szCs w:val="18"/>
        </w:rPr>
        <w:t xml:space="preserve"> CPA s. 38(1-3) and s. 40, referring to Ontario Regulation 17/05 s. 32 “disclosure of information.”</w:t>
      </w:r>
    </w:p>
  </w:endnote>
  <w:endnote w:id="195">
    <w:p w14:paraId="29B0A6CD" w14:textId="77777777" w:rsidR="00114B24" w:rsidRPr="00740FD0" w:rsidRDefault="00114B24" w:rsidP="00114B24">
      <w:pPr>
        <w:pStyle w:val="EndnoteText"/>
        <w:rPr>
          <w:sz w:val="18"/>
          <w:szCs w:val="18"/>
        </w:rPr>
      </w:pPr>
      <w:r w:rsidRPr="00740FD0">
        <w:rPr>
          <w:rStyle w:val="EndnoteReference"/>
          <w:sz w:val="18"/>
          <w:szCs w:val="18"/>
        </w:rPr>
        <w:endnoteRef/>
      </w:r>
      <w:r w:rsidRPr="00740FD0">
        <w:rPr>
          <w:sz w:val="18"/>
          <w:szCs w:val="18"/>
        </w:rPr>
        <w:t xml:space="preserve"> CPA s. 37, referring to Ontario Regulation 17/05 s. 4, 5, 7 and 9. </w:t>
      </w:r>
    </w:p>
  </w:endnote>
  <w:endnote w:id="196">
    <w:p w14:paraId="48F1E988" w14:textId="69CC9F99" w:rsidR="001B5358" w:rsidRPr="00740FD0" w:rsidRDefault="001B5358">
      <w:pPr>
        <w:pStyle w:val="EndnoteText"/>
        <w:rPr>
          <w:sz w:val="18"/>
          <w:szCs w:val="18"/>
        </w:rPr>
      </w:pPr>
      <w:r w:rsidRPr="00740FD0">
        <w:rPr>
          <w:rStyle w:val="EndnoteReference"/>
          <w:sz w:val="18"/>
          <w:szCs w:val="18"/>
        </w:rPr>
        <w:endnoteRef/>
      </w:r>
      <w:r w:rsidRPr="00740FD0">
        <w:rPr>
          <w:sz w:val="18"/>
          <w:szCs w:val="18"/>
        </w:rPr>
        <w:t xml:space="preserve"> See: EU Digital Markets Act, Article 2, "Definitions" (2022), online: </w:t>
      </w:r>
      <w:hyperlink r:id="rId177" w:history="1">
        <w:r w:rsidRPr="00740FD0">
          <w:rPr>
            <w:rStyle w:val="Hyperlink"/>
            <w:sz w:val="18"/>
            <w:szCs w:val="18"/>
          </w:rPr>
          <w:t>https://eur-lex.europa.eu/eli/reg/2022/1925/oj</w:t>
        </w:r>
      </w:hyperlink>
      <w:r w:rsidRPr="00740FD0">
        <w:rPr>
          <w:sz w:val="18"/>
          <w:szCs w:val="18"/>
        </w:rPr>
        <w:t xml:space="preserve">; EU Digital Services Act, Article 3, "Definitions" (2022), online: </w:t>
      </w:r>
      <w:hyperlink r:id="rId178" w:history="1">
        <w:r w:rsidRPr="00740FD0">
          <w:rPr>
            <w:rStyle w:val="Hyperlink"/>
            <w:sz w:val="18"/>
            <w:szCs w:val="18"/>
          </w:rPr>
          <w:t>http://data.europa.eu/eli/reg/2022/2065/oj</w:t>
        </w:r>
      </w:hyperlink>
      <w:r w:rsidRPr="00740FD0">
        <w:rPr>
          <w:sz w:val="18"/>
          <w:szCs w:val="18"/>
        </w:rPr>
        <w:t xml:space="preserve">; and Directive (EU) 2019/2161, Consumer information, right of withdrawal and other consumer rights (2019), online: </w:t>
      </w:r>
      <w:hyperlink r:id="rId179" w:anchor="keyterm_E0001" w:history="1">
        <w:r w:rsidRPr="00740FD0">
          <w:rPr>
            <w:rStyle w:val="Hyperlink"/>
            <w:sz w:val="18"/>
            <w:szCs w:val="18"/>
          </w:rPr>
          <w:t>https://eur-lex.europa.eu/EN/legal-content/summary/consumer-information-right-of-withdrawal-and-other-consumer-rights.html#keyterm_E0001</w:t>
        </w:r>
      </w:hyperlink>
      <w:r w:rsidRPr="00740FD0">
        <w:rPr>
          <w:sz w:val="18"/>
          <w:szCs w:val="18"/>
        </w:rPr>
        <w:t xml:space="preserve">. </w:t>
      </w:r>
    </w:p>
  </w:endnote>
  <w:endnote w:id="197">
    <w:p w14:paraId="6C822D0A" w14:textId="27CEC461" w:rsidR="002675F0" w:rsidRPr="00740FD0" w:rsidRDefault="002675F0" w:rsidP="002675F0">
      <w:pPr>
        <w:pStyle w:val="EndnoteText"/>
        <w:rPr>
          <w:sz w:val="18"/>
          <w:szCs w:val="18"/>
        </w:rPr>
      </w:pPr>
      <w:r w:rsidRPr="00740FD0">
        <w:rPr>
          <w:rStyle w:val="EndnoteReference"/>
          <w:sz w:val="18"/>
          <w:szCs w:val="18"/>
        </w:rPr>
        <w:endnoteRef/>
      </w:r>
      <w:r w:rsidRPr="00740FD0">
        <w:rPr>
          <w:sz w:val="18"/>
          <w:szCs w:val="18"/>
        </w:rPr>
        <w:t xml:space="preserve"> </w:t>
      </w:r>
      <w:r w:rsidR="0027241C" w:rsidRPr="00740FD0">
        <w:rPr>
          <w:sz w:val="18"/>
          <w:szCs w:val="18"/>
        </w:rPr>
        <w:t xml:space="preserve">See European Commission, “Digital Markets Act: rules for digital gatekeepers to ensure open markets enter into force” (October 31, 2022), online: </w:t>
      </w:r>
      <w:hyperlink r:id="rId180" w:history="1">
        <w:r w:rsidR="0027241C" w:rsidRPr="00740FD0">
          <w:rPr>
            <w:rStyle w:val="Hyperlink"/>
            <w:sz w:val="18"/>
            <w:szCs w:val="18"/>
          </w:rPr>
          <w:t>https://ec.europa.eu/commission/presscorner/detail/en/ip_22_6423</w:t>
        </w:r>
      </w:hyperlink>
      <w:r w:rsidR="0027241C" w:rsidRPr="00740FD0">
        <w:rPr>
          <w:sz w:val="18"/>
          <w:szCs w:val="18"/>
        </w:rPr>
        <w:t xml:space="preserve">. </w:t>
      </w:r>
    </w:p>
  </w:endnote>
  <w:endnote w:id="198">
    <w:p w14:paraId="5906BE16" w14:textId="5AA3FCBD" w:rsidR="002675F0" w:rsidRPr="00740FD0" w:rsidRDefault="002675F0" w:rsidP="002675F0">
      <w:pPr>
        <w:pStyle w:val="EndnoteText"/>
        <w:rPr>
          <w:sz w:val="18"/>
          <w:szCs w:val="18"/>
        </w:rPr>
      </w:pPr>
      <w:r w:rsidRPr="00740FD0">
        <w:rPr>
          <w:rStyle w:val="EndnoteReference"/>
          <w:sz w:val="18"/>
          <w:szCs w:val="18"/>
        </w:rPr>
        <w:endnoteRef/>
      </w:r>
      <w:r w:rsidRPr="00740FD0">
        <w:rPr>
          <w:sz w:val="18"/>
          <w:szCs w:val="18"/>
        </w:rPr>
        <w:t xml:space="preserve"> </w:t>
      </w:r>
      <w:r w:rsidR="008A2952" w:rsidRPr="00740FD0">
        <w:rPr>
          <w:sz w:val="18"/>
          <w:szCs w:val="18"/>
        </w:rPr>
        <w:t xml:space="preserve">New York Times, </w:t>
      </w:r>
      <w:r w:rsidRPr="00740FD0">
        <w:rPr>
          <w:sz w:val="18"/>
          <w:szCs w:val="18"/>
        </w:rPr>
        <w:t xml:space="preserve">“E.U. Takes Aim at Social Media’s Harms With Landmark New Law’ (April 22, 2022), online: </w:t>
      </w:r>
      <w:hyperlink r:id="rId181" w:history="1">
        <w:r w:rsidRPr="00740FD0">
          <w:rPr>
            <w:rStyle w:val="Hyperlink"/>
            <w:sz w:val="18"/>
            <w:szCs w:val="18"/>
          </w:rPr>
          <w:t>https://www.nytimes.com/2022/04/22/technology/european-union-social-media-law.html</w:t>
        </w:r>
      </w:hyperlink>
      <w:r w:rsidRPr="00740FD0">
        <w:rPr>
          <w:sz w:val="18"/>
          <w:szCs w:val="18"/>
        </w:rPr>
        <w:t xml:space="preserve">. </w:t>
      </w:r>
    </w:p>
  </w:endnote>
  <w:endnote w:id="199">
    <w:p w14:paraId="3E9A9626" w14:textId="47DA9B5D" w:rsidR="00EC1868" w:rsidRPr="00740FD0" w:rsidRDefault="00EC1868" w:rsidP="00EC1868">
      <w:pPr>
        <w:pStyle w:val="EndnoteText"/>
        <w:rPr>
          <w:sz w:val="18"/>
          <w:szCs w:val="18"/>
        </w:rPr>
      </w:pPr>
      <w:r w:rsidRPr="00740FD0">
        <w:rPr>
          <w:rStyle w:val="EndnoteReference"/>
          <w:sz w:val="18"/>
          <w:szCs w:val="18"/>
        </w:rPr>
        <w:endnoteRef/>
      </w:r>
      <w:r w:rsidRPr="00740FD0">
        <w:rPr>
          <w:sz w:val="18"/>
          <w:szCs w:val="18"/>
        </w:rPr>
        <w:t xml:space="preserve"> </w:t>
      </w:r>
      <w:r w:rsidR="008A2952" w:rsidRPr="00740FD0">
        <w:rPr>
          <w:sz w:val="18"/>
          <w:szCs w:val="18"/>
        </w:rPr>
        <w:t xml:space="preserve">See U.K. Department for Science, Innovation and Technology and Department for Digital, Culture, Media &amp; Sport, “Online Safety Bill: supporting documents” (January 18, 2023), online: </w:t>
      </w:r>
      <w:hyperlink r:id="rId182" w:anchor="how-the-bill-will-protect-your-freedom-of-speech-online" w:history="1">
        <w:r w:rsidR="008A2952" w:rsidRPr="00740FD0">
          <w:rPr>
            <w:rStyle w:val="Hyperlink"/>
            <w:sz w:val="18"/>
            <w:szCs w:val="18"/>
          </w:rPr>
          <w:t>https://www.gov.uk/government/publications/online-safety-bill-supporting-documents/online-safety-bill-factsheet#how-the-bill-will-protect-your-freedom-of-speech-online</w:t>
        </w:r>
      </w:hyperlink>
      <w:r w:rsidR="008A2952" w:rsidRPr="00740FD0">
        <w:rPr>
          <w:sz w:val="18"/>
          <w:szCs w:val="18"/>
        </w:rPr>
        <w:t>.</w:t>
      </w:r>
    </w:p>
  </w:endnote>
  <w:endnote w:id="200">
    <w:p w14:paraId="4B7F11A9" w14:textId="7818EF63" w:rsidR="00EC1868" w:rsidRPr="00740FD0" w:rsidRDefault="00EC1868" w:rsidP="00EC1868">
      <w:pPr>
        <w:pStyle w:val="EndnoteText"/>
        <w:rPr>
          <w:sz w:val="18"/>
          <w:szCs w:val="18"/>
        </w:rPr>
      </w:pPr>
      <w:r w:rsidRPr="00740FD0">
        <w:rPr>
          <w:rStyle w:val="EndnoteReference"/>
          <w:sz w:val="18"/>
          <w:szCs w:val="18"/>
        </w:rPr>
        <w:endnoteRef/>
      </w:r>
      <w:r w:rsidRPr="00740FD0">
        <w:rPr>
          <w:sz w:val="18"/>
          <w:szCs w:val="18"/>
        </w:rPr>
        <w:t xml:space="preserve"> </w:t>
      </w:r>
      <w:r w:rsidR="008A2952" w:rsidRPr="00740FD0">
        <w:rPr>
          <w:sz w:val="18"/>
          <w:szCs w:val="18"/>
        </w:rPr>
        <w:t xml:space="preserve">See U.K. Department for Science, Innovation and Technology and Department for Digital, Culture, Media &amp; Sport, “Online Safety Bill: supporting documents” (January 18, 2023), online: </w:t>
      </w:r>
      <w:hyperlink r:id="rId183" w:anchor="how-the-bill-will-protect-your-freedom-of-speech-online" w:history="1">
        <w:r w:rsidR="008A2952" w:rsidRPr="00740FD0">
          <w:rPr>
            <w:rStyle w:val="Hyperlink"/>
            <w:sz w:val="18"/>
            <w:szCs w:val="18"/>
          </w:rPr>
          <w:t>https://www.gov.uk/government/publications/online-safety-bill-supporting-documents/online-safety-bill-factsheet#how-the-bill-will-protect-your-freedom-of-speech-online</w:t>
        </w:r>
      </w:hyperlink>
      <w:r w:rsidR="008A2952" w:rsidRPr="00740FD0">
        <w:rPr>
          <w:sz w:val="18"/>
          <w:szCs w:val="18"/>
        </w:rPr>
        <w:t>.</w:t>
      </w:r>
    </w:p>
  </w:endnote>
  <w:endnote w:id="201">
    <w:p w14:paraId="3DC54727" w14:textId="080ED776" w:rsidR="00EC1868" w:rsidRPr="00740FD0" w:rsidRDefault="00EC1868" w:rsidP="00EC1868">
      <w:pPr>
        <w:pStyle w:val="EndnoteText"/>
        <w:rPr>
          <w:sz w:val="18"/>
          <w:szCs w:val="18"/>
        </w:rPr>
      </w:pPr>
      <w:r w:rsidRPr="00740FD0">
        <w:rPr>
          <w:rStyle w:val="EndnoteReference"/>
          <w:sz w:val="18"/>
          <w:szCs w:val="18"/>
        </w:rPr>
        <w:endnoteRef/>
      </w:r>
      <w:r w:rsidRPr="00740FD0">
        <w:rPr>
          <w:sz w:val="18"/>
          <w:szCs w:val="18"/>
        </w:rPr>
        <w:t xml:space="preserve"> </w:t>
      </w:r>
      <w:r w:rsidR="008A2952" w:rsidRPr="00740FD0">
        <w:rPr>
          <w:sz w:val="18"/>
          <w:szCs w:val="18"/>
        </w:rPr>
        <w:t>For an overview see European Commission,</w:t>
      </w:r>
      <w:r w:rsidR="005903F1" w:rsidRPr="00740FD0">
        <w:rPr>
          <w:sz w:val="18"/>
          <w:szCs w:val="18"/>
        </w:rPr>
        <w:t xml:space="preserve"> </w:t>
      </w:r>
      <w:r w:rsidR="008A2952" w:rsidRPr="00740FD0">
        <w:rPr>
          <w:sz w:val="18"/>
          <w:szCs w:val="18"/>
        </w:rPr>
        <w:t>“</w:t>
      </w:r>
      <w:r w:rsidR="005903F1" w:rsidRPr="00740FD0">
        <w:rPr>
          <w:sz w:val="18"/>
          <w:szCs w:val="18"/>
        </w:rPr>
        <w:t>Unfair commercial practices directive</w:t>
      </w:r>
      <w:r w:rsidR="008A2952" w:rsidRPr="00740FD0">
        <w:rPr>
          <w:sz w:val="18"/>
          <w:szCs w:val="18"/>
        </w:rPr>
        <w:t>,” online:</w:t>
      </w:r>
      <w:r w:rsidR="005903F1" w:rsidRPr="00740FD0">
        <w:rPr>
          <w:sz w:val="18"/>
          <w:szCs w:val="18"/>
        </w:rPr>
        <w:t xml:space="preserve"> </w:t>
      </w:r>
      <w:hyperlink r:id="rId184" w:history="1">
        <w:r w:rsidR="005903F1" w:rsidRPr="00740FD0">
          <w:rPr>
            <w:rStyle w:val="Hyperlink"/>
            <w:sz w:val="18"/>
            <w:szCs w:val="18"/>
          </w:rPr>
          <w:t>https://ec.europa.eu/info/law/law-topic/consumer-protection-law/unfair-commercial-practices-law/unfair-commercial-practices-directive_en</w:t>
        </w:r>
      </w:hyperlink>
      <w:r w:rsidR="008A2952" w:rsidRPr="00740FD0">
        <w:rPr>
          <w:sz w:val="18"/>
          <w:szCs w:val="18"/>
        </w:rPr>
        <w:t>. Specifically see the Journal of the European Union, “</w:t>
      </w:r>
      <w:r w:rsidR="005903F1" w:rsidRPr="00740FD0">
        <w:rPr>
          <w:sz w:val="18"/>
          <w:szCs w:val="18"/>
        </w:rPr>
        <w:t>Commission Notice: Guidance on the interpretation and application of Directive 2005/29/EC of the European Parliament and of the Council concerning unfair business-to-consumer commercial practices in the internal market (2021/C 526/01)</w:t>
      </w:r>
      <w:r w:rsidR="00DA2E2E" w:rsidRPr="00740FD0">
        <w:rPr>
          <w:sz w:val="18"/>
          <w:szCs w:val="18"/>
        </w:rPr>
        <w:t>” (December 12, 2021)</w:t>
      </w:r>
      <w:r w:rsidR="005903F1" w:rsidRPr="00740FD0">
        <w:rPr>
          <w:sz w:val="18"/>
          <w:szCs w:val="18"/>
        </w:rPr>
        <w:t xml:space="preserve">, online: </w:t>
      </w:r>
      <w:hyperlink r:id="rId185" w:history="1">
        <w:r w:rsidR="005903F1" w:rsidRPr="00740FD0">
          <w:rPr>
            <w:rStyle w:val="Hyperlink"/>
            <w:sz w:val="18"/>
            <w:szCs w:val="18"/>
          </w:rPr>
          <w:t>https://eur-lex.europa.eu/legal-content/EN/TXT/HTML/?uri=CELEX:52021XC1229(05)</w:t>
        </w:r>
      </w:hyperlink>
      <w:r w:rsidR="005903F1" w:rsidRPr="00740FD0">
        <w:rPr>
          <w:sz w:val="18"/>
          <w:szCs w:val="18"/>
        </w:rPr>
        <w:t>.</w:t>
      </w:r>
    </w:p>
  </w:endnote>
  <w:endnote w:id="202">
    <w:p w14:paraId="5447748A" w14:textId="26BEFD79" w:rsidR="00EC1868" w:rsidRPr="00740FD0" w:rsidRDefault="00EC1868" w:rsidP="00EC1868">
      <w:pPr>
        <w:pStyle w:val="EndnoteText"/>
        <w:rPr>
          <w:sz w:val="18"/>
          <w:szCs w:val="18"/>
        </w:rPr>
      </w:pPr>
      <w:r w:rsidRPr="00740FD0">
        <w:rPr>
          <w:rStyle w:val="EndnoteReference"/>
          <w:sz w:val="18"/>
          <w:szCs w:val="18"/>
        </w:rPr>
        <w:endnoteRef/>
      </w:r>
      <w:r w:rsidRPr="00740FD0">
        <w:rPr>
          <w:sz w:val="18"/>
          <w:szCs w:val="18"/>
        </w:rPr>
        <w:t xml:space="preserve"> </w:t>
      </w:r>
      <w:r w:rsidR="005903F1" w:rsidRPr="00740FD0">
        <w:rPr>
          <w:sz w:val="18"/>
          <w:szCs w:val="18"/>
        </w:rPr>
        <w:t xml:space="preserve">See </w:t>
      </w:r>
      <w:r w:rsidR="00DA2E2E" w:rsidRPr="00740FD0">
        <w:rPr>
          <w:sz w:val="18"/>
          <w:szCs w:val="18"/>
        </w:rPr>
        <w:t xml:space="preserve">the Journal of the European Union, “Commission Notice: Guidance on the interpretation and application of Directive 2005/29/EC of the European Parliament and of the Council concerning unfair business-to-consumer commercial practices in the internal market (2021/C 526/01)” (December 12, 2021), online: </w:t>
      </w:r>
      <w:hyperlink r:id="rId186" w:history="1">
        <w:r w:rsidR="00DA2E2E" w:rsidRPr="00740FD0">
          <w:rPr>
            <w:rStyle w:val="Hyperlink"/>
            <w:sz w:val="18"/>
            <w:szCs w:val="18"/>
          </w:rPr>
          <w:t>https://eur-lex.europa.eu/legal-content/EN/TXT/HTML/?uri=CELEX:52021XC1229(05)</w:t>
        </w:r>
      </w:hyperlink>
      <w:r w:rsidR="00DA2E2E" w:rsidRPr="00740FD0">
        <w:rPr>
          <w:sz w:val="18"/>
          <w:szCs w:val="18"/>
        </w:rPr>
        <w:t>.</w:t>
      </w:r>
      <w:r w:rsidR="005903F1" w:rsidRPr="00740FD0">
        <w:rPr>
          <w:sz w:val="18"/>
          <w:szCs w:val="18"/>
        </w:rPr>
        <w:t>.</w:t>
      </w:r>
    </w:p>
  </w:endnote>
  <w:endnote w:id="203">
    <w:p w14:paraId="32930DA3" w14:textId="50CBF27F" w:rsidR="002675F0" w:rsidRPr="00740FD0" w:rsidRDefault="002675F0" w:rsidP="002675F0">
      <w:pPr>
        <w:pStyle w:val="EndnoteText"/>
        <w:rPr>
          <w:sz w:val="18"/>
          <w:szCs w:val="18"/>
        </w:rPr>
      </w:pPr>
      <w:r w:rsidRPr="00740FD0">
        <w:rPr>
          <w:rStyle w:val="EndnoteReference"/>
          <w:sz w:val="18"/>
          <w:szCs w:val="18"/>
        </w:rPr>
        <w:endnoteRef/>
      </w:r>
      <w:r w:rsidRPr="00740FD0">
        <w:rPr>
          <w:sz w:val="18"/>
          <w:szCs w:val="18"/>
        </w:rPr>
        <w:t xml:space="preserve"> </w:t>
      </w:r>
      <w:r w:rsidRPr="00740FD0">
        <w:rPr>
          <w:i/>
          <w:iCs/>
          <w:sz w:val="18"/>
          <w:szCs w:val="18"/>
        </w:rPr>
        <w:t>Working for Workers Act, 2022, S.O. 2022, c. 7 - Bill 88</w:t>
      </w:r>
      <w:r w:rsidRPr="00740FD0">
        <w:rPr>
          <w:sz w:val="18"/>
          <w:szCs w:val="18"/>
        </w:rPr>
        <w:t xml:space="preserve">, enacting as schedule 1 the </w:t>
      </w:r>
      <w:r w:rsidRPr="00740FD0">
        <w:rPr>
          <w:i/>
          <w:iCs/>
          <w:sz w:val="18"/>
          <w:szCs w:val="18"/>
        </w:rPr>
        <w:t>Digital Platform Workers’ Rights Act, 2022</w:t>
      </w:r>
      <w:r w:rsidRPr="00740FD0">
        <w:rPr>
          <w:sz w:val="18"/>
          <w:szCs w:val="18"/>
        </w:rPr>
        <w:t xml:space="preserve">, online: </w:t>
      </w:r>
      <w:hyperlink r:id="rId187" w:history="1">
        <w:r w:rsidR="00DA2E2E" w:rsidRPr="00740FD0">
          <w:rPr>
            <w:rStyle w:val="Hyperlink"/>
            <w:sz w:val="18"/>
            <w:szCs w:val="18"/>
          </w:rPr>
          <w:t>https://www.ontario.ca/laws/statute/s22007</w:t>
        </w:r>
      </w:hyperlink>
      <w:r w:rsidR="00DA2E2E" w:rsidRPr="00740FD0">
        <w:rPr>
          <w:sz w:val="18"/>
          <w:szCs w:val="18"/>
        </w:rPr>
        <w:t xml:space="preserve">. </w:t>
      </w:r>
      <w:r w:rsidRPr="00740FD0">
        <w:rPr>
          <w:sz w:val="18"/>
          <w:szCs w:val="18"/>
        </w:rPr>
        <w:t>Note that the 2022 bill introduces amendments further to the 2021 legislation of the same name, enacted in December 2021</w:t>
      </w:r>
      <w:r w:rsidR="00DA2E2E" w:rsidRPr="00740FD0">
        <w:rPr>
          <w:sz w:val="18"/>
          <w:szCs w:val="18"/>
        </w:rPr>
        <w:t xml:space="preserve"> (DPWRA).</w:t>
      </w:r>
    </w:p>
  </w:endnote>
  <w:endnote w:id="204">
    <w:p w14:paraId="4E7EF470" w14:textId="77777777" w:rsidR="002675F0" w:rsidRPr="00740FD0" w:rsidRDefault="002675F0" w:rsidP="002675F0">
      <w:pPr>
        <w:pStyle w:val="EndnoteText"/>
        <w:rPr>
          <w:sz w:val="18"/>
          <w:szCs w:val="18"/>
        </w:rPr>
      </w:pPr>
      <w:r w:rsidRPr="00740FD0">
        <w:rPr>
          <w:rStyle w:val="EndnoteReference"/>
          <w:sz w:val="18"/>
          <w:szCs w:val="18"/>
        </w:rPr>
        <w:endnoteRef/>
      </w:r>
      <w:r w:rsidRPr="00740FD0">
        <w:rPr>
          <w:sz w:val="18"/>
          <w:szCs w:val="18"/>
        </w:rPr>
        <w:t xml:space="preserve"> DPWRA, s. 1. </w:t>
      </w:r>
    </w:p>
  </w:endnote>
  <w:endnote w:id="205">
    <w:p w14:paraId="77745ECD" w14:textId="3F10EE39" w:rsidR="002675F0" w:rsidRPr="00740FD0" w:rsidRDefault="002675F0" w:rsidP="002675F0">
      <w:pPr>
        <w:pStyle w:val="EndnoteText"/>
        <w:rPr>
          <w:sz w:val="18"/>
          <w:szCs w:val="18"/>
        </w:rPr>
      </w:pPr>
      <w:r w:rsidRPr="00740FD0">
        <w:rPr>
          <w:rStyle w:val="EndnoteReference"/>
          <w:sz w:val="18"/>
          <w:szCs w:val="18"/>
        </w:rPr>
        <w:endnoteRef/>
      </w:r>
      <w:r w:rsidRPr="00740FD0">
        <w:rPr>
          <w:sz w:val="18"/>
          <w:szCs w:val="18"/>
        </w:rPr>
        <w:t xml:space="preserve"> Specified rights include: A right to information, including the calculation of pay, the collection of tips and gratuities, pay periods, and how algorithmic performance rating and work assignments are conducted; a right to notice of removal from the platform, including reasons for the removal and two weeks written notice if the removal (or temporary removal) is for a period longer than 24 hours; and a right to be free from reprisals</w:t>
      </w:r>
      <w:r w:rsidR="00DA2E2E" w:rsidRPr="00740FD0">
        <w:rPr>
          <w:sz w:val="18"/>
          <w:szCs w:val="18"/>
        </w:rPr>
        <w:t>. See DPWRA, ss. 7-13.</w:t>
      </w:r>
    </w:p>
  </w:endnote>
  <w:endnote w:id="206">
    <w:p w14:paraId="35973C01" w14:textId="6E0D8727" w:rsidR="003C6DDF" w:rsidRPr="00740FD0" w:rsidRDefault="003C6DDF">
      <w:pPr>
        <w:pStyle w:val="EndnoteText"/>
        <w:rPr>
          <w:sz w:val="18"/>
          <w:szCs w:val="18"/>
        </w:rPr>
      </w:pPr>
      <w:r w:rsidRPr="00740FD0">
        <w:rPr>
          <w:rStyle w:val="EndnoteReference"/>
          <w:sz w:val="18"/>
          <w:szCs w:val="18"/>
        </w:rPr>
        <w:endnoteRef/>
      </w:r>
      <w:r w:rsidRPr="00740FD0">
        <w:rPr>
          <w:sz w:val="18"/>
          <w:szCs w:val="18"/>
        </w:rPr>
        <w:t xml:space="preserve"> </w:t>
      </w:r>
      <w:r w:rsidR="00DA2E2E" w:rsidRPr="00740FD0">
        <w:rPr>
          <w:sz w:val="18"/>
          <w:szCs w:val="18"/>
        </w:rPr>
        <w:t>Ministry of Public and Business Service Delivery, “Consultation on Modernizing Consumer Protection in Ontario: Strengthening the Consumer Protection Act” Session 2 Business Leaders (March 8, 2023), notes on file with the LCO</w:t>
      </w:r>
      <w:r w:rsidRPr="00740FD0">
        <w:rPr>
          <w:sz w:val="18"/>
          <w:szCs w:val="18"/>
        </w:rPr>
        <w:t>.</w:t>
      </w:r>
    </w:p>
  </w:endnote>
  <w:endnote w:id="207">
    <w:p w14:paraId="0AA68476" w14:textId="33CCB30C" w:rsidR="004D405E" w:rsidRPr="00740FD0" w:rsidRDefault="004D405E" w:rsidP="00DA2E2E">
      <w:pPr>
        <w:pStyle w:val="EndnoteText"/>
        <w:rPr>
          <w:sz w:val="18"/>
          <w:szCs w:val="18"/>
        </w:rPr>
      </w:pPr>
      <w:r w:rsidRPr="00740FD0">
        <w:rPr>
          <w:rStyle w:val="EndnoteReference"/>
          <w:sz w:val="18"/>
          <w:szCs w:val="18"/>
        </w:rPr>
        <w:endnoteRef/>
      </w:r>
      <w:r w:rsidRPr="00740FD0">
        <w:rPr>
          <w:sz w:val="18"/>
          <w:szCs w:val="18"/>
        </w:rPr>
        <w:t xml:space="preserve"> </w:t>
      </w:r>
      <w:r w:rsidR="00DA2E2E" w:rsidRPr="00740FD0">
        <w:rPr>
          <w:sz w:val="18"/>
          <w:szCs w:val="18"/>
        </w:rPr>
        <w:t xml:space="preserve"> See </w:t>
      </w:r>
      <w:r w:rsidR="00DA2E2E" w:rsidRPr="00740FD0">
        <w:rPr>
          <w:i/>
          <w:iCs/>
          <w:sz w:val="18"/>
          <w:szCs w:val="18"/>
        </w:rPr>
        <w:t>O. Reg. 17/05: General</w:t>
      </w:r>
      <w:r w:rsidR="00DA2E2E" w:rsidRPr="00740FD0">
        <w:rPr>
          <w:sz w:val="18"/>
          <w:szCs w:val="18"/>
        </w:rPr>
        <w:t xml:space="preserve"> under the </w:t>
      </w:r>
      <w:r w:rsidR="00DA2E2E" w:rsidRPr="00740FD0">
        <w:rPr>
          <w:i/>
          <w:iCs/>
          <w:sz w:val="18"/>
          <w:szCs w:val="18"/>
        </w:rPr>
        <w:t>Consumer Protection Act, 2002</w:t>
      </w:r>
      <w:r w:rsidR="00DA2E2E" w:rsidRPr="00740FD0">
        <w:rPr>
          <w:sz w:val="18"/>
          <w:szCs w:val="18"/>
        </w:rPr>
        <w:t xml:space="preserve"> (S.O. 2002, c. 30, Sched. A) at ss. 23.1 (“Future Performance Agreements), 27 (“Personal Development Services”), 31 (“Internet Agreements), 34 (“Direct Agreements”), 36 (“Remote Agreements”), and 43.3 (“Consumer Agreements for Reward Points”). </w:t>
      </w:r>
    </w:p>
  </w:endnote>
  <w:endnote w:id="208">
    <w:p w14:paraId="313465EE" w14:textId="11197561" w:rsidR="004D405E" w:rsidRPr="00740FD0" w:rsidRDefault="004D405E" w:rsidP="004D405E">
      <w:pPr>
        <w:pStyle w:val="EndnoteText"/>
        <w:rPr>
          <w:sz w:val="18"/>
          <w:szCs w:val="18"/>
        </w:rPr>
      </w:pPr>
      <w:r w:rsidRPr="00740FD0">
        <w:rPr>
          <w:rStyle w:val="EndnoteReference"/>
          <w:sz w:val="18"/>
          <w:szCs w:val="18"/>
        </w:rPr>
        <w:endnoteRef/>
      </w:r>
      <w:r w:rsidRPr="00740FD0">
        <w:rPr>
          <w:sz w:val="18"/>
          <w:szCs w:val="18"/>
        </w:rPr>
        <w:t xml:space="preserve"> </w:t>
      </w:r>
      <w:r w:rsidR="007135FE" w:rsidRPr="00740FD0">
        <w:rPr>
          <w:sz w:val="18"/>
          <w:szCs w:val="18"/>
        </w:rPr>
        <w:t>An exploration of “free services” in the consumer context is in Public Interest Advocacy Centre</w:t>
      </w:r>
      <w:r w:rsidR="007135FE" w:rsidRPr="00740FD0">
        <w:rPr>
          <w:i/>
          <w:iCs/>
          <w:sz w:val="18"/>
          <w:szCs w:val="18"/>
        </w:rPr>
        <w:t>, No Such Thing as a Free Lunch: Consumer Contracts and "Free" Services</w:t>
      </w:r>
      <w:r w:rsidR="007135FE" w:rsidRPr="00740FD0">
        <w:rPr>
          <w:sz w:val="18"/>
          <w:szCs w:val="18"/>
        </w:rPr>
        <w:t xml:space="preserve"> (November 2014), online: </w:t>
      </w:r>
      <w:hyperlink r:id="rId188" w:history="1">
        <w:r w:rsidR="007135FE" w:rsidRPr="00740FD0">
          <w:rPr>
            <w:rStyle w:val="Hyperlink"/>
            <w:sz w:val="18"/>
            <w:szCs w:val="18"/>
          </w:rPr>
          <w:t>https://www.piac.ca/wp-content/uploads/2014/11/free_services.pdf</w:t>
        </w:r>
      </w:hyperlink>
      <w:r w:rsidR="007135FE" w:rsidRPr="00740FD0">
        <w:rPr>
          <w:sz w:val="18"/>
          <w:szCs w:val="18"/>
        </w:rPr>
        <w:t xml:space="preserve">. </w:t>
      </w:r>
    </w:p>
  </w:endnote>
  <w:endnote w:id="209">
    <w:p w14:paraId="423724BE" w14:textId="5834B83D" w:rsidR="004D405E" w:rsidRPr="00740FD0" w:rsidRDefault="004D405E" w:rsidP="004D405E">
      <w:pPr>
        <w:pStyle w:val="EndnoteText"/>
        <w:rPr>
          <w:sz w:val="18"/>
          <w:szCs w:val="18"/>
        </w:rPr>
      </w:pPr>
      <w:r w:rsidRPr="00740FD0">
        <w:rPr>
          <w:rStyle w:val="EndnoteReference"/>
          <w:sz w:val="18"/>
          <w:szCs w:val="18"/>
        </w:rPr>
        <w:endnoteRef/>
      </w:r>
      <w:r w:rsidRPr="00740FD0">
        <w:rPr>
          <w:sz w:val="18"/>
          <w:szCs w:val="18"/>
        </w:rPr>
        <w:t xml:space="preserve"> </w:t>
      </w:r>
      <w:r w:rsidR="007135FE" w:rsidRPr="00740FD0">
        <w:rPr>
          <w:sz w:val="18"/>
          <w:szCs w:val="18"/>
        </w:rPr>
        <w:t xml:space="preserve">Several kinds of micro-transaction and other incremental monetization practices were recently investigated by the US Federal Trade Commission in context of “free to play” games. See both: US Federal Trade Commission, “FTC Finalizes Order Requiring Fortnite maker Epic Games to Pay $245 Million for Tricking Users into Making Unwanted Charges” (March 14, 2023), online: </w:t>
      </w:r>
      <w:hyperlink r:id="rId189" w:history="1">
        <w:r w:rsidR="007135FE" w:rsidRPr="00740FD0">
          <w:rPr>
            <w:rStyle w:val="Hyperlink"/>
            <w:sz w:val="18"/>
            <w:szCs w:val="18"/>
          </w:rPr>
          <w:t>https://www.ftc.gov/news-events/news/press-releases/2023/03/ftc-finalizes-order-requiring-fortnite-maker-epic-games-pay-245-million-tricking-users-making</w:t>
        </w:r>
      </w:hyperlink>
      <w:r w:rsidR="007135FE" w:rsidRPr="00740FD0">
        <w:rPr>
          <w:sz w:val="18"/>
          <w:szCs w:val="18"/>
        </w:rPr>
        <w:t xml:space="preserve">; and US Federal Trade Commission, “Fortnite Video Game Maker Epic Games to Pay More Than Half a Billion Dollars over FTC Allegations of Privacy Violations and Unwanted Charges” (December 19, 2022), online: </w:t>
      </w:r>
      <w:hyperlink r:id="rId190" w:history="1">
        <w:r w:rsidR="007135FE" w:rsidRPr="00740FD0">
          <w:rPr>
            <w:rStyle w:val="Hyperlink"/>
            <w:sz w:val="18"/>
            <w:szCs w:val="18"/>
          </w:rPr>
          <w:t>https://www.ftc.gov/news-events/news/press-releases/2022/12/fortnite-video-game-maker-epic-games-pay-more-half-billion-dollars-over-ftc-allegations</w:t>
        </w:r>
      </w:hyperlink>
    </w:p>
  </w:endnote>
  <w:endnote w:id="210">
    <w:p w14:paraId="58895939" w14:textId="38AF2854" w:rsidR="004D405E" w:rsidRPr="00740FD0" w:rsidRDefault="004D405E" w:rsidP="004D405E">
      <w:pPr>
        <w:pStyle w:val="EndnoteText"/>
        <w:rPr>
          <w:sz w:val="18"/>
          <w:szCs w:val="18"/>
        </w:rPr>
      </w:pPr>
      <w:r w:rsidRPr="00740FD0">
        <w:rPr>
          <w:rStyle w:val="EndnoteReference"/>
          <w:sz w:val="18"/>
          <w:szCs w:val="18"/>
        </w:rPr>
        <w:endnoteRef/>
      </w:r>
      <w:r w:rsidRPr="00740FD0">
        <w:rPr>
          <w:sz w:val="18"/>
          <w:szCs w:val="18"/>
        </w:rPr>
        <w:t xml:space="preserve"> </w:t>
      </w:r>
      <w:r w:rsidR="007135FE" w:rsidRPr="00740FD0">
        <w:rPr>
          <w:sz w:val="18"/>
          <w:szCs w:val="18"/>
        </w:rPr>
        <w:t xml:space="preserve">Interestingly, the $50 threshold was initially </w:t>
      </w:r>
      <w:r w:rsidR="00045E65" w:rsidRPr="00740FD0">
        <w:rPr>
          <w:sz w:val="18"/>
          <w:szCs w:val="18"/>
        </w:rPr>
        <w:t>set</w:t>
      </w:r>
      <w:r w:rsidR="007135FE" w:rsidRPr="00740FD0">
        <w:rPr>
          <w:sz w:val="18"/>
          <w:szCs w:val="18"/>
        </w:rPr>
        <w:t xml:space="preserve"> in the </w:t>
      </w:r>
      <w:r w:rsidR="00045E65" w:rsidRPr="00740FD0">
        <w:rPr>
          <w:sz w:val="18"/>
          <w:szCs w:val="18"/>
        </w:rPr>
        <w:t xml:space="preserve">earliest versions of the </w:t>
      </w:r>
      <w:r w:rsidR="007135FE" w:rsidRPr="00740FD0">
        <w:rPr>
          <w:i/>
          <w:iCs/>
          <w:sz w:val="18"/>
          <w:szCs w:val="18"/>
        </w:rPr>
        <w:t>Consumer Protection Act</w:t>
      </w:r>
      <w:r w:rsidR="00045E65" w:rsidRPr="00740FD0">
        <w:rPr>
          <w:sz w:val="18"/>
          <w:szCs w:val="18"/>
        </w:rPr>
        <w:t xml:space="preserve"> dating to the 1960s. The threshold has persisted since, despite inflation. Indexed to inflation, this threshold would be nearly $500 today (calculated using the Bank of Canada Inflation Calculator: </w:t>
      </w:r>
      <w:hyperlink r:id="rId191" w:history="1">
        <w:r w:rsidR="00045E65" w:rsidRPr="00740FD0">
          <w:rPr>
            <w:rStyle w:val="Hyperlink"/>
            <w:sz w:val="18"/>
            <w:szCs w:val="18"/>
          </w:rPr>
          <w:t>https://www.bankofcanada.ca/rates/related/inflation-calculator/</w:t>
        </w:r>
      </w:hyperlink>
      <w:r w:rsidR="00045E65" w:rsidRPr="00740FD0">
        <w:rPr>
          <w:sz w:val="18"/>
          <w:szCs w:val="18"/>
        </w:rPr>
        <w:t>). This suggests a multi-decadal and implicit normalization of consumer protections to cover an ever-wider array of major and minor transactions. As noted elsewhere in this paper, the minimum transactional threshold has been abolished in other Canadian jurisdictions, including British Columbia.</w:t>
      </w:r>
    </w:p>
  </w:endnote>
  <w:endnote w:id="211">
    <w:p w14:paraId="2830D57F" w14:textId="33725507" w:rsidR="004D405E" w:rsidRPr="00740FD0" w:rsidRDefault="004D405E" w:rsidP="004D405E">
      <w:pPr>
        <w:pStyle w:val="EndnoteText"/>
        <w:rPr>
          <w:sz w:val="18"/>
          <w:szCs w:val="18"/>
        </w:rPr>
      </w:pPr>
      <w:r w:rsidRPr="00740FD0">
        <w:rPr>
          <w:rStyle w:val="EndnoteReference"/>
          <w:sz w:val="18"/>
          <w:szCs w:val="18"/>
        </w:rPr>
        <w:endnoteRef/>
      </w:r>
      <w:r w:rsidRPr="00740FD0">
        <w:rPr>
          <w:sz w:val="18"/>
          <w:szCs w:val="18"/>
        </w:rPr>
        <w:t xml:space="preserve"> </w:t>
      </w:r>
      <w:r w:rsidR="00045E65" w:rsidRPr="00740FD0">
        <w:rPr>
          <w:sz w:val="18"/>
          <w:szCs w:val="18"/>
        </w:rPr>
        <w:t>Communication to the LCO from leading consumer protection law lawyer (November 21, 2022), on file with the LCO.</w:t>
      </w:r>
    </w:p>
  </w:endnote>
  <w:endnote w:id="212">
    <w:p w14:paraId="747B314A" w14:textId="7CC95675" w:rsidR="004D405E" w:rsidRPr="00740FD0" w:rsidRDefault="004D405E" w:rsidP="004D405E">
      <w:pPr>
        <w:pStyle w:val="EndnoteText"/>
        <w:rPr>
          <w:sz w:val="18"/>
          <w:szCs w:val="18"/>
        </w:rPr>
      </w:pPr>
      <w:r w:rsidRPr="00740FD0">
        <w:rPr>
          <w:rStyle w:val="EndnoteReference"/>
          <w:sz w:val="18"/>
          <w:szCs w:val="18"/>
        </w:rPr>
        <w:endnoteRef/>
      </w:r>
      <w:r w:rsidRPr="00740FD0">
        <w:rPr>
          <w:sz w:val="18"/>
          <w:szCs w:val="18"/>
        </w:rPr>
        <w:t xml:space="preserve"> </w:t>
      </w:r>
      <w:r w:rsidR="00045E65" w:rsidRPr="00740FD0">
        <w:rPr>
          <w:sz w:val="18"/>
          <w:szCs w:val="18"/>
        </w:rPr>
        <w:t xml:space="preserve">For instance, see </w:t>
      </w:r>
      <w:r w:rsidR="00045E65" w:rsidRPr="00740FD0">
        <w:rPr>
          <w:i/>
          <w:iCs/>
          <w:sz w:val="18"/>
          <w:szCs w:val="18"/>
        </w:rPr>
        <w:t>Graham v. Imperial Parking Canada Corp. (</w:t>
      </w:r>
      <w:r w:rsidR="00045E65" w:rsidRPr="00740FD0">
        <w:rPr>
          <w:i/>
          <w:iCs/>
          <w:sz w:val="18"/>
          <w:szCs w:val="18"/>
        </w:rPr>
        <w:t>c.o.b. Impark)</w:t>
      </w:r>
      <w:r w:rsidR="00045E65" w:rsidRPr="00740FD0">
        <w:rPr>
          <w:sz w:val="18"/>
          <w:szCs w:val="18"/>
        </w:rPr>
        <w:t xml:space="preserve">, [2010] O.J. No. 3898, 2010 ONSC 4982 (Ont. S.C.J.), leave to appeal </w:t>
      </w:r>
      <w:r w:rsidR="00045E65" w:rsidRPr="00740FD0">
        <w:rPr>
          <w:sz w:val="18"/>
          <w:szCs w:val="18"/>
        </w:rPr>
        <w:t xml:space="preserve">refused[2011] O.J. No. 2027. In this case the putative class representative pleaded that the CPA applied to machine generated contract (i.e. the ticket you put on your dash) as contracts that exceed the $50 when you leave your car there for enough time. The court held that that would have been true except that such agreements were not future performance agreements at all under the CPA. Instead, “Relying on common law, the Court revisited the policy rationale that consumers should be provided with prescribed information before entering into certain types of agreements as well as provided with the opportunity to correct errors immediately before entering into such agreements. The intent of the legislature could not have been to impose formalities and stipulations of the Act to all consumer agreements that satisfy the definition of a future performance agreement under the Act” (Suhuyini Abudulai, </w:t>
      </w:r>
      <w:r w:rsidR="00045E65" w:rsidRPr="00740FD0">
        <w:rPr>
          <w:i/>
          <w:iCs/>
          <w:sz w:val="18"/>
          <w:szCs w:val="18"/>
        </w:rPr>
        <w:t>The Annotated Ontario Consumer Protection Act, 2023 Edition</w:t>
      </w:r>
      <w:r w:rsidR="00045E65" w:rsidRPr="00740FD0">
        <w:rPr>
          <w:sz w:val="18"/>
          <w:szCs w:val="18"/>
        </w:rPr>
        <w:t xml:space="preserve"> (LexisNexis, October 2022)</w:t>
      </w:r>
      <w:r w:rsidR="005F7E2E" w:rsidRPr="00740FD0">
        <w:rPr>
          <w:sz w:val="18"/>
          <w:szCs w:val="18"/>
        </w:rPr>
        <w:t xml:space="preserve"> </w:t>
      </w:r>
      <w:r w:rsidR="00045E65" w:rsidRPr="00740FD0">
        <w:rPr>
          <w:sz w:val="18"/>
          <w:szCs w:val="18"/>
        </w:rPr>
        <w:t xml:space="preserve">at </w:t>
      </w:r>
      <w:r w:rsidR="005F7E2E" w:rsidRPr="00740FD0">
        <w:rPr>
          <w:sz w:val="18"/>
          <w:szCs w:val="18"/>
        </w:rPr>
        <w:t>89</w:t>
      </w:r>
      <w:r w:rsidR="00045E65" w:rsidRPr="00740FD0">
        <w:rPr>
          <w:sz w:val="18"/>
          <w:szCs w:val="18"/>
        </w:rPr>
        <w:t xml:space="preserve">). The result is questionable on its face but what the court is really saying is that having detailed rules and severe consequences of noncompliance is foolish. In this sense, indefinite subscriptions are likely caught. On the other hand, the </w:t>
      </w:r>
      <w:r w:rsidR="00045E65" w:rsidRPr="00740FD0">
        <w:rPr>
          <w:i/>
          <w:iCs/>
          <w:sz w:val="18"/>
          <w:szCs w:val="18"/>
        </w:rPr>
        <w:t>Imperial Parking</w:t>
      </w:r>
      <w:r w:rsidR="00045E65" w:rsidRPr="00740FD0">
        <w:rPr>
          <w:sz w:val="18"/>
          <w:szCs w:val="18"/>
        </w:rPr>
        <w:t xml:space="preserve"> case might encourage a future court to ignore the rules if they see the result as unfair or otherwise undesirable.</w:t>
      </w:r>
    </w:p>
  </w:endnote>
  <w:endnote w:id="213">
    <w:p w14:paraId="351EE104" w14:textId="3B05B140" w:rsidR="004D405E" w:rsidRPr="00740FD0" w:rsidRDefault="004D405E" w:rsidP="004D405E">
      <w:pPr>
        <w:pStyle w:val="EndnoteText"/>
        <w:rPr>
          <w:sz w:val="18"/>
          <w:szCs w:val="18"/>
        </w:rPr>
      </w:pPr>
      <w:r w:rsidRPr="00740FD0">
        <w:rPr>
          <w:rStyle w:val="EndnoteReference"/>
          <w:sz w:val="18"/>
          <w:szCs w:val="18"/>
        </w:rPr>
        <w:endnoteRef/>
      </w:r>
      <w:r w:rsidRPr="00740FD0">
        <w:rPr>
          <w:sz w:val="18"/>
          <w:szCs w:val="18"/>
        </w:rPr>
        <w:t xml:space="preserve"> </w:t>
      </w:r>
      <w:r w:rsidR="005F7E2E" w:rsidRPr="00740FD0">
        <w:rPr>
          <w:sz w:val="18"/>
          <w:szCs w:val="18"/>
        </w:rPr>
        <w:t xml:space="preserve">Communication to the LCO from leading consumer protection law lawyer (November 21, 2022), on file with the LCO. See also the decision against a strict interpretation of the CPA in </w:t>
      </w:r>
      <w:r w:rsidR="005F7E2E" w:rsidRPr="00740FD0">
        <w:rPr>
          <w:i/>
          <w:iCs/>
          <w:sz w:val="18"/>
          <w:szCs w:val="18"/>
        </w:rPr>
        <w:t>Graham v. Imperial Parking Canada Corp. (</w:t>
      </w:r>
      <w:r w:rsidR="005F7E2E" w:rsidRPr="00740FD0">
        <w:rPr>
          <w:i/>
          <w:iCs/>
          <w:sz w:val="18"/>
          <w:szCs w:val="18"/>
        </w:rPr>
        <w:t>c.o.b. Impark)</w:t>
      </w:r>
      <w:r w:rsidR="005F7E2E" w:rsidRPr="00740FD0">
        <w:rPr>
          <w:sz w:val="18"/>
          <w:szCs w:val="18"/>
        </w:rPr>
        <w:t xml:space="preserve">, [2010] O.J. No. 3898, 2010 ONSC 4982 (Ont. S.C.J.), leave to appeal </w:t>
      </w:r>
      <w:r w:rsidR="005F7E2E" w:rsidRPr="00740FD0">
        <w:rPr>
          <w:sz w:val="18"/>
          <w:szCs w:val="18"/>
        </w:rPr>
        <w:t xml:space="preserve">refused[2011] O.J. No. 2027. </w:t>
      </w:r>
    </w:p>
  </w:endnote>
  <w:endnote w:id="214">
    <w:p w14:paraId="7CAB171D" w14:textId="77777777" w:rsidR="004D405E" w:rsidRPr="00740FD0" w:rsidRDefault="004D405E" w:rsidP="004D405E">
      <w:pPr>
        <w:pStyle w:val="EndnoteText"/>
        <w:rPr>
          <w:sz w:val="18"/>
          <w:szCs w:val="18"/>
        </w:rPr>
      </w:pPr>
      <w:r w:rsidRPr="00740FD0">
        <w:rPr>
          <w:rStyle w:val="EndnoteReference"/>
          <w:sz w:val="18"/>
          <w:szCs w:val="18"/>
        </w:rPr>
        <w:endnoteRef/>
      </w:r>
      <w:r w:rsidRPr="00740FD0">
        <w:rPr>
          <w:sz w:val="18"/>
          <w:szCs w:val="18"/>
        </w:rPr>
        <w:t xml:space="preserve"> See the </w:t>
      </w:r>
      <w:r w:rsidRPr="00740FD0">
        <w:rPr>
          <w:i/>
          <w:iCs/>
          <w:sz w:val="18"/>
          <w:szCs w:val="18"/>
        </w:rPr>
        <w:t>Consumer Protection Act</w:t>
      </w:r>
      <w:r w:rsidRPr="00740FD0">
        <w:rPr>
          <w:sz w:val="18"/>
          <w:szCs w:val="18"/>
        </w:rPr>
        <w:t xml:space="preserve"> [RSBC 1996] </w:t>
      </w:r>
      <w:r w:rsidRPr="00740FD0">
        <w:rPr>
          <w:sz w:val="18"/>
          <w:szCs w:val="18"/>
        </w:rPr>
        <w:t xml:space="preserve">ch. 69 at section 10, online: </w:t>
      </w:r>
      <w:hyperlink r:id="rId192" w:anchor="section010" w:history="1">
        <w:r w:rsidRPr="00740FD0">
          <w:rPr>
            <w:rStyle w:val="Hyperlink"/>
            <w:sz w:val="18"/>
            <w:szCs w:val="18"/>
          </w:rPr>
          <w:t>https://www.bclaws.gov.bc.ca/civix/document/id/rs/rs/96069_01#section010</w:t>
        </w:r>
      </w:hyperlink>
      <w:r w:rsidRPr="00740FD0">
        <w:rPr>
          <w:sz w:val="18"/>
          <w:szCs w:val="18"/>
        </w:rPr>
        <w:t xml:space="preserve">. </w:t>
      </w:r>
    </w:p>
  </w:endnote>
  <w:endnote w:id="215">
    <w:p w14:paraId="25B178CE" w14:textId="1A231FFA" w:rsidR="001F19CD" w:rsidRPr="00740FD0" w:rsidRDefault="001F19CD">
      <w:pPr>
        <w:pStyle w:val="EndnoteText"/>
        <w:rPr>
          <w:sz w:val="18"/>
          <w:szCs w:val="18"/>
        </w:rPr>
      </w:pPr>
      <w:r w:rsidRPr="00740FD0">
        <w:rPr>
          <w:rStyle w:val="EndnoteReference"/>
          <w:sz w:val="18"/>
          <w:szCs w:val="18"/>
        </w:rPr>
        <w:endnoteRef/>
      </w:r>
      <w:r w:rsidRPr="00740FD0">
        <w:rPr>
          <w:sz w:val="18"/>
          <w:szCs w:val="18"/>
        </w:rPr>
        <w:t xml:space="preserve"> </w:t>
      </w:r>
      <w:r w:rsidR="00DF4F8C" w:rsidRPr="00740FD0">
        <w:rPr>
          <w:sz w:val="18"/>
          <w:szCs w:val="18"/>
        </w:rPr>
        <w:t xml:space="preserve">Ontario, </w:t>
      </w:r>
      <w:r w:rsidR="00DF4F8C" w:rsidRPr="00740FD0">
        <w:rPr>
          <w:i/>
          <w:iCs/>
          <w:sz w:val="18"/>
          <w:szCs w:val="18"/>
        </w:rPr>
        <w:t xml:space="preserve">Modernizing Consumer Protection in Ontario Strengthening the Consumer Protection Act </w:t>
      </w:r>
      <w:r w:rsidR="00DF4F8C" w:rsidRPr="00740FD0">
        <w:rPr>
          <w:sz w:val="18"/>
          <w:szCs w:val="18"/>
        </w:rPr>
        <w:t xml:space="preserve">(Ministry of Public and Business Service Delivery, February 2023) at </w:t>
      </w:r>
      <w:r w:rsidR="005F7E2E" w:rsidRPr="00740FD0">
        <w:rPr>
          <w:sz w:val="18"/>
          <w:szCs w:val="18"/>
        </w:rPr>
        <w:t>7-8</w:t>
      </w:r>
      <w:r w:rsidR="00DF4F8C" w:rsidRPr="00740FD0">
        <w:rPr>
          <w:sz w:val="18"/>
          <w:szCs w:val="18"/>
        </w:rPr>
        <w:t xml:space="preserve">, online: </w:t>
      </w:r>
      <w:hyperlink r:id="rId193" w:history="1">
        <w:r w:rsidR="00DF4F8C" w:rsidRPr="00740FD0">
          <w:rPr>
            <w:rStyle w:val="Hyperlink"/>
            <w:sz w:val="18"/>
            <w:szCs w:val="18"/>
          </w:rPr>
          <w:t>https://www.ontariocanada.com/registry/view.do?postingId=43452&amp;language=en</w:t>
        </w:r>
      </w:hyperlink>
      <w:r w:rsidRPr="00740FD0">
        <w:rPr>
          <w:sz w:val="18"/>
          <w:szCs w:val="18"/>
        </w:rPr>
        <w:t>.</w:t>
      </w:r>
    </w:p>
  </w:endnote>
  <w:endnote w:id="216">
    <w:p w14:paraId="4AA2AA5F" w14:textId="5973AE57" w:rsidR="004D405E" w:rsidRPr="00740FD0" w:rsidRDefault="004D405E" w:rsidP="004D405E">
      <w:pPr>
        <w:pStyle w:val="EndnoteText"/>
        <w:rPr>
          <w:sz w:val="18"/>
          <w:szCs w:val="18"/>
        </w:rPr>
      </w:pPr>
      <w:r w:rsidRPr="00740FD0">
        <w:rPr>
          <w:rStyle w:val="EndnoteReference"/>
          <w:sz w:val="18"/>
          <w:szCs w:val="18"/>
        </w:rPr>
        <w:endnoteRef/>
      </w:r>
      <w:r w:rsidRPr="00740FD0">
        <w:rPr>
          <w:sz w:val="18"/>
          <w:szCs w:val="18"/>
        </w:rPr>
        <w:t xml:space="preserve"> </w:t>
      </w:r>
      <w:r w:rsidR="00DF4F8C" w:rsidRPr="00740FD0">
        <w:rPr>
          <w:sz w:val="18"/>
          <w:szCs w:val="18"/>
        </w:rPr>
        <w:t xml:space="preserve">Ontario, </w:t>
      </w:r>
      <w:r w:rsidR="00DF4F8C" w:rsidRPr="00740FD0">
        <w:rPr>
          <w:i/>
          <w:iCs/>
          <w:sz w:val="18"/>
          <w:szCs w:val="18"/>
        </w:rPr>
        <w:t xml:space="preserve">Modernizing Consumer Protection in Ontario Strengthening the Consumer Protection Act </w:t>
      </w:r>
      <w:r w:rsidR="00DF4F8C" w:rsidRPr="00740FD0">
        <w:rPr>
          <w:sz w:val="18"/>
          <w:szCs w:val="18"/>
        </w:rPr>
        <w:t xml:space="preserve">(Ministry of Public and Business Service Delivery, February 2023) at 13, online: </w:t>
      </w:r>
      <w:hyperlink r:id="rId194" w:history="1">
        <w:r w:rsidR="00DF4F8C" w:rsidRPr="00740FD0">
          <w:rPr>
            <w:rStyle w:val="Hyperlink"/>
            <w:sz w:val="18"/>
            <w:szCs w:val="18"/>
          </w:rPr>
          <w:t>https://www.ontariocanada.com/registry/view.do?postingId=43452&amp;language=en</w:t>
        </w:r>
      </w:hyperlink>
      <w:r w:rsidRPr="00740FD0">
        <w:rPr>
          <w:sz w:val="18"/>
          <w:szCs w:val="18"/>
        </w:rPr>
        <w:t>.</w:t>
      </w:r>
    </w:p>
  </w:endnote>
  <w:endnote w:id="217">
    <w:p w14:paraId="30387535" w14:textId="7CFE3DB1" w:rsidR="004B2C5A" w:rsidRPr="00740FD0" w:rsidRDefault="004B2C5A">
      <w:pPr>
        <w:pStyle w:val="EndnoteText"/>
        <w:rPr>
          <w:sz w:val="18"/>
          <w:szCs w:val="18"/>
        </w:rPr>
      </w:pPr>
      <w:r w:rsidRPr="00740FD0">
        <w:rPr>
          <w:rStyle w:val="EndnoteReference"/>
          <w:sz w:val="18"/>
          <w:szCs w:val="18"/>
        </w:rPr>
        <w:endnoteRef/>
      </w:r>
      <w:r w:rsidRPr="00740FD0">
        <w:rPr>
          <w:sz w:val="18"/>
          <w:szCs w:val="18"/>
        </w:rPr>
        <w:t xml:space="preserve"> See American Law Institute, “§ 3. Adoption of a Modification of Standard Contract Terms” in </w:t>
      </w:r>
      <w:r w:rsidRPr="00740FD0">
        <w:rPr>
          <w:i/>
          <w:iCs/>
          <w:sz w:val="18"/>
          <w:szCs w:val="18"/>
        </w:rPr>
        <w:t xml:space="preserve">Restatement of the Law, Consumer Contracts </w:t>
      </w:r>
      <w:r w:rsidRPr="00740FD0">
        <w:rPr>
          <w:sz w:val="18"/>
          <w:szCs w:val="18"/>
        </w:rPr>
        <w:t>(tentative draft no. 2, as published, 2022), at 66-82.</w:t>
      </w:r>
    </w:p>
  </w:endnote>
  <w:endnote w:id="218">
    <w:p w14:paraId="0FA95D11" w14:textId="59BA4C84" w:rsidR="00E70910" w:rsidRPr="00740FD0" w:rsidRDefault="00E70910" w:rsidP="00E70910">
      <w:pPr>
        <w:pStyle w:val="EndnoteText"/>
        <w:rPr>
          <w:sz w:val="18"/>
          <w:szCs w:val="18"/>
        </w:rPr>
      </w:pPr>
      <w:r w:rsidRPr="00740FD0">
        <w:rPr>
          <w:rStyle w:val="EndnoteReference"/>
          <w:sz w:val="18"/>
          <w:szCs w:val="18"/>
        </w:rPr>
        <w:endnoteRef/>
      </w:r>
      <w:r w:rsidRPr="00740FD0">
        <w:rPr>
          <w:sz w:val="18"/>
          <w:szCs w:val="18"/>
        </w:rPr>
        <w:t xml:space="preserve"> See for instance </w:t>
      </w:r>
      <w:bookmarkStart w:id="66" w:name="_Hlk134698386"/>
      <w:r w:rsidRPr="00740FD0">
        <w:rPr>
          <w:sz w:val="18"/>
          <w:szCs w:val="18"/>
        </w:rPr>
        <w:t xml:space="preserve">US Federal Consumer Financial Protection Bureau, “Registry of Supervised Nonbanks that Use Form Contracts to Impose Terms and Conditions That Seek to Waive or Limit Consumer Legal Protections” (January 11, 2023), online: </w:t>
      </w:r>
      <w:hyperlink r:id="rId195" w:history="1">
        <w:r w:rsidRPr="00740FD0">
          <w:rPr>
            <w:rStyle w:val="Hyperlink"/>
            <w:sz w:val="18"/>
            <w:szCs w:val="18"/>
          </w:rPr>
          <w:t>https://www.consumerfinance.gov/rules-policy/notice-opportunities-comment/open-notices/registry-of-supervised-nonbanks-that-use-form-contracts-to-impose-terms-and-conditions-that-seek-to-waive-or-limit-consumer-legal-protections/</w:t>
        </w:r>
      </w:hyperlink>
      <w:bookmarkEnd w:id="66"/>
      <w:r w:rsidRPr="00740FD0">
        <w:rPr>
          <w:sz w:val="18"/>
          <w:szCs w:val="18"/>
        </w:rPr>
        <w:t xml:space="preserve">. </w:t>
      </w:r>
      <w:r w:rsidR="008E3AFE" w:rsidRPr="00740FD0">
        <w:rPr>
          <w:sz w:val="18"/>
          <w:szCs w:val="18"/>
        </w:rPr>
        <w:t xml:space="preserve">See also State of California Department of Justice, California Consumer Privacy Act (updated May 10, 2023), online: </w:t>
      </w:r>
      <w:hyperlink r:id="rId196" w:history="1">
        <w:r w:rsidR="008E3AFE" w:rsidRPr="00740FD0">
          <w:rPr>
            <w:rStyle w:val="Hyperlink"/>
            <w:sz w:val="18"/>
            <w:szCs w:val="18"/>
          </w:rPr>
          <w:t>https://www.oag.ca.gov/privacy/ccpa</w:t>
        </w:r>
      </w:hyperlink>
      <w:r w:rsidR="008E3AFE" w:rsidRPr="00740FD0">
        <w:rPr>
          <w:sz w:val="18"/>
          <w:szCs w:val="18"/>
        </w:rPr>
        <w:t xml:space="preserve">.  </w:t>
      </w:r>
    </w:p>
  </w:endnote>
  <w:endnote w:id="219">
    <w:p w14:paraId="4C937BEC" w14:textId="285A8594" w:rsidR="00E734D3" w:rsidRPr="00740FD0" w:rsidRDefault="00E734D3">
      <w:pPr>
        <w:pStyle w:val="EndnoteText"/>
        <w:rPr>
          <w:sz w:val="18"/>
          <w:szCs w:val="18"/>
        </w:rPr>
      </w:pPr>
      <w:r w:rsidRPr="00740FD0">
        <w:rPr>
          <w:rStyle w:val="EndnoteReference"/>
          <w:sz w:val="18"/>
          <w:szCs w:val="18"/>
        </w:rPr>
        <w:endnoteRef/>
      </w:r>
      <w:r w:rsidRPr="00740FD0">
        <w:rPr>
          <w:sz w:val="18"/>
          <w:szCs w:val="18"/>
        </w:rPr>
        <w:t xml:space="preserve"> </w:t>
      </w:r>
      <w:r w:rsidR="00B43ABC" w:rsidRPr="00740FD0">
        <w:rPr>
          <w:sz w:val="18"/>
          <w:szCs w:val="18"/>
        </w:rPr>
        <w:t xml:space="preserve">This can include </w:t>
      </w:r>
      <w:r w:rsidR="00E32DA6" w:rsidRPr="00740FD0">
        <w:rPr>
          <w:sz w:val="18"/>
          <w:szCs w:val="18"/>
        </w:rPr>
        <w:t>internet agreements, direct agreements, and remote agreements, as well as in specific transactions like time share properties, loan brokering, or credit repair, among others. See for example CPA “Internet Agreements” (s. 38); “Remote Agreements” (s. 45); “Tow and Storage Services” (65.3); “Credit Agreements” (77-81); and “Leasing” (s. 89).</w:t>
      </w:r>
    </w:p>
  </w:endnote>
  <w:endnote w:id="220">
    <w:p w14:paraId="636DF5AD" w14:textId="66F907D8" w:rsidR="002E1AF7" w:rsidRPr="00740FD0" w:rsidRDefault="002E1AF7">
      <w:pPr>
        <w:pStyle w:val="EndnoteText"/>
        <w:rPr>
          <w:sz w:val="18"/>
          <w:szCs w:val="18"/>
        </w:rPr>
      </w:pPr>
      <w:r w:rsidRPr="00740FD0">
        <w:rPr>
          <w:rStyle w:val="EndnoteReference"/>
          <w:sz w:val="18"/>
          <w:szCs w:val="18"/>
        </w:rPr>
        <w:endnoteRef/>
      </w:r>
      <w:r w:rsidRPr="00740FD0">
        <w:rPr>
          <w:sz w:val="18"/>
          <w:szCs w:val="18"/>
        </w:rPr>
        <w:t xml:space="preserve"> See </w:t>
      </w:r>
      <w:r w:rsidRPr="00740FD0">
        <w:rPr>
          <w:i/>
          <w:iCs/>
          <w:sz w:val="18"/>
          <w:szCs w:val="18"/>
        </w:rPr>
        <w:t>Consumer Protection Act</w:t>
      </w:r>
      <w:r w:rsidRPr="00740FD0">
        <w:rPr>
          <w:sz w:val="18"/>
          <w:szCs w:val="18"/>
        </w:rPr>
        <w:t>, O. Reg. 17/05: General at s. 32.</w:t>
      </w:r>
    </w:p>
  </w:endnote>
  <w:endnote w:id="221">
    <w:p w14:paraId="1776A623" w14:textId="7887D419" w:rsidR="00E734D3" w:rsidRPr="00740FD0" w:rsidRDefault="00E734D3">
      <w:pPr>
        <w:pStyle w:val="EndnoteText"/>
        <w:rPr>
          <w:sz w:val="18"/>
          <w:szCs w:val="18"/>
        </w:rPr>
      </w:pPr>
      <w:r w:rsidRPr="00740FD0">
        <w:rPr>
          <w:rStyle w:val="EndnoteReference"/>
          <w:sz w:val="18"/>
          <w:szCs w:val="18"/>
        </w:rPr>
        <w:endnoteRef/>
      </w:r>
      <w:r w:rsidRPr="00740FD0">
        <w:rPr>
          <w:sz w:val="18"/>
          <w:szCs w:val="18"/>
        </w:rPr>
        <w:t xml:space="preserve"> </w:t>
      </w:r>
      <w:r w:rsidR="00B71260" w:rsidRPr="00740FD0">
        <w:rPr>
          <w:sz w:val="18"/>
          <w:szCs w:val="18"/>
        </w:rPr>
        <w:t xml:space="preserve">See for example </w:t>
      </w:r>
      <w:r w:rsidR="00E32DA6" w:rsidRPr="00740FD0">
        <w:rPr>
          <w:sz w:val="18"/>
          <w:szCs w:val="18"/>
        </w:rPr>
        <w:t>CPA “Tow and Storage Services” (65.3); “Credit Agreements” (77-81).</w:t>
      </w:r>
    </w:p>
  </w:endnote>
  <w:endnote w:id="222">
    <w:p w14:paraId="32440620" w14:textId="3FCEC41B" w:rsidR="00EE3282" w:rsidRPr="00740FD0" w:rsidRDefault="00EE3282" w:rsidP="00EE3282">
      <w:pPr>
        <w:pStyle w:val="EndnoteText"/>
        <w:rPr>
          <w:sz w:val="18"/>
          <w:szCs w:val="18"/>
        </w:rPr>
      </w:pPr>
      <w:r w:rsidRPr="00740FD0">
        <w:rPr>
          <w:rStyle w:val="EndnoteReference"/>
          <w:sz w:val="18"/>
          <w:szCs w:val="18"/>
        </w:rPr>
        <w:endnoteRef/>
      </w:r>
      <w:r w:rsidRPr="00740FD0">
        <w:rPr>
          <w:sz w:val="18"/>
          <w:szCs w:val="18"/>
        </w:rPr>
        <w:t xml:space="preserve"> </w:t>
      </w:r>
      <w:r w:rsidR="00DF4F8C" w:rsidRPr="00740FD0">
        <w:rPr>
          <w:sz w:val="18"/>
          <w:szCs w:val="18"/>
        </w:rPr>
        <w:t xml:space="preserve">Ontario, </w:t>
      </w:r>
      <w:r w:rsidR="00DF4F8C" w:rsidRPr="00740FD0">
        <w:rPr>
          <w:i/>
          <w:iCs/>
          <w:sz w:val="18"/>
          <w:szCs w:val="18"/>
        </w:rPr>
        <w:t xml:space="preserve">Modernizing Consumer Protection in Ontario Strengthening the Consumer Protection Act </w:t>
      </w:r>
      <w:r w:rsidR="00DF4F8C" w:rsidRPr="00740FD0">
        <w:rPr>
          <w:sz w:val="18"/>
          <w:szCs w:val="18"/>
        </w:rPr>
        <w:t xml:space="preserve">(Ministry of Public and Business Service Delivery, February 2023) at 5, online: </w:t>
      </w:r>
      <w:hyperlink r:id="rId197" w:history="1">
        <w:r w:rsidR="00DF4F8C" w:rsidRPr="00740FD0">
          <w:rPr>
            <w:rStyle w:val="Hyperlink"/>
            <w:sz w:val="18"/>
            <w:szCs w:val="18"/>
          </w:rPr>
          <w:t>https://www.ontariocanada.com/registry/view.do?postingId=43452&amp;language=en</w:t>
        </w:r>
      </w:hyperlink>
      <w:r w:rsidRPr="00740FD0">
        <w:rPr>
          <w:sz w:val="18"/>
          <w:szCs w:val="18"/>
        </w:rPr>
        <w:t xml:space="preserve">. </w:t>
      </w:r>
    </w:p>
  </w:endnote>
  <w:endnote w:id="223">
    <w:p w14:paraId="76ABB6FD" w14:textId="17C4C72A" w:rsidR="00EE3282" w:rsidRPr="00740FD0" w:rsidRDefault="00EE3282" w:rsidP="00EE3282">
      <w:pPr>
        <w:pStyle w:val="EndnoteText"/>
        <w:rPr>
          <w:sz w:val="18"/>
          <w:szCs w:val="18"/>
        </w:rPr>
      </w:pPr>
      <w:r w:rsidRPr="00740FD0">
        <w:rPr>
          <w:rStyle w:val="EndnoteReference"/>
          <w:sz w:val="18"/>
          <w:szCs w:val="18"/>
        </w:rPr>
        <w:endnoteRef/>
      </w:r>
      <w:r w:rsidRPr="00740FD0">
        <w:rPr>
          <w:sz w:val="18"/>
          <w:szCs w:val="18"/>
        </w:rPr>
        <w:t xml:space="preserve"> </w:t>
      </w:r>
      <w:r w:rsidR="00DF4F8C" w:rsidRPr="00740FD0">
        <w:rPr>
          <w:sz w:val="18"/>
          <w:szCs w:val="18"/>
        </w:rPr>
        <w:t xml:space="preserve">Ontario, </w:t>
      </w:r>
      <w:r w:rsidR="00DF4F8C" w:rsidRPr="00740FD0">
        <w:rPr>
          <w:i/>
          <w:iCs/>
          <w:sz w:val="18"/>
          <w:szCs w:val="18"/>
        </w:rPr>
        <w:t xml:space="preserve">Modernizing Consumer Protection in Ontario Strengthening the Consumer Protection Act </w:t>
      </w:r>
      <w:r w:rsidR="00DF4F8C" w:rsidRPr="00740FD0">
        <w:rPr>
          <w:sz w:val="18"/>
          <w:szCs w:val="18"/>
        </w:rPr>
        <w:t xml:space="preserve">(Ministry of Public and Business Service Delivery, February 2023) at 6, online: </w:t>
      </w:r>
      <w:hyperlink r:id="rId198" w:history="1">
        <w:r w:rsidR="00DF4F8C" w:rsidRPr="00740FD0">
          <w:rPr>
            <w:rStyle w:val="Hyperlink"/>
            <w:sz w:val="18"/>
            <w:szCs w:val="18"/>
          </w:rPr>
          <w:t>https://www.ontariocanada.com/registry/view.do?postingId=43452&amp;language=en</w:t>
        </w:r>
      </w:hyperlink>
      <w:r w:rsidRPr="00740FD0">
        <w:rPr>
          <w:sz w:val="18"/>
          <w:szCs w:val="18"/>
        </w:rPr>
        <w:t>.</w:t>
      </w:r>
    </w:p>
  </w:endnote>
  <w:endnote w:id="224">
    <w:p w14:paraId="7BEA5996" w14:textId="405458FE" w:rsidR="003957D7" w:rsidRPr="00740FD0" w:rsidRDefault="003957D7">
      <w:pPr>
        <w:pStyle w:val="EndnoteText"/>
        <w:rPr>
          <w:sz w:val="18"/>
          <w:szCs w:val="18"/>
        </w:rPr>
      </w:pPr>
      <w:r w:rsidRPr="00740FD0">
        <w:rPr>
          <w:rStyle w:val="EndnoteReference"/>
          <w:sz w:val="18"/>
          <w:szCs w:val="18"/>
        </w:rPr>
        <w:endnoteRef/>
      </w:r>
      <w:r w:rsidRPr="00740FD0">
        <w:rPr>
          <w:sz w:val="18"/>
          <w:szCs w:val="18"/>
        </w:rPr>
        <w:t xml:space="preserve"> </w:t>
      </w:r>
      <w:r w:rsidR="00DF4F8C" w:rsidRPr="00740FD0">
        <w:rPr>
          <w:sz w:val="18"/>
          <w:szCs w:val="18"/>
        </w:rPr>
        <w:t xml:space="preserve">Ontario, </w:t>
      </w:r>
      <w:r w:rsidR="00DF4F8C" w:rsidRPr="00740FD0">
        <w:rPr>
          <w:i/>
          <w:iCs/>
          <w:sz w:val="18"/>
          <w:szCs w:val="18"/>
        </w:rPr>
        <w:t xml:space="preserve">Modernizing Consumer Protection in Ontario Strengthening the Consumer Protection Act </w:t>
      </w:r>
      <w:r w:rsidR="00DF4F8C" w:rsidRPr="00740FD0">
        <w:rPr>
          <w:sz w:val="18"/>
          <w:szCs w:val="18"/>
        </w:rPr>
        <w:t xml:space="preserve">(Ministry of Public and Business Service Delivery, February 2023) at 6, online: </w:t>
      </w:r>
      <w:hyperlink r:id="rId199" w:history="1">
        <w:r w:rsidR="00DF4F8C" w:rsidRPr="00740FD0">
          <w:rPr>
            <w:rStyle w:val="Hyperlink"/>
            <w:sz w:val="18"/>
            <w:szCs w:val="18"/>
          </w:rPr>
          <w:t>https://www.ontariocanada.com/registry/view.do?postingId=43452&amp;language=en</w:t>
        </w:r>
      </w:hyperlink>
      <w:r w:rsidRPr="00740FD0">
        <w:rPr>
          <w:sz w:val="18"/>
          <w:szCs w:val="18"/>
        </w:rPr>
        <w:t>.</w:t>
      </w:r>
    </w:p>
  </w:endnote>
  <w:endnote w:id="225">
    <w:p w14:paraId="3497FF0C" w14:textId="57655213" w:rsidR="00EE3282" w:rsidRPr="00740FD0" w:rsidRDefault="00EE3282" w:rsidP="00EE3282">
      <w:pPr>
        <w:pStyle w:val="EndnoteText"/>
        <w:rPr>
          <w:sz w:val="18"/>
          <w:szCs w:val="18"/>
        </w:rPr>
      </w:pPr>
      <w:r w:rsidRPr="00740FD0">
        <w:rPr>
          <w:rStyle w:val="EndnoteReference"/>
          <w:sz w:val="18"/>
          <w:szCs w:val="18"/>
        </w:rPr>
        <w:endnoteRef/>
      </w:r>
      <w:r w:rsidRPr="00740FD0">
        <w:rPr>
          <w:sz w:val="18"/>
          <w:szCs w:val="18"/>
        </w:rPr>
        <w:t xml:space="preserve"> </w:t>
      </w:r>
      <w:r w:rsidR="006B2A27" w:rsidRPr="00740FD0">
        <w:rPr>
          <w:sz w:val="18"/>
          <w:szCs w:val="18"/>
        </w:rPr>
        <w:t xml:space="preserve">Ministry of Government and Consumer Services, </w:t>
      </w:r>
      <w:r w:rsidR="006B2A27" w:rsidRPr="00740FD0">
        <w:rPr>
          <w:i/>
          <w:iCs/>
          <w:sz w:val="18"/>
          <w:szCs w:val="18"/>
        </w:rPr>
        <w:t xml:space="preserve">Improving Ontario’s Consumer Protection Act: Strengthening Consumer Protection in Ontario </w:t>
      </w:r>
      <w:r w:rsidR="006B2A27" w:rsidRPr="00740FD0">
        <w:rPr>
          <w:sz w:val="18"/>
          <w:szCs w:val="18"/>
        </w:rPr>
        <w:t xml:space="preserve">(December 2020) at </w:t>
      </w:r>
      <w:r w:rsidR="002133DD" w:rsidRPr="00740FD0">
        <w:rPr>
          <w:sz w:val="18"/>
          <w:szCs w:val="18"/>
        </w:rPr>
        <w:t>7</w:t>
      </w:r>
      <w:r w:rsidR="006B2A27" w:rsidRPr="00740FD0">
        <w:rPr>
          <w:sz w:val="18"/>
          <w:szCs w:val="18"/>
        </w:rPr>
        <w:t xml:space="preserve">, online: </w:t>
      </w:r>
      <w:hyperlink r:id="rId200" w:history="1">
        <w:r w:rsidR="006B2A27" w:rsidRPr="00740FD0">
          <w:rPr>
            <w:rStyle w:val="Hyperlink"/>
            <w:sz w:val="18"/>
            <w:szCs w:val="18"/>
          </w:rPr>
          <w:t>https://www.ontariocanada.com/registry/view.do?language=en&amp;postingId=35387</w:t>
        </w:r>
      </w:hyperlink>
      <w:r w:rsidR="002133DD" w:rsidRPr="00740FD0">
        <w:rPr>
          <w:rStyle w:val="Hyperlink"/>
          <w:sz w:val="18"/>
          <w:szCs w:val="18"/>
        </w:rPr>
        <w:t xml:space="preserve">. </w:t>
      </w:r>
    </w:p>
  </w:endnote>
  <w:endnote w:id="226">
    <w:p w14:paraId="7B8BAD27" w14:textId="588A6512" w:rsidR="00FC735C" w:rsidRPr="00740FD0" w:rsidRDefault="00FC735C" w:rsidP="00FC735C">
      <w:pPr>
        <w:pStyle w:val="EndnoteText"/>
        <w:rPr>
          <w:sz w:val="18"/>
          <w:szCs w:val="18"/>
        </w:rPr>
      </w:pPr>
      <w:r w:rsidRPr="00740FD0">
        <w:rPr>
          <w:rStyle w:val="EndnoteReference"/>
          <w:sz w:val="18"/>
          <w:szCs w:val="18"/>
        </w:rPr>
        <w:endnoteRef/>
      </w:r>
      <w:r w:rsidRPr="00740FD0">
        <w:rPr>
          <w:sz w:val="18"/>
          <w:szCs w:val="18"/>
        </w:rPr>
        <w:t xml:space="preserve"> </w:t>
      </w:r>
      <w:r w:rsidR="00DA2E2E" w:rsidRPr="00740FD0">
        <w:rPr>
          <w:sz w:val="18"/>
          <w:szCs w:val="18"/>
        </w:rPr>
        <w:t>Ministry of Public and Business Service Delivery, “Consultation on Modernizing Consumer Protection in Ontario: Strengthening the Consumer Protection Act” Session 2 Business Leaders (March 8, 2023), notes on file with the LCO</w:t>
      </w:r>
      <w:r w:rsidRPr="00740FD0">
        <w:rPr>
          <w:sz w:val="18"/>
          <w:szCs w:val="18"/>
        </w:rPr>
        <w:t>.</w:t>
      </w:r>
    </w:p>
  </w:endnote>
  <w:endnote w:id="227">
    <w:p w14:paraId="387EB0C6" w14:textId="4E303C77" w:rsidR="00FC735C" w:rsidRPr="00740FD0" w:rsidRDefault="00FC735C" w:rsidP="00FC735C">
      <w:pPr>
        <w:pStyle w:val="EndnoteText"/>
        <w:rPr>
          <w:sz w:val="18"/>
          <w:szCs w:val="18"/>
        </w:rPr>
      </w:pPr>
      <w:r w:rsidRPr="00740FD0">
        <w:rPr>
          <w:rStyle w:val="EndnoteReference"/>
          <w:sz w:val="18"/>
          <w:szCs w:val="18"/>
        </w:rPr>
        <w:endnoteRef/>
      </w:r>
      <w:r w:rsidRPr="00740FD0">
        <w:rPr>
          <w:sz w:val="18"/>
          <w:szCs w:val="18"/>
        </w:rPr>
        <w:t xml:space="preserve"> </w:t>
      </w:r>
      <w:r w:rsidR="00DA2E2E" w:rsidRPr="00740FD0">
        <w:rPr>
          <w:sz w:val="18"/>
          <w:szCs w:val="18"/>
        </w:rPr>
        <w:t>Ministry of Public and Business Service Delivery, “Consultation on Modernizing Consumer Protection in Ontario: Strengthening the Consumer Protection Act” Session 2 Business Leaders (March 8, 2023), notes on file with the LCO</w:t>
      </w:r>
      <w:r w:rsidRPr="00740FD0">
        <w:rPr>
          <w:sz w:val="18"/>
          <w:szCs w:val="18"/>
        </w:rPr>
        <w:t>.</w:t>
      </w:r>
    </w:p>
  </w:endnote>
  <w:endnote w:id="228">
    <w:p w14:paraId="3467C76A" w14:textId="41E584F6" w:rsidR="001365F7" w:rsidRPr="00740FD0" w:rsidRDefault="001365F7" w:rsidP="001365F7">
      <w:pPr>
        <w:pStyle w:val="EndnoteText"/>
        <w:rPr>
          <w:sz w:val="18"/>
          <w:szCs w:val="18"/>
        </w:rPr>
      </w:pPr>
      <w:r w:rsidRPr="00740FD0">
        <w:rPr>
          <w:rStyle w:val="EndnoteReference"/>
          <w:sz w:val="18"/>
          <w:szCs w:val="18"/>
        </w:rPr>
        <w:endnoteRef/>
      </w:r>
      <w:r w:rsidRPr="00740FD0">
        <w:rPr>
          <w:sz w:val="18"/>
          <w:szCs w:val="18"/>
        </w:rPr>
        <w:t xml:space="preserve"> </w:t>
      </w:r>
      <w:r w:rsidR="00964BB6" w:rsidRPr="00740FD0">
        <w:rPr>
          <w:sz w:val="18"/>
          <w:szCs w:val="18"/>
        </w:rPr>
        <w:t xml:space="preserve">See </w:t>
      </w:r>
      <w:r w:rsidR="00964BB6" w:rsidRPr="00740FD0">
        <w:rPr>
          <w:sz w:val="18"/>
          <w:szCs w:val="18"/>
        </w:rPr>
        <w:t xml:space="preserve">Omri Ben-Shahar and Carl Schneider, </w:t>
      </w:r>
      <w:r w:rsidR="00964BB6" w:rsidRPr="00740FD0">
        <w:rPr>
          <w:i/>
          <w:iCs/>
          <w:sz w:val="18"/>
          <w:szCs w:val="18"/>
        </w:rPr>
        <w:t xml:space="preserve">More Than You Wanted to Know: The Failure of Mandated Disclosure </w:t>
      </w:r>
      <w:r w:rsidR="00964BB6" w:rsidRPr="00740FD0">
        <w:rPr>
          <w:sz w:val="18"/>
          <w:szCs w:val="18"/>
        </w:rPr>
        <w:t xml:space="preserve">(Princeton University Press, 2014). </w:t>
      </w:r>
    </w:p>
  </w:endnote>
  <w:endnote w:id="229">
    <w:p w14:paraId="0C5A0627" w14:textId="7BC0061F" w:rsidR="001365F7" w:rsidRPr="00740FD0" w:rsidRDefault="001365F7" w:rsidP="001365F7">
      <w:pPr>
        <w:pStyle w:val="EndnoteText"/>
        <w:rPr>
          <w:sz w:val="18"/>
          <w:szCs w:val="18"/>
        </w:rPr>
      </w:pPr>
      <w:r w:rsidRPr="00740FD0">
        <w:rPr>
          <w:rStyle w:val="EndnoteReference"/>
          <w:sz w:val="18"/>
          <w:szCs w:val="18"/>
        </w:rPr>
        <w:endnoteRef/>
      </w:r>
      <w:r w:rsidRPr="00740FD0">
        <w:rPr>
          <w:sz w:val="18"/>
          <w:szCs w:val="18"/>
        </w:rPr>
        <w:t xml:space="preserve"> </w:t>
      </w:r>
      <w:r w:rsidR="006B2A27" w:rsidRPr="00740FD0">
        <w:rPr>
          <w:sz w:val="18"/>
          <w:szCs w:val="18"/>
        </w:rPr>
        <w:t xml:space="preserve">Omri Ben-Shahar, Carl E Schneider, “The Failure of Mandated Disclosure” (March 1, 2010), University of Chicago Law &amp; Economics, Olin Working Paper No. 516, online: </w:t>
      </w:r>
      <w:hyperlink r:id="rId201" w:history="1">
        <w:r w:rsidR="006B2A27" w:rsidRPr="00740FD0">
          <w:rPr>
            <w:rStyle w:val="Hyperlink"/>
            <w:sz w:val="18"/>
            <w:szCs w:val="18"/>
          </w:rPr>
          <w:t>https://ssrn.com/abstract=1567284</w:t>
        </w:r>
      </w:hyperlink>
      <w:r w:rsidR="006B2A27" w:rsidRPr="00740FD0">
        <w:rPr>
          <w:sz w:val="18"/>
          <w:szCs w:val="18"/>
        </w:rPr>
        <w:t>.</w:t>
      </w:r>
    </w:p>
  </w:endnote>
  <w:endnote w:id="230">
    <w:p w14:paraId="070EE8E9" w14:textId="79EDD29F" w:rsidR="006167B3" w:rsidRPr="00740FD0" w:rsidRDefault="006167B3" w:rsidP="006167B3">
      <w:pPr>
        <w:pStyle w:val="EndnoteText"/>
        <w:rPr>
          <w:sz w:val="18"/>
          <w:szCs w:val="18"/>
        </w:rPr>
      </w:pPr>
      <w:r w:rsidRPr="00740FD0">
        <w:rPr>
          <w:rStyle w:val="EndnoteReference"/>
          <w:sz w:val="18"/>
          <w:szCs w:val="18"/>
        </w:rPr>
        <w:endnoteRef/>
      </w:r>
      <w:r w:rsidRPr="00740FD0">
        <w:rPr>
          <w:sz w:val="18"/>
          <w:szCs w:val="18"/>
        </w:rPr>
        <w:t xml:space="preserve"> </w:t>
      </w:r>
      <w:r w:rsidR="006B2A27" w:rsidRPr="00740FD0">
        <w:rPr>
          <w:sz w:val="18"/>
          <w:szCs w:val="18"/>
        </w:rPr>
        <w:t xml:space="preserve">Margaret Jane </w:t>
      </w:r>
      <w:r w:rsidR="006B2A27" w:rsidRPr="00740FD0">
        <w:rPr>
          <w:sz w:val="18"/>
          <w:szCs w:val="18"/>
        </w:rPr>
        <w:t xml:space="preserve">Radin, </w:t>
      </w:r>
      <w:r w:rsidR="006B2A27" w:rsidRPr="00740FD0">
        <w:rPr>
          <w:i/>
          <w:iCs/>
          <w:sz w:val="18"/>
          <w:szCs w:val="18"/>
        </w:rPr>
        <w:t xml:space="preserve">Boilerplate: The Fine Print, Vanishing Rights, and the Rule of Law </w:t>
      </w:r>
      <w:r w:rsidR="006B2A27" w:rsidRPr="00740FD0">
        <w:rPr>
          <w:sz w:val="18"/>
          <w:szCs w:val="18"/>
        </w:rPr>
        <w:t>(Princeton University Press, 2013) at 12</w:t>
      </w:r>
      <w:r w:rsidRPr="00740FD0">
        <w:rPr>
          <w:sz w:val="18"/>
          <w:szCs w:val="18"/>
        </w:rPr>
        <w:t>.</w:t>
      </w:r>
    </w:p>
  </w:endnote>
  <w:endnote w:id="231">
    <w:p w14:paraId="2BC4968F" w14:textId="2A491D62" w:rsidR="005E60C3" w:rsidRPr="00740FD0" w:rsidRDefault="005E60C3">
      <w:pPr>
        <w:pStyle w:val="EndnoteText"/>
        <w:rPr>
          <w:sz w:val="18"/>
          <w:szCs w:val="18"/>
        </w:rPr>
      </w:pPr>
      <w:r w:rsidRPr="00740FD0">
        <w:rPr>
          <w:rStyle w:val="EndnoteReference"/>
          <w:sz w:val="18"/>
          <w:szCs w:val="18"/>
        </w:rPr>
        <w:endnoteRef/>
      </w:r>
      <w:r w:rsidRPr="00740FD0">
        <w:rPr>
          <w:sz w:val="18"/>
          <w:szCs w:val="18"/>
        </w:rPr>
        <w:t xml:space="preserve"> </w:t>
      </w:r>
      <w:r w:rsidR="006B2A27" w:rsidRPr="00740FD0">
        <w:rPr>
          <w:sz w:val="18"/>
          <w:szCs w:val="18"/>
        </w:rPr>
        <w:t xml:space="preserve">Organization for Economic Cooperation and Development, </w:t>
      </w:r>
      <w:r w:rsidR="006B2A27" w:rsidRPr="00740FD0">
        <w:rPr>
          <w:i/>
          <w:iCs/>
          <w:sz w:val="18"/>
          <w:szCs w:val="18"/>
        </w:rPr>
        <w:t>Enhancing Online Disclosure Effectiveness</w:t>
      </w:r>
      <w:r w:rsidR="006B2A27" w:rsidRPr="00740FD0">
        <w:rPr>
          <w:sz w:val="18"/>
          <w:szCs w:val="18"/>
        </w:rPr>
        <w:t xml:space="preserve"> (October 2022) at 13, online: </w:t>
      </w:r>
      <w:hyperlink r:id="rId202" w:history="1">
        <w:r w:rsidR="006B2A27" w:rsidRPr="00740FD0">
          <w:rPr>
            <w:rStyle w:val="Hyperlink"/>
            <w:sz w:val="18"/>
            <w:szCs w:val="18"/>
          </w:rPr>
          <w:t>https://www.oecd.org/publications/enhancing-online-disclosure-effectiveness-6d7ea79c-en.htm</w:t>
        </w:r>
      </w:hyperlink>
    </w:p>
  </w:endnote>
  <w:endnote w:id="232">
    <w:p w14:paraId="6209D46F" w14:textId="77777777" w:rsidR="006167B3" w:rsidRPr="00740FD0" w:rsidRDefault="006167B3" w:rsidP="006167B3">
      <w:pPr>
        <w:pStyle w:val="EndnoteText"/>
        <w:rPr>
          <w:sz w:val="18"/>
          <w:szCs w:val="18"/>
        </w:rPr>
      </w:pPr>
      <w:r w:rsidRPr="00740FD0">
        <w:rPr>
          <w:rStyle w:val="EndnoteReference"/>
          <w:sz w:val="18"/>
          <w:szCs w:val="18"/>
        </w:rPr>
        <w:endnoteRef/>
      </w:r>
      <w:r w:rsidRPr="00740FD0">
        <w:rPr>
          <w:sz w:val="18"/>
          <w:szCs w:val="18"/>
        </w:rPr>
        <w:t xml:space="preserve"> American Law Institute, </w:t>
      </w:r>
      <w:r w:rsidRPr="00740FD0">
        <w:rPr>
          <w:i/>
          <w:iCs/>
          <w:sz w:val="18"/>
          <w:szCs w:val="18"/>
        </w:rPr>
        <w:t xml:space="preserve">Restatement of the Law, Consumer Contracts </w:t>
      </w:r>
      <w:r w:rsidRPr="00740FD0">
        <w:rPr>
          <w:sz w:val="18"/>
          <w:szCs w:val="18"/>
        </w:rPr>
        <w:t>(tentative draft no. 2, as published, 2022), at 3-4.</w:t>
      </w:r>
    </w:p>
  </w:endnote>
  <w:endnote w:id="233">
    <w:p w14:paraId="3C0EF602" w14:textId="0B6985BC" w:rsidR="000331CE" w:rsidRPr="00740FD0" w:rsidRDefault="000331CE" w:rsidP="000331CE">
      <w:pPr>
        <w:pStyle w:val="EndnoteText"/>
        <w:rPr>
          <w:sz w:val="18"/>
          <w:szCs w:val="18"/>
        </w:rPr>
      </w:pPr>
      <w:r w:rsidRPr="00740FD0">
        <w:rPr>
          <w:rStyle w:val="EndnoteReference"/>
          <w:sz w:val="18"/>
          <w:szCs w:val="18"/>
        </w:rPr>
        <w:endnoteRef/>
      </w:r>
      <w:r w:rsidRPr="00740FD0">
        <w:rPr>
          <w:sz w:val="18"/>
          <w:szCs w:val="18"/>
        </w:rPr>
        <w:t xml:space="preserve"> </w:t>
      </w:r>
      <w:r w:rsidR="006B2A27" w:rsidRPr="00740FD0">
        <w:rPr>
          <w:sz w:val="18"/>
          <w:szCs w:val="18"/>
        </w:rPr>
        <w:t xml:space="preserve">Organization for Economic Cooperation and Development, </w:t>
      </w:r>
      <w:r w:rsidR="006B2A27" w:rsidRPr="00740FD0">
        <w:rPr>
          <w:i/>
          <w:iCs/>
          <w:sz w:val="18"/>
          <w:szCs w:val="18"/>
        </w:rPr>
        <w:t>Enhancing Online Disclosure Effectiveness</w:t>
      </w:r>
      <w:r w:rsidR="006B2A27" w:rsidRPr="00740FD0">
        <w:rPr>
          <w:sz w:val="18"/>
          <w:szCs w:val="18"/>
        </w:rPr>
        <w:t xml:space="preserve"> (October 2022) at 13, online: </w:t>
      </w:r>
      <w:hyperlink r:id="rId203" w:history="1">
        <w:r w:rsidR="006B2A27" w:rsidRPr="00740FD0">
          <w:rPr>
            <w:rStyle w:val="Hyperlink"/>
            <w:sz w:val="18"/>
            <w:szCs w:val="18"/>
          </w:rPr>
          <w:t>https://www.oecd.org/publications/enhancing-online-disclosure-effectiveness-6d7ea79c-en.htm</w:t>
        </w:r>
      </w:hyperlink>
      <w:r w:rsidRPr="00740FD0">
        <w:rPr>
          <w:sz w:val="18"/>
          <w:szCs w:val="18"/>
        </w:rPr>
        <w:t xml:space="preserve">. </w:t>
      </w:r>
    </w:p>
  </w:endnote>
  <w:endnote w:id="234">
    <w:p w14:paraId="214650B4" w14:textId="5AD60D5E" w:rsidR="000331CE" w:rsidRPr="00740FD0" w:rsidRDefault="000331CE" w:rsidP="000331CE">
      <w:pPr>
        <w:pStyle w:val="EndnoteText"/>
        <w:rPr>
          <w:sz w:val="18"/>
          <w:szCs w:val="18"/>
        </w:rPr>
      </w:pPr>
      <w:r w:rsidRPr="00740FD0">
        <w:rPr>
          <w:rStyle w:val="EndnoteReference"/>
          <w:sz w:val="18"/>
          <w:szCs w:val="18"/>
        </w:rPr>
        <w:endnoteRef/>
      </w:r>
      <w:r w:rsidRPr="00740FD0">
        <w:rPr>
          <w:sz w:val="18"/>
          <w:szCs w:val="18"/>
        </w:rPr>
        <w:t xml:space="preserve"> </w:t>
      </w:r>
      <w:r w:rsidR="006B2A27" w:rsidRPr="00740FD0">
        <w:rPr>
          <w:sz w:val="18"/>
          <w:szCs w:val="18"/>
        </w:rPr>
        <w:t xml:space="preserve">Organization for Economic Cooperation and Development, </w:t>
      </w:r>
      <w:r w:rsidR="006B2A27" w:rsidRPr="00740FD0">
        <w:rPr>
          <w:i/>
          <w:iCs/>
          <w:sz w:val="18"/>
          <w:szCs w:val="18"/>
        </w:rPr>
        <w:t>Enhancing Online Disclosure Effectiveness</w:t>
      </w:r>
      <w:r w:rsidR="006B2A27" w:rsidRPr="00740FD0">
        <w:rPr>
          <w:sz w:val="18"/>
          <w:szCs w:val="18"/>
        </w:rPr>
        <w:t xml:space="preserve"> (October 2022) at 33, online: </w:t>
      </w:r>
      <w:hyperlink r:id="rId204" w:history="1">
        <w:r w:rsidR="006B2A27" w:rsidRPr="00740FD0">
          <w:rPr>
            <w:rStyle w:val="Hyperlink"/>
            <w:sz w:val="18"/>
            <w:szCs w:val="18"/>
          </w:rPr>
          <w:t>https://www.oecd.org/publications/enhancing-online-disclosure-effectiveness-6d7ea79c-en.htm</w:t>
        </w:r>
      </w:hyperlink>
      <w:r w:rsidRPr="00740FD0">
        <w:rPr>
          <w:sz w:val="18"/>
          <w:szCs w:val="18"/>
        </w:rPr>
        <w:t>.</w:t>
      </w:r>
    </w:p>
  </w:endnote>
  <w:endnote w:id="235">
    <w:p w14:paraId="62273348" w14:textId="6A9AAF23" w:rsidR="00FC735C" w:rsidRPr="00740FD0" w:rsidRDefault="00FC735C" w:rsidP="00FC735C">
      <w:pPr>
        <w:pStyle w:val="EndnoteText"/>
        <w:rPr>
          <w:sz w:val="18"/>
          <w:szCs w:val="18"/>
        </w:rPr>
      </w:pPr>
      <w:r w:rsidRPr="00740FD0">
        <w:rPr>
          <w:rStyle w:val="EndnoteReference"/>
          <w:sz w:val="18"/>
          <w:szCs w:val="18"/>
        </w:rPr>
        <w:endnoteRef/>
      </w:r>
      <w:r w:rsidRPr="00740FD0">
        <w:rPr>
          <w:sz w:val="18"/>
          <w:szCs w:val="18"/>
        </w:rPr>
        <w:t xml:space="preserve"> </w:t>
      </w:r>
      <w:r w:rsidR="00F6353D" w:rsidRPr="00740FD0">
        <w:rPr>
          <w:sz w:val="18"/>
          <w:szCs w:val="18"/>
        </w:rPr>
        <w:t xml:space="preserve">See American Law Institute, “§ 5. Unconscionability” in </w:t>
      </w:r>
      <w:r w:rsidR="00F6353D" w:rsidRPr="00740FD0">
        <w:rPr>
          <w:i/>
          <w:iCs/>
          <w:sz w:val="18"/>
          <w:szCs w:val="18"/>
        </w:rPr>
        <w:t xml:space="preserve">Restatement of the Law, Consumer Contracts </w:t>
      </w:r>
      <w:r w:rsidR="00F6353D" w:rsidRPr="00740FD0">
        <w:rPr>
          <w:sz w:val="18"/>
          <w:szCs w:val="18"/>
        </w:rPr>
        <w:t>(tentative draft no. 2, as published, 2022), at 100, “market context.”</w:t>
      </w:r>
    </w:p>
  </w:endnote>
  <w:endnote w:id="236">
    <w:p w14:paraId="6AC25DDA" w14:textId="7AABFF9B" w:rsidR="008E3AF1" w:rsidRPr="00740FD0" w:rsidRDefault="008E3AF1" w:rsidP="008E3AF1">
      <w:pPr>
        <w:pStyle w:val="EndnoteText"/>
        <w:rPr>
          <w:sz w:val="18"/>
          <w:szCs w:val="18"/>
        </w:rPr>
      </w:pPr>
      <w:r w:rsidRPr="00740FD0">
        <w:rPr>
          <w:rStyle w:val="EndnoteReference"/>
          <w:sz w:val="18"/>
          <w:szCs w:val="18"/>
        </w:rPr>
        <w:endnoteRef/>
      </w:r>
      <w:r w:rsidRPr="00740FD0">
        <w:rPr>
          <w:sz w:val="18"/>
          <w:szCs w:val="18"/>
        </w:rPr>
        <w:t xml:space="preserve"> </w:t>
      </w:r>
      <w:r w:rsidR="006B2A27" w:rsidRPr="00740FD0">
        <w:rPr>
          <w:sz w:val="18"/>
          <w:szCs w:val="18"/>
        </w:rPr>
        <w:t xml:space="preserve">For an overview see European Commission, “Unfair commercial practices directive,” online: </w:t>
      </w:r>
      <w:hyperlink r:id="rId205" w:history="1">
        <w:r w:rsidR="006B2A27" w:rsidRPr="00740FD0">
          <w:rPr>
            <w:rStyle w:val="Hyperlink"/>
            <w:sz w:val="18"/>
            <w:szCs w:val="18"/>
          </w:rPr>
          <w:t>https://ec.europa.eu/info/law/law-topic/consumer-protection-law/unfair-commercial-practices-law/unfair-commercial-practices-directive_en</w:t>
        </w:r>
      </w:hyperlink>
      <w:r w:rsidR="006B2A27" w:rsidRPr="00740FD0">
        <w:rPr>
          <w:sz w:val="18"/>
          <w:szCs w:val="18"/>
        </w:rPr>
        <w:t xml:space="preserve">. Specifically see the Journal of the European Union, “Commission Notice: Guidance on the interpretation and application of Directive 2005/29/EC of the European Parliament and of the Council concerning unfair business-to-consumer commercial practices in the internal market (2021/C 526/01)” (December 12, 2021), online: </w:t>
      </w:r>
      <w:hyperlink r:id="rId206" w:history="1">
        <w:r w:rsidR="006B2A27" w:rsidRPr="00740FD0">
          <w:rPr>
            <w:rStyle w:val="Hyperlink"/>
            <w:sz w:val="18"/>
            <w:szCs w:val="18"/>
          </w:rPr>
          <w:t>https://eur-lex.europa.eu/legal-content/EN/TXT/HTML/?uri=CELEX:52021XC1229(05)</w:t>
        </w:r>
      </w:hyperlink>
      <w:r w:rsidRPr="00740FD0">
        <w:rPr>
          <w:sz w:val="18"/>
          <w:szCs w:val="18"/>
        </w:rPr>
        <w:t xml:space="preserve">. </w:t>
      </w:r>
    </w:p>
  </w:endnote>
  <w:endnote w:id="237">
    <w:p w14:paraId="3D976291" w14:textId="6267FC9D" w:rsidR="008E3AF1" w:rsidRPr="00740FD0" w:rsidRDefault="008E3AF1" w:rsidP="008E3AF1">
      <w:pPr>
        <w:pStyle w:val="EndnoteText"/>
        <w:rPr>
          <w:sz w:val="18"/>
          <w:szCs w:val="18"/>
        </w:rPr>
      </w:pPr>
      <w:r w:rsidRPr="00740FD0">
        <w:rPr>
          <w:rStyle w:val="EndnoteReference"/>
          <w:sz w:val="18"/>
          <w:szCs w:val="18"/>
        </w:rPr>
        <w:endnoteRef/>
      </w:r>
      <w:r w:rsidRPr="00740FD0">
        <w:rPr>
          <w:sz w:val="18"/>
          <w:szCs w:val="18"/>
        </w:rPr>
        <w:t xml:space="preserve"> </w:t>
      </w:r>
      <w:r w:rsidR="006B2A27" w:rsidRPr="00740FD0">
        <w:rPr>
          <w:sz w:val="18"/>
          <w:szCs w:val="18"/>
        </w:rPr>
        <w:t xml:space="preserve">For an overview see European Commission, “Unfair commercial practices directive,” online: </w:t>
      </w:r>
      <w:hyperlink r:id="rId207" w:history="1">
        <w:r w:rsidR="006B2A27" w:rsidRPr="00740FD0">
          <w:rPr>
            <w:rStyle w:val="Hyperlink"/>
            <w:sz w:val="18"/>
            <w:szCs w:val="18"/>
          </w:rPr>
          <w:t>https://ec.europa.eu/info/law/law-topic/consumer-protection-law/unfair-commercial-practices-law/unfair-commercial-practices-directive_en</w:t>
        </w:r>
      </w:hyperlink>
      <w:r w:rsidR="006B2A27" w:rsidRPr="00740FD0">
        <w:rPr>
          <w:sz w:val="18"/>
          <w:szCs w:val="18"/>
        </w:rPr>
        <w:t xml:space="preserve">. Specifically see the Journal of the European Union, “Commission Notice: Guidance on the interpretation and application of Directive 2005/29/EC of the European Parliament and of the Council concerning unfair business-to-consumer commercial practices in the internal market (2021/C 526/01)” (December 12, 2021), online: </w:t>
      </w:r>
      <w:hyperlink r:id="rId208" w:history="1">
        <w:r w:rsidR="006B2A27" w:rsidRPr="00740FD0">
          <w:rPr>
            <w:rStyle w:val="Hyperlink"/>
            <w:sz w:val="18"/>
            <w:szCs w:val="18"/>
          </w:rPr>
          <w:t>https://eur-lex.europa.eu/legal-content/EN/TXT/HTML/?uri=CELEX:52021XC1229(05)</w:t>
        </w:r>
      </w:hyperlink>
      <w:r w:rsidRPr="00740FD0">
        <w:rPr>
          <w:sz w:val="18"/>
          <w:szCs w:val="18"/>
        </w:rPr>
        <w:t>.</w:t>
      </w:r>
    </w:p>
  </w:endnote>
  <w:endnote w:id="238">
    <w:p w14:paraId="735A0D10" w14:textId="5354B1CF" w:rsidR="00404A4D" w:rsidRPr="00740FD0" w:rsidRDefault="00404A4D" w:rsidP="00404A4D">
      <w:pPr>
        <w:pStyle w:val="EndnoteText"/>
        <w:rPr>
          <w:sz w:val="18"/>
          <w:szCs w:val="18"/>
        </w:rPr>
      </w:pPr>
      <w:r w:rsidRPr="00740FD0">
        <w:rPr>
          <w:rStyle w:val="EndnoteReference"/>
          <w:sz w:val="18"/>
          <w:szCs w:val="18"/>
        </w:rPr>
        <w:endnoteRef/>
      </w:r>
      <w:r w:rsidRPr="00740FD0">
        <w:rPr>
          <w:sz w:val="18"/>
          <w:szCs w:val="18"/>
        </w:rPr>
        <w:t xml:space="preserve"> </w:t>
      </w:r>
      <w:r w:rsidR="006B2A27" w:rsidRPr="00740FD0">
        <w:rPr>
          <w:sz w:val="18"/>
          <w:szCs w:val="18"/>
        </w:rPr>
        <w:t xml:space="preserve">US Federal Trade Commission, “Twitter to pay $150 million penalty for allegedly breaking its privacy promises – again” (May 25, 2022), online: </w:t>
      </w:r>
      <w:hyperlink r:id="rId209" w:history="1">
        <w:r w:rsidR="006B2A27" w:rsidRPr="00740FD0">
          <w:rPr>
            <w:rStyle w:val="Hyperlink"/>
            <w:sz w:val="18"/>
            <w:szCs w:val="18"/>
          </w:rPr>
          <w:t>https://www.ftc.gov/business-guidance/blog/2022/05/twitter-pay-150-million-penalty-allegedly-breaking-its-privacy-promises-again</w:t>
        </w:r>
      </w:hyperlink>
      <w:r w:rsidRPr="00740FD0">
        <w:rPr>
          <w:sz w:val="18"/>
          <w:szCs w:val="18"/>
        </w:rPr>
        <w:t xml:space="preserve">. </w:t>
      </w:r>
    </w:p>
  </w:endnote>
  <w:endnote w:id="239">
    <w:p w14:paraId="44601461" w14:textId="77777777" w:rsidR="00EF0552" w:rsidRPr="00740FD0" w:rsidRDefault="00EF0552" w:rsidP="00EF0552">
      <w:pPr>
        <w:pStyle w:val="EndnoteText"/>
        <w:rPr>
          <w:sz w:val="18"/>
          <w:szCs w:val="18"/>
        </w:rPr>
      </w:pPr>
      <w:r w:rsidRPr="00740FD0">
        <w:rPr>
          <w:rStyle w:val="EndnoteReference"/>
          <w:sz w:val="18"/>
          <w:szCs w:val="18"/>
        </w:rPr>
        <w:endnoteRef/>
      </w:r>
      <w:r w:rsidRPr="00740FD0">
        <w:rPr>
          <w:sz w:val="18"/>
          <w:szCs w:val="18"/>
        </w:rPr>
        <w:t xml:space="preserve"> US Federal Trade Commission, “Twitter to pay $150 million penalty for allegedly breaking its privacy promises – again” (May 25, 2022), online: </w:t>
      </w:r>
      <w:hyperlink r:id="rId210" w:history="1">
        <w:r w:rsidRPr="00740FD0">
          <w:rPr>
            <w:rStyle w:val="Hyperlink"/>
            <w:sz w:val="18"/>
            <w:szCs w:val="18"/>
          </w:rPr>
          <w:t>https://www.ftc.gov/business-guidance/blog/2022/05/twitter-pay-150-million-penalty-allegedly-breaking-its-privacy-promises-again</w:t>
        </w:r>
      </w:hyperlink>
      <w:r w:rsidRPr="00740FD0">
        <w:rPr>
          <w:sz w:val="18"/>
          <w:szCs w:val="18"/>
        </w:rPr>
        <w:t xml:space="preserve">. </w:t>
      </w:r>
    </w:p>
  </w:endnote>
  <w:endnote w:id="240">
    <w:p w14:paraId="60B417BF" w14:textId="1137F7C9" w:rsidR="00404A4D" w:rsidRPr="00740FD0" w:rsidRDefault="00404A4D" w:rsidP="00404A4D">
      <w:pPr>
        <w:pStyle w:val="EndnoteText"/>
        <w:rPr>
          <w:sz w:val="18"/>
          <w:szCs w:val="18"/>
        </w:rPr>
      </w:pPr>
      <w:r w:rsidRPr="00740FD0">
        <w:rPr>
          <w:rStyle w:val="EndnoteReference"/>
          <w:sz w:val="18"/>
          <w:szCs w:val="18"/>
        </w:rPr>
        <w:endnoteRef/>
      </w:r>
      <w:r w:rsidRPr="00740FD0">
        <w:rPr>
          <w:sz w:val="18"/>
          <w:szCs w:val="18"/>
        </w:rPr>
        <w:t xml:space="preserve"> </w:t>
      </w:r>
      <w:r w:rsidR="006B2A27" w:rsidRPr="00740FD0">
        <w:rPr>
          <w:sz w:val="18"/>
          <w:szCs w:val="18"/>
        </w:rPr>
        <w:t xml:space="preserve">US Federal Trade Commission, “Twitter to pay $150 million penalty for allegedly breaking its privacy promises – again” (May 25, 2022), online: </w:t>
      </w:r>
      <w:hyperlink r:id="rId211" w:history="1">
        <w:r w:rsidR="006B2A27" w:rsidRPr="00740FD0">
          <w:rPr>
            <w:rStyle w:val="Hyperlink"/>
            <w:sz w:val="18"/>
            <w:szCs w:val="18"/>
          </w:rPr>
          <w:t>https://www.ftc.gov/business-guidance/blog/2022/05/twitter-pay-150-million-penalty-allegedly-breaking-its-privacy-promises-again</w:t>
        </w:r>
      </w:hyperlink>
      <w:r w:rsidRPr="00740FD0">
        <w:rPr>
          <w:sz w:val="18"/>
          <w:szCs w:val="18"/>
        </w:rPr>
        <w:t xml:space="preserve">. </w:t>
      </w:r>
    </w:p>
  </w:endnote>
  <w:endnote w:id="241">
    <w:p w14:paraId="15C9C5C1" w14:textId="77777777" w:rsidR="0038455A" w:rsidRPr="00740FD0" w:rsidRDefault="0038455A" w:rsidP="0038455A">
      <w:pPr>
        <w:pStyle w:val="EndnoteText"/>
        <w:rPr>
          <w:sz w:val="18"/>
          <w:szCs w:val="18"/>
        </w:rPr>
      </w:pPr>
      <w:r w:rsidRPr="00740FD0">
        <w:rPr>
          <w:rStyle w:val="EndnoteReference"/>
          <w:sz w:val="18"/>
          <w:szCs w:val="18"/>
        </w:rPr>
        <w:endnoteRef/>
      </w:r>
      <w:r w:rsidRPr="00740FD0">
        <w:rPr>
          <w:sz w:val="18"/>
          <w:szCs w:val="18"/>
        </w:rPr>
        <w:t xml:space="preserve"> The Guardian, “France fines Google and Facebook €210m over user tracking: Data privacy watchdog says websites make it difficult for users to refuse cookies” (January 6, 2022), online: </w:t>
      </w:r>
      <w:hyperlink r:id="rId212" w:history="1">
        <w:r w:rsidRPr="00740FD0">
          <w:rPr>
            <w:rStyle w:val="Hyperlink"/>
            <w:sz w:val="18"/>
            <w:szCs w:val="18"/>
          </w:rPr>
          <w:t>https://www.theguardian.com/technology/2022/jan/06/france-fines-google-and-facebook-210m-over-user-tracking-cookies</w:t>
        </w:r>
      </w:hyperlink>
      <w:r w:rsidRPr="00740FD0">
        <w:rPr>
          <w:sz w:val="18"/>
          <w:szCs w:val="18"/>
        </w:rPr>
        <w:t xml:space="preserve">. </w:t>
      </w:r>
    </w:p>
  </w:endnote>
  <w:endnote w:id="242">
    <w:p w14:paraId="78B42DF7" w14:textId="583F580C" w:rsidR="0038455A" w:rsidRPr="00740FD0" w:rsidRDefault="0038455A" w:rsidP="0038455A">
      <w:pPr>
        <w:pStyle w:val="EndnoteText"/>
        <w:rPr>
          <w:sz w:val="18"/>
          <w:szCs w:val="18"/>
        </w:rPr>
      </w:pPr>
      <w:r w:rsidRPr="00740FD0">
        <w:rPr>
          <w:rStyle w:val="EndnoteReference"/>
          <w:sz w:val="18"/>
          <w:szCs w:val="18"/>
        </w:rPr>
        <w:endnoteRef/>
      </w:r>
      <w:r w:rsidRPr="00740FD0">
        <w:rPr>
          <w:sz w:val="18"/>
          <w:szCs w:val="18"/>
        </w:rPr>
        <w:t xml:space="preserve"> </w:t>
      </w:r>
      <w:r w:rsidR="00A544EF" w:rsidRPr="00740FD0">
        <w:rPr>
          <w:sz w:val="18"/>
          <w:szCs w:val="18"/>
        </w:rPr>
        <w:t xml:space="preserve">TechCrunch, “Italy fines Apple and Google for ‘aggressive’ data practices” </w:t>
      </w:r>
      <w:hyperlink r:id="rId213" w:history="1">
        <w:r w:rsidR="00A544EF" w:rsidRPr="00740FD0">
          <w:rPr>
            <w:rStyle w:val="Hyperlink"/>
            <w:sz w:val="18"/>
            <w:szCs w:val="18"/>
          </w:rPr>
          <w:t>https://techcrunch.com/2021/11/26/agcm-fines-apple-google/</w:t>
        </w:r>
      </w:hyperlink>
      <w:r w:rsidR="00A544EF" w:rsidRPr="00740FD0">
        <w:rPr>
          <w:sz w:val="18"/>
          <w:szCs w:val="18"/>
        </w:rPr>
        <w:t xml:space="preserve">, and TechCrunch, “Facebook fined again in Italy for misleading users over what it does with their data” (February 17, 2021), online: </w:t>
      </w:r>
      <w:hyperlink r:id="rId214" w:history="1">
        <w:r w:rsidR="00A544EF" w:rsidRPr="00740FD0">
          <w:rPr>
            <w:rStyle w:val="Hyperlink"/>
            <w:sz w:val="18"/>
            <w:szCs w:val="18"/>
          </w:rPr>
          <w:t>https://techcrunch.com/2021/02/17/facebook-fined-again-in-italy-for-misleading-users-over-what-it-does-with-their-data/</w:t>
        </w:r>
      </w:hyperlink>
      <w:r w:rsidR="00A544EF" w:rsidRPr="00740FD0">
        <w:rPr>
          <w:rStyle w:val="Hyperlink"/>
          <w:sz w:val="18"/>
          <w:szCs w:val="18"/>
        </w:rPr>
        <w:t>.</w:t>
      </w:r>
    </w:p>
  </w:endnote>
  <w:endnote w:id="243">
    <w:p w14:paraId="0AD7A026" w14:textId="0CADED80" w:rsidR="00721B91" w:rsidRPr="00740FD0" w:rsidRDefault="00721B91">
      <w:pPr>
        <w:pStyle w:val="EndnoteText"/>
        <w:rPr>
          <w:sz w:val="18"/>
          <w:szCs w:val="18"/>
        </w:rPr>
      </w:pPr>
      <w:r w:rsidRPr="00740FD0">
        <w:rPr>
          <w:rStyle w:val="EndnoteReference"/>
          <w:sz w:val="18"/>
          <w:szCs w:val="18"/>
        </w:rPr>
        <w:endnoteRef/>
      </w:r>
      <w:r w:rsidRPr="00740FD0">
        <w:rPr>
          <w:sz w:val="18"/>
          <w:szCs w:val="18"/>
        </w:rPr>
        <w:t xml:space="preserve"> </w:t>
      </w:r>
      <w:r w:rsidR="00F573B0" w:rsidRPr="00740FD0">
        <w:rPr>
          <w:sz w:val="18"/>
          <w:szCs w:val="18"/>
        </w:rPr>
        <w:t xml:space="preserve">See for instance, Matt </w:t>
      </w:r>
      <w:r w:rsidR="00F573B0" w:rsidRPr="00740FD0">
        <w:rPr>
          <w:sz w:val="18"/>
          <w:szCs w:val="18"/>
        </w:rPr>
        <w:t xml:space="preserve">Stoler, “Amazon Prime Is an Economy-Distorting Lie: A new antitrust case shows that Prime inflates prices across the board, using the false promise of 'free shipping' that is anything but free” (May 30, 2021), online: </w:t>
      </w:r>
      <w:hyperlink r:id="rId215" w:history="1">
        <w:r w:rsidR="00F573B0" w:rsidRPr="00740FD0">
          <w:rPr>
            <w:rStyle w:val="Hyperlink"/>
            <w:sz w:val="18"/>
            <w:szCs w:val="18"/>
          </w:rPr>
          <w:t>https://mattstoller.substack.com/p/amazon-primes-free-shipping-promise</w:t>
        </w:r>
      </w:hyperlink>
      <w:r w:rsidR="00F573B0" w:rsidRPr="00740FD0">
        <w:rPr>
          <w:sz w:val="18"/>
          <w:szCs w:val="18"/>
        </w:rPr>
        <w:t xml:space="preserve">. </w:t>
      </w:r>
    </w:p>
  </w:endnote>
  <w:endnote w:id="244">
    <w:p w14:paraId="0E5D961B" w14:textId="77777777" w:rsidR="00323713" w:rsidRPr="00740FD0" w:rsidRDefault="00323713" w:rsidP="00323713">
      <w:pPr>
        <w:pStyle w:val="EndnoteText"/>
        <w:rPr>
          <w:sz w:val="18"/>
          <w:szCs w:val="18"/>
        </w:rPr>
      </w:pPr>
      <w:r w:rsidRPr="00740FD0">
        <w:rPr>
          <w:rStyle w:val="EndnoteReference"/>
          <w:sz w:val="18"/>
          <w:szCs w:val="18"/>
        </w:rPr>
        <w:endnoteRef/>
      </w:r>
      <w:r w:rsidRPr="00740FD0">
        <w:rPr>
          <w:sz w:val="18"/>
          <w:szCs w:val="18"/>
        </w:rPr>
        <w:t xml:space="preserve"> Ars </w:t>
      </w:r>
      <w:r w:rsidRPr="00740FD0">
        <w:rPr>
          <w:sz w:val="18"/>
          <w:szCs w:val="18"/>
        </w:rPr>
        <w:t xml:space="preserve">Technica, “Google sued for €2.1 billion by shopping rival for unfair search placement” (February 7, 2022), online: </w:t>
      </w:r>
      <w:hyperlink r:id="rId216" w:history="1">
        <w:r w:rsidRPr="00740FD0">
          <w:rPr>
            <w:rStyle w:val="Hyperlink"/>
            <w:sz w:val="18"/>
            <w:szCs w:val="18"/>
          </w:rPr>
          <w:t>https://arstechnica.com/gadgets/2022/02/google-sued-for-e2-1-billion-by-shopping-rival-for-unfair-search-placement/</w:t>
        </w:r>
      </w:hyperlink>
      <w:r w:rsidRPr="00740FD0">
        <w:rPr>
          <w:sz w:val="18"/>
          <w:szCs w:val="18"/>
        </w:rPr>
        <w:t>.</w:t>
      </w:r>
    </w:p>
  </w:endnote>
  <w:endnote w:id="245">
    <w:p w14:paraId="774E7EBC" w14:textId="11C69E29" w:rsidR="00323713" w:rsidRPr="00740FD0" w:rsidRDefault="00323713" w:rsidP="00323713">
      <w:pPr>
        <w:pStyle w:val="EndnoteText"/>
        <w:rPr>
          <w:sz w:val="18"/>
          <w:szCs w:val="18"/>
        </w:rPr>
      </w:pPr>
      <w:r w:rsidRPr="00740FD0">
        <w:rPr>
          <w:rStyle w:val="EndnoteReference"/>
          <w:sz w:val="18"/>
          <w:szCs w:val="18"/>
        </w:rPr>
        <w:endnoteRef/>
      </w:r>
      <w:r w:rsidRPr="00740FD0">
        <w:rPr>
          <w:sz w:val="18"/>
          <w:szCs w:val="18"/>
        </w:rPr>
        <w:t xml:space="preserve"> </w:t>
      </w:r>
      <w:r w:rsidRPr="00740FD0">
        <w:rPr>
          <w:i/>
          <w:iCs/>
          <w:sz w:val="18"/>
          <w:szCs w:val="18"/>
        </w:rPr>
        <w:t>Douez v. Facebook</w:t>
      </w:r>
      <w:r w:rsidRPr="00740FD0">
        <w:rPr>
          <w:sz w:val="18"/>
          <w:szCs w:val="18"/>
        </w:rPr>
        <w:t xml:space="preserve"> (2022 BCSC 914) (June 2, 2022), online: </w:t>
      </w:r>
      <w:hyperlink r:id="rId217" w:history="1">
        <w:r w:rsidRPr="00740FD0">
          <w:rPr>
            <w:rStyle w:val="Hyperlink"/>
            <w:sz w:val="18"/>
            <w:szCs w:val="18"/>
          </w:rPr>
          <w:t>https://www.bccourts.ca/jdb-txt/sc/22/09/2022BCSC0914.htm</w:t>
        </w:r>
      </w:hyperlink>
      <w:r w:rsidR="00F573B0" w:rsidRPr="00740FD0">
        <w:rPr>
          <w:sz w:val="18"/>
          <w:szCs w:val="18"/>
        </w:rPr>
        <w:t>.</w:t>
      </w:r>
    </w:p>
  </w:endnote>
  <w:endnote w:id="246">
    <w:p w14:paraId="2CB4A97C" w14:textId="721D9D58" w:rsidR="00D46BEE" w:rsidRPr="00740FD0" w:rsidRDefault="00D46BEE" w:rsidP="00D46BEE">
      <w:pPr>
        <w:pStyle w:val="EndnoteText"/>
        <w:rPr>
          <w:sz w:val="18"/>
          <w:szCs w:val="18"/>
        </w:rPr>
      </w:pPr>
      <w:r w:rsidRPr="00740FD0">
        <w:rPr>
          <w:rStyle w:val="EndnoteReference"/>
          <w:sz w:val="18"/>
          <w:szCs w:val="18"/>
        </w:rPr>
        <w:endnoteRef/>
      </w:r>
      <w:r w:rsidRPr="00740FD0">
        <w:rPr>
          <w:sz w:val="18"/>
          <w:szCs w:val="18"/>
        </w:rPr>
        <w:t xml:space="preserve"> </w:t>
      </w:r>
      <w:r w:rsidR="00F573B0" w:rsidRPr="00740FD0">
        <w:rPr>
          <w:i/>
          <w:iCs/>
          <w:sz w:val="18"/>
          <w:szCs w:val="18"/>
        </w:rPr>
        <w:t>Douez v. Facebook</w:t>
      </w:r>
      <w:r w:rsidR="00F573B0" w:rsidRPr="00740FD0">
        <w:rPr>
          <w:sz w:val="18"/>
          <w:szCs w:val="18"/>
        </w:rPr>
        <w:t xml:space="preserve"> (2022 BCSC 914) (June 2, 2022), online: </w:t>
      </w:r>
      <w:hyperlink r:id="rId218" w:history="1">
        <w:r w:rsidR="00F573B0" w:rsidRPr="00740FD0">
          <w:rPr>
            <w:rStyle w:val="Hyperlink"/>
            <w:sz w:val="18"/>
            <w:szCs w:val="18"/>
          </w:rPr>
          <w:t>https://www.bccourts.ca/jdb-txt/sc/22/09/2022BCSC0914.htm</w:t>
        </w:r>
      </w:hyperlink>
      <w:r w:rsidRPr="00740FD0">
        <w:rPr>
          <w:sz w:val="18"/>
          <w:szCs w:val="18"/>
        </w:rPr>
        <w:t>, at para 96-97.</w:t>
      </w:r>
    </w:p>
  </w:endnote>
  <w:endnote w:id="247">
    <w:p w14:paraId="29D6BF5B" w14:textId="6D22BE49" w:rsidR="00D46BEE" w:rsidRPr="00740FD0" w:rsidRDefault="00D46BEE" w:rsidP="00D46BEE">
      <w:pPr>
        <w:pStyle w:val="EndnoteText"/>
        <w:rPr>
          <w:sz w:val="18"/>
          <w:szCs w:val="18"/>
        </w:rPr>
      </w:pPr>
      <w:r w:rsidRPr="00740FD0">
        <w:rPr>
          <w:rStyle w:val="EndnoteReference"/>
          <w:sz w:val="18"/>
          <w:szCs w:val="18"/>
        </w:rPr>
        <w:endnoteRef/>
      </w:r>
      <w:r w:rsidRPr="00740FD0">
        <w:rPr>
          <w:sz w:val="18"/>
          <w:szCs w:val="18"/>
        </w:rPr>
        <w:t xml:space="preserve"> </w:t>
      </w:r>
      <w:r w:rsidR="00F573B0" w:rsidRPr="00740FD0">
        <w:rPr>
          <w:i/>
          <w:iCs/>
          <w:sz w:val="18"/>
          <w:szCs w:val="18"/>
        </w:rPr>
        <w:t>Douez v. Facebook</w:t>
      </w:r>
      <w:r w:rsidR="00F573B0" w:rsidRPr="00740FD0">
        <w:rPr>
          <w:sz w:val="18"/>
          <w:szCs w:val="18"/>
        </w:rPr>
        <w:t xml:space="preserve"> (2022 BCSC 914) (June 2, 2022), online: </w:t>
      </w:r>
      <w:hyperlink r:id="rId219" w:history="1">
        <w:r w:rsidR="00F573B0" w:rsidRPr="00740FD0">
          <w:rPr>
            <w:rStyle w:val="Hyperlink"/>
            <w:sz w:val="18"/>
            <w:szCs w:val="18"/>
          </w:rPr>
          <w:t>https://www.bccourts.ca/jdb-txt/sc/22/09/2022BCSC0914.htm</w:t>
        </w:r>
      </w:hyperlink>
      <w:r w:rsidRPr="00740FD0">
        <w:rPr>
          <w:sz w:val="18"/>
          <w:szCs w:val="18"/>
        </w:rPr>
        <w:t>, at para 96-97.</w:t>
      </w:r>
    </w:p>
  </w:endnote>
  <w:endnote w:id="248">
    <w:p w14:paraId="69720A76" w14:textId="157B91D3" w:rsidR="00D46BEE" w:rsidRPr="00740FD0" w:rsidRDefault="00D46BEE" w:rsidP="00D46BEE">
      <w:pPr>
        <w:pStyle w:val="EndnoteText"/>
        <w:rPr>
          <w:sz w:val="18"/>
          <w:szCs w:val="18"/>
        </w:rPr>
      </w:pPr>
      <w:r w:rsidRPr="00740FD0">
        <w:rPr>
          <w:rStyle w:val="EndnoteReference"/>
          <w:sz w:val="18"/>
          <w:szCs w:val="18"/>
        </w:rPr>
        <w:endnoteRef/>
      </w:r>
      <w:r w:rsidRPr="00740FD0">
        <w:rPr>
          <w:sz w:val="18"/>
          <w:szCs w:val="18"/>
        </w:rPr>
        <w:t xml:space="preserve"> </w:t>
      </w:r>
      <w:r w:rsidR="00F573B0" w:rsidRPr="00740FD0">
        <w:rPr>
          <w:i/>
          <w:iCs/>
          <w:sz w:val="18"/>
          <w:szCs w:val="18"/>
        </w:rPr>
        <w:t>Douez v. Facebook</w:t>
      </w:r>
      <w:r w:rsidR="00F573B0" w:rsidRPr="00740FD0">
        <w:rPr>
          <w:sz w:val="18"/>
          <w:szCs w:val="18"/>
        </w:rPr>
        <w:t xml:space="preserve"> (2022 BCSC 914) (June 2, 2022), online: </w:t>
      </w:r>
      <w:hyperlink r:id="rId220" w:history="1">
        <w:r w:rsidR="00F573B0" w:rsidRPr="00740FD0">
          <w:rPr>
            <w:rStyle w:val="Hyperlink"/>
            <w:sz w:val="18"/>
            <w:szCs w:val="18"/>
          </w:rPr>
          <w:t>https://www.bccourts.ca/jdb-txt/sc/22/09/2022BCSC0914.htm</w:t>
        </w:r>
      </w:hyperlink>
      <w:r w:rsidRPr="00740FD0">
        <w:rPr>
          <w:sz w:val="18"/>
          <w:szCs w:val="18"/>
        </w:rPr>
        <w:t>, at para 118.</w:t>
      </w:r>
    </w:p>
  </w:endnote>
  <w:endnote w:id="249">
    <w:p w14:paraId="57084155" w14:textId="5612FF07" w:rsidR="00D46BEE" w:rsidRPr="00740FD0" w:rsidRDefault="00D46BEE" w:rsidP="00D46BEE">
      <w:pPr>
        <w:pStyle w:val="EndnoteText"/>
        <w:rPr>
          <w:sz w:val="18"/>
          <w:szCs w:val="18"/>
        </w:rPr>
      </w:pPr>
      <w:r w:rsidRPr="00740FD0">
        <w:rPr>
          <w:rStyle w:val="EndnoteReference"/>
          <w:sz w:val="18"/>
          <w:szCs w:val="18"/>
        </w:rPr>
        <w:endnoteRef/>
      </w:r>
      <w:r w:rsidRPr="00740FD0">
        <w:rPr>
          <w:sz w:val="18"/>
          <w:szCs w:val="18"/>
        </w:rPr>
        <w:t xml:space="preserve"> </w:t>
      </w:r>
      <w:r w:rsidR="00F573B0" w:rsidRPr="00740FD0">
        <w:rPr>
          <w:i/>
          <w:iCs/>
          <w:sz w:val="18"/>
          <w:szCs w:val="18"/>
        </w:rPr>
        <w:t>Douez v. Facebook</w:t>
      </w:r>
      <w:r w:rsidR="00F573B0" w:rsidRPr="00740FD0">
        <w:rPr>
          <w:sz w:val="18"/>
          <w:szCs w:val="18"/>
        </w:rPr>
        <w:t xml:space="preserve"> (2022 BCSC 914) (June 2, 2022), online: </w:t>
      </w:r>
      <w:hyperlink r:id="rId221" w:history="1">
        <w:r w:rsidR="00F573B0" w:rsidRPr="00740FD0">
          <w:rPr>
            <w:rStyle w:val="Hyperlink"/>
            <w:sz w:val="18"/>
            <w:szCs w:val="18"/>
          </w:rPr>
          <w:t>https://www.bccourts.ca/jdb-txt/sc/22/09/2022BCSC0914.htm</w:t>
        </w:r>
      </w:hyperlink>
      <w:r w:rsidRPr="00740FD0">
        <w:rPr>
          <w:sz w:val="18"/>
          <w:szCs w:val="18"/>
        </w:rPr>
        <w:t>, at para 122.</w:t>
      </w:r>
    </w:p>
  </w:endnote>
  <w:endnote w:id="250">
    <w:p w14:paraId="1960E504" w14:textId="5F367B35" w:rsidR="00323713" w:rsidRPr="00740FD0" w:rsidRDefault="00323713" w:rsidP="00323713">
      <w:pPr>
        <w:pStyle w:val="EndnoteText"/>
        <w:rPr>
          <w:sz w:val="18"/>
          <w:szCs w:val="18"/>
        </w:rPr>
      </w:pPr>
      <w:r w:rsidRPr="00740FD0">
        <w:rPr>
          <w:rStyle w:val="EndnoteReference"/>
          <w:sz w:val="18"/>
          <w:szCs w:val="18"/>
        </w:rPr>
        <w:endnoteRef/>
      </w:r>
      <w:r w:rsidRPr="00740FD0">
        <w:rPr>
          <w:sz w:val="18"/>
          <w:szCs w:val="18"/>
        </w:rPr>
        <w:t xml:space="preserve"> </w:t>
      </w:r>
      <w:r w:rsidR="00F573B0" w:rsidRPr="00740FD0">
        <w:rPr>
          <w:i/>
          <w:iCs/>
          <w:sz w:val="18"/>
          <w:szCs w:val="18"/>
        </w:rPr>
        <w:t>Douez v. Facebook</w:t>
      </w:r>
      <w:r w:rsidR="00F573B0" w:rsidRPr="00740FD0">
        <w:rPr>
          <w:sz w:val="18"/>
          <w:szCs w:val="18"/>
        </w:rPr>
        <w:t xml:space="preserve"> (2022 BCSC 914) (June 2, 2022), online: </w:t>
      </w:r>
      <w:hyperlink r:id="rId222" w:history="1">
        <w:r w:rsidR="00F573B0" w:rsidRPr="00740FD0">
          <w:rPr>
            <w:rStyle w:val="Hyperlink"/>
            <w:sz w:val="18"/>
            <w:szCs w:val="18"/>
          </w:rPr>
          <w:t>https://www.bccourts.ca/jdb-txt/sc/22/09/2022BCSC0914.htm</w:t>
        </w:r>
      </w:hyperlink>
      <w:r w:rsidRPr="00740FD0">
        <w:rPr>
          <w:sz w:val="18"/>
          <w:szCs w:val="18"/>
        </w:rPr>
        <w:t>, at para 94.</w:t>
      </w:r>
    </w:p>
  </w:endnote>
  <w:endnote w:id="251">
    <w:p w14:paraId="353E8187" w14:textId="4894CE09" w:rsidR="00323713" w:rsidRPr="00740FD0" w:rsidRDefault="00323713" w:rsidP="00323713">
      <w:pPr>
        <w:pStyle w:val="EndnoteText"/>
        <w:rPr>
          <w:sz w:val="18"/>
          <w:szCs w:val="18"/>
        </w:rPr>
      </w:pPr>
      <w:r w:rsidRPr="00740FD0">
        <w:rPr>
          <w:rStyle w:val="EndnoteReference"/>
          <w:sz w:val="18"/>
          <w:szCs w:val="18"/>
        </w:rPr>
        <w:endnoteRef/>
      </w:r>
      <w:r w:rsidRPr="00740FD0">
        <w:rPr>
          <w:sz w:val="18"/>
          <w:szCs w:val="18"/>
        </w:rPr>
        <w:t xml:space="preserve"> </w:t>
      </w:r>
      <w:r w:rsidR="00F573B0" w:rsidRPr="00740FD0">
        <w:rPr>
          <w:i/>
          <w:iCs/>
          <w:sz w:val="18"/>
          <w:szCs w:val="18"/>
        </w:rPr>
        <w:t>Douez v. Facebook</w:t>
      </w:r>
      <w:r w:rsidR="00F573B0" w:rsidRPr="00740FD0">
        <w:rPr>
          <w:sz w:val="18"/>
          <w:szCs w:val="18"/>
        </w:rPr>
        <w:t xml:space="preserve"> (2022 BCSC 914) (June 2, 2022), online: </w:t>
      </w:r>
      <w:hyperlink r:id="rId223" w:history="1">
        <w:r w:rsidR="00F573B0" w:rsidRPr="00740FD0">
          <w:rPr>
            <w:rStyle w:val="Hyperlink"/>
            <w:sz w:val="18"/>
            <w:szCs w:val="18"/>
          </w:rPr>
          <w:t>https://www.bccourts.ca/jdb-txt/sc/22/09/2022BCSC0914.htm</w:t>
        </w:r>
      </w:hyperlink>
      <w:r w:rsidRPr="00740FD0">
        <w:rPr>
          <w:sz w:val="18"/>
          <w:szCs w:val="18"/>
        </w:rPr>
        <w:t>, at para 89.</w:t>
      </w:r>
    </w:p>
  </w:endnote>
  <w:endnote w:id="252">
    <w:p w14:paraId="25A1DDDA" w14:textId="3179F01D" w:rsidR="00323713" w:rsidRPr="00740FD0" w:rsidRDefault="00323713" w:rsidP="00323713">
      <w:pPr>
        <w:pStyle w:val="EndnoteText"/>
        <w:rPr>
          <w:sz w:val="18"/>
          <w:szCs w:val="18"/>
        </w:rPr>
      </w:pPr>
      <w:r w:rsidRPr="00740FD0">
        <w:rPr>
          <w:rStyle w:val="EndnoteReference"/>
          <w:sz w:val="18"/>
          <w:szCs w:val="18"/>
        </w:rPr>
        <w:endnoteRef/>
      </w:r>
      <w:r w:rsidRPr="00740FD0">
        <w:rPr>
          <w:sz w:val="18"/>
          <w:szCs w:val="18"/>
        </w:rPr>
        <w:t xml:space="preserve"> </w:t>
      </w:r>
      <w:r w:rsidR="00B125E8" w:rsidRPr="00740FD0">
        <w:rPr>
          <w:sz w:val="18"/>
          <w:szCs w:val="18"/>
        </w:rPr>
        <w:t xml:space="preserve">Law360.ca, “Facebook privacy decision highlights need for tech companies to get consent from users, lawyers say” (June 21, 2022), online: </w:t>
      </w:r>
      <w:hyperlink r:id="rId224" w:history="1">
        <w:r w:rsidR="00B125E8" w:rsidRPr="00740FD0">
          <w:rPr>
            <w:rStyle w:val="Hyperlink"/>
            <w:sz w:val="18"/>
            <w:szCs w:val="18"/>
          </w:rPr>
          <w:t>https://www.law360.ca/articles/37394/facebook-privacy-decision-highlights-need-for-tech-companies-to-get-consent-from-users-lawyers-say</w:t>
        </w:r>
      </w:hyperlink>
      <w:r w:rsidR="00B125E8" w:rsidRPr="00740FD0">
        <w:rPr>
          <w:sz w:val="18"/>
          <w:szCs w:val="18"/>
        </w:rPr>
        <w:t xml:space="preserve">. </w:t>
      </w:r>
      <w:r w:rsidRPr="00740FD0">
        <w:rPr>
          <w:sz w:val="18"/>
          <w:szCs w:val="18"/>
        </w:rPr>
        <w:t xml:space="preserve"> </w:t>
      </w:r>
    </w:p>
  </w:endnote>
  <w:endnote w:id="253">
    <w:p w14:paraId="40C48C7C" w14:textId="499444AE" w:rsidR="000348BF" w:rsidRPr="00740FD0" w:rsidRDefault="000348BF" w:rsidP="000348BF">
      <w:pPr>
        <w:pStyle w:val="EndnoteText"/>
        <w:rPr>
          <w:sz w:val="18"/>
          <w:szCs w:val="18"/>
        </w:rPr>
      </w:pPr>
      <w:r w:rsidRPr="00740FD0">
        <w:rPr>
          <w:rStyle w:val="EndnoteReference"/>
          <w:sz w:val="18"/>
          <w:szCs w:val="18"/>
        </w:rPr>
        <w:endnoteRef/>
      </w:r>
      <w:r w:rsidRPr="00740FD0">
        <w:rPr>
          <w:sz w:val="18"/>
          <w:szCs w:val="18"/>
        </w:rPr>
        <w:t xml:space="preserve"> </w:t>
      </w:r>
      <w:r w:rsidR="00B125E8" w:rsidRPr="00740FD0">
        <w:rPr>
          <w:sz w:val="18"/>
          <w:szCs w:val="18"/>
        </w:rPr>
        <w:t xml:space="preserve">Office of the Privacy Commissioner of Canada, </w:t>
      </w:r>
      <w:r w:rsidR="00B125E8" w:rsidRPr="00740FD0">
        <w:rPr>
          <w:i/>
          <w:iCs/>
          <w:sz w:val="18"/>
          <w:szCs w:val="18"/>
        </w:rPr>
        <w:t>Joint Investigation into Location Tracking by the Tim Hortons App</w:t>
      </w:r>
      <w:r w:rsidR="00B125E8" w:rsidRPr="00740FD0">
        <w:rPr>
          <w:sz w:val="18"/>
          <w:szCs w:val="18"/>
        </w:rPr>
        <w:t xml:space="preserve"> (June 1, 2022)at para 76, online: </w:t>
      </w:r>
      <w:hyperlink r:id="rId225" w:history="1">
        <w:r w:rsidR="00B125E8" w:rsidRPr="00740FD0">
          <w:rPr>
            <w:rStyle w:val="Hyperlink"/>
            <w:sz w:val="18"/>
            <w:szCs w:val="18"/>
          </w:rPr>
          <w:t>https://www.priv.gc.ca/en/opc-actions-and-decisions/investigations/investigations-into-businesses/2022/pipeda-2022-001/</w:t>
        </w:r>
      </w:hyperlink>
      <w:hyperlink r:id="rId226" w:history="1">
        <w:r w:rsidRPr="00740FD0">
          <w:rPr>
            <w:rStyle w:val="Hyperlink"/>
            <w:sz w:val="18"/>
            <w:szCs w:val="18"/>
          </w:rPr>
          <w:t>https://www.priv.gc.ca/en/opc-actions-and-decisions/investigations/investigations-into-businesses/2022/pipeda-2022-001/</w:t>
        </w:r>
      </w:hyperlink>
      <w:r w:rsidR="00B125E8" w:rsidRPr="00740FD0">
        <w:rPr>
          <w:sz w:val="18"/>
          <w:szCs w:val="18"/>
        </w:rPr>
        <w:t>.</w:t>
      </w:r>
    </w:p>
  </w:endnote>
  <w:endnote w:id="254">
    <w:p w14:paraId="468E018F" w14:textId="055FD8FF" w:rsidR="000348BF" w:rsidRPr="00740FD0" w:rsidRDefault="000348BF" w:rsidP="000348BF">
      <w:pPr>
        <w:pStyle w:val="EndnoteText"/>
        <w:rPr>
          <w:sz w:val="18"/>
          <w:szCs w:val="18"/>
        </w:rPr>
      </w:pPr>
      <w:r w:rsidRPr="00740FD0">
        <w:rPr>
          <w:rStyle w:val="EndnoteReference"/>
          <w:sz w:val="18"/>
          <w:szCs w:val="18"/>
        </w:rPr>
        <w:endnoteRef/>
      </w:r>
      <w:r w:rsidRPr="00740FD0">
        <w:rPr>
          <w:sz w:val="18"/>
          <w:szCs w:val="18"/>
        </w:rPr>
        <w:t xml:space="preserve"> </w:t>
      </w:r>
      <w:r w:rsidR="00B125E8" w:rsidRPr="00740FD0">
        <w:rPr>
          <w:sz w:val="18"/>
          <w:szCs w:val="18"/>
        </w:rPr>
        <w:t xml:space="preserve">Office of the Privacy Commissioner of Canada, </w:t>
      </w:r>
      <w:r w:rsidR="00B125E8" w:rsidRPr="00740FD0">
        <w:rPr>
          <w:i/>
          <w:iCs/>
          <w:sz w:val="18"/>
          <w:szCs w:val="18"/>
        </w:rPr>
        <w:t>Joint Investigation into Location Tracking by the Tim Hortons App</w:t>
      </w:r>
      <w:r w:rsidR="00B125E8" w:rsidRPr="00740FD0">
        <w:rPr>
          <w:sz w:val="18"/>
          <w:szCs w:val="18"/>
        </w:rPr>
        <w:t xml:space="preserve"> (June 1, 2022)at para 82-83, online: </w:t>
      </w:r>
      <w:hyperlink r:id="rId227" w:history="1">
        <w:r w:rsidR="00B125E8" w:rsidRPr="00740FD0">
          <w:rPr>
            <w:rStyle w:val="Hyperlink"/>
            <w:sz w:val="18"/>
            <w:szCs w:val="18"/>
          </w:rPr>
          <w:t>https://www.priv.gc.ca/en/opc-actions-and-decisions/investigations/investigations-into-businesses/2022/pipeda-2022-001/</w:t>
        </w:r>
      </w:hyperlink>
      <w:hyperlink r:id="rId228" w:history="1">
        <w:r w:rsidR="00B125E8" w:rsidRPr="00740FD0">
          <w:rPr>
            <w:rStyle w:val="Hyperlink"/>
            <w:sz w:val="18"/>
            <w:szCs w:val="18"/>
          </w:rPr>
          <w:t>https://www.priv.gc.ca/en/opc-actions-and-decisions/investigations/investigations-into-businesses/2022/pipeda-2022-001/</w:t>
        </w:r>
      </w:hyperlink>
      <w:r w:rsidR="00B125E8" w:rsidRPr="00740FD0">
        <w:rPr>
          <w:sz w:val="18"/>
          <w:szCs w:val="18"/>
        </w:rPr>
        <w:t>.</w:t>
      </w:r>
      <w:r w:rsidRPr="00740FD0">
        <w:rPr>
          <w:sz w:val="18"/>
          <w:szCs w:val="18"/>
        </w:rPr>
        <w:t>.</w:t>
      </w:r>
    </w:p>
  </w:endnote>
  <w:endnote w:id="255">
    <w:p w14:paraId="5584B89D" w14:textId="1F5FD5C8" w:rsidR="00C20568" w:rsidRPr="00740FD0" w:rsidRDefault="00C20568" w:rsidP="00C20568">
      <w:pPr>
        <w:pStyle w:val="EndnoteText"/>
        <w:rPr>
          <w:sz w:val="18"/>
          <w:szCs w:val="18"/>
        </w:rPr>
      </w:pPr>
      <w:r w:rsidRPr="00740FD0">
        <w:rPr>
          <w:rStyle w:val="EndnoteReference"/>
          <w:sz w:val="18"/>
          <w:szCs w:val="18"/>
        </w:rPr>
        <w:endnoteRef/>
      </w:r>
      <w:r w:rsidRPr="00740FD0">
        <w:rPr>
          <w:sz w:val="18"/>
          <w:szCs w:val="18"/>
        </w:rPr>
        <w:t xml:space="preserve"> </w:t>
      </w:r>
      <w:r w:rsidR="005C1FFA" w:rsidRPr="00740FD0">
        <w:rPr>
          <w:sz w:val="18"/>
          <w:szCs w:val="18"/>
        </w:rPr>
        <w:t xml:space="preserve">American Law Institute, “§ 2. Adoption of Standard Contract Terms” in </w:t>
      </w:r>
      <w:r w:rsidR="005C1FFA" w:rsidRPr="00740FD0">
        <w:rPr>
          <w:i/>
          <w:iCs/>
          <w:sz w:val="18"/>
          <w:szCs w:val="18"/>
        </w:rPr>
        <w:t xml:space="preserve">Restatement of the Law, Consumer Contracts </w:t>
      </w:r>
      <w:r w:rsidR="005C1FFA" w:rsidRPr="00740FD0">
        <w:rPr>
          <w:sz w:val="18"/>
          <w:szCs w:val="18"/>
        </w:rPr>
        <w:t>(tentative draft no. 2, as published, 2022), at 45.</w:t>
      </w:r>
    </w:p>
  </w:endnote>
  <w:endnote w:id="256">
    <w:p w14:paraId="5FAB3C8B" w14:textId="5286688C" w:rsidR="00C20568" w:rsidRPr="00740FD0" w:rsidRDefault="00C20568" w:rsidP="00C20568">
      <w:pPr>
        <w:pStyle w:val="EndnoteText"/>
        <w:rPr>
          <w:sz w:val="18"/>
          <w:szCs w:val="18"/>
        </w:rPr>
      </w:pPr>
      <w:r w:rsidRPr="00740FD0">
        <w:rPr>
          <w:rStyle w:val="EndnoteReference"/>
          <w:sz w:val="18"/>
          <w:szCs w:val="18"/>
        </w:rPr>
        <w:endnoteRef/>
      </w:r>
      <w:r w:rsidRPr="00740FD0">
        <w:rPr>
          <w:sz w:val="18"/>
          <w:szCs w:val="18"/>
        </w:rPr>
        <w:t xml:space="preserve"> </w:t>
      </w:r>
      <w:r w:rsidR="005C1FFA" w:rsidRPr="00740FD0">
        <w:rPr>
          <w:sz w:val="18"/>
          <w:szCs w:val="18"/>
        </w:rPr>
        <w:t xml:space="preserve">American Law Institute, “§ 2. Adoption of Standard Contract Terms” in </w:t>
      </w:r>
      <w:r w:rsidR="005C1FFA" w:rsidRPr="00740FD0">
        <w:rPr>
          <w:i/>
          <w:iCs/>
          <w:sz w:val="18"/>
          <w:szCs w:val="18"/>
        </w:rPr>
        <w:t xml:space="preserve">Restatement of the Law, Consumer Contracts </w:t>
      </w:r>
      <w:r w:rsidR="005C1FFA" w:rsidRPr="00740FD0">
        <w:rPr>
          <w:sz w:val="18"/>
          <w:szCs w:val="18"/>
        </w:rPr>
        <w:t>(tentative draft no. 2, as published, 2022), at 45.</w:t>
      </w:r>
    </w:p>
  </w:endnote>
  <w:endnote w:id="257">
    <w:p w14:paraId="473E94B6" w14:textId="411EFC2B" w:rsidR="00C20568" w:rsidRPr="00740FD0" w:rsidRDefault="00C20568" w:rsidP="00C20568">
      <w:pPr>
        <w:pStyle w:val="EndnoteText"/>
        <w:rPr>
          <w:sz w:val="18"/>
          <w:szCs w:val="18"/>
        </w:rPr>
      </w:pPr>
      <w:r w:rsidRPr="00740FD0">
        <w:rPr>
          <w:rStyle w:val="EndnoteReference"/>
          <w:sz w:val="18"/>
          <w:szCs w:val="18"/>
        </w:rPr>
        <w:endnoteRef/>
      </w:r>
      <w:r w:rsidRPr="00740FD0">
        <w:rPr>
          <w:sz w:val="18"/>
          <w:szCs w:val="18"/>
        </w:rPr>
        <w:t xml:space="preserve"> </w:t>
      </w:r>
      <w:r w:rsidR="00B125E8" w:rsidRPr="00740FD0">
        <w:rPr>
          <w:sz w:val="18"/>
          <w:szCs w:val="18"/>
        </w:rPr>
        <w:t xml:space="preserve">American Law Institute, </w:t>
      </w:r>
      <w:r w:rsidR="00B125E8" w:rsidRPr="00740FD0">
        <w:rPr>
          <w:i/>
          <w:iCs/>
          <w:sz w:val="18"/>
          <w:szCs w:val="18"/>
        </w:rPr>
        <w:t xml:space="preserve">Restatement of the Law, Consumer Contracts </w:t>
      </w:r>
      <w:r w:rsidR="00B125E8" w:rsidRPr="00740FD0">
        <w:rPr>
          <w:sz w:val="18"/>
          <w:szCs w:val="18"/>
        </w:rPr>
        <w:t>(tentative draft no. 2, as published, 2022), at 91.</w:t>
      </w:r>
    </w:p>
  </w:endnote>
  <w:endnote w:id="258">
    <w:p w14:paraId="46DBD964" w14:textId="20021C46" w:rsidR="00C20568" w:rsidRPr="00740FD0" w:rsidRDefault="00C20568" w:rsidP="00C20568">
      <w:pPr>
        <w:pStyle w:val="EndnoteText"/>
        <w:rPr>
          <w:sz w:val="18"/>
          <w:szCs w:val="18"/>
        </w:rPr>
      </w:pPr>
      <w:r w:rsidRPr="00740FD0">
        <w:rPr>
          <w:rStyle w:val="EndnoteReference"/>
          <w:sz w:val="18"/>
          <w:szCs w:val="18"/>
        </w:rPr>
        <w:endnoteRef/>
      </w:r>
      <w:r w:rsidRPr="00740FD0">
        <w:rPr>
          <w:sz w:val="18"/>
          <w:szCs w:val="18"/>
        </w:rPr>
        <w:t xml:space="preserve"> </w:t>
      </w:r>
      <w:r w:rsidR="00B125E8" w:rsidRPr="00740FD0">
        <w:rPr>
          <w:sz w:val="18"/>
          <w:szCs w:val="18"/>
        </w:rPr>
        <w:t xml:space="preserve">American Law Institute, </w:t>
      </w:r>
      <w:r w:rsidR="00B125E8" w:rsidRPr="00740FD0">
        <w:rPr>
          <w:i/>
          <w:iCs/>
          <w:sz w:val="18"/>
          <w:szCs w:val="18"/>
        </w:rPr>
        <w:t xml:space="preserve">Restatement of the Law, Consumer Contracts </w:t>
      </w:r>
      <w:r w:rsidR="00B125E8" w:rsidRPr="00740FD0">
        <w:rPr>
          <w:sz w:val="18"/>
          <w:szCs w:val="18"/>
        </w:rPr>
        <w:t>(tentative draft no. 2, as published, 2022), at 137</w:t>
      </w:r>
      <w:r w:rsidRPr="00740FD0">
        <w:rPr>
          <w:sz w:val="18"/>
          <w:szCs w:val="18"/>
        </w:rPr>
        <w:t>: a term does not stand as a “final expression of the [consumer] agreement” if the term “contradicts, unreasonably limits of fails to give the reasonable expected effect to a prior affirmation of fact or promise by the business.”</w:t>
      </w:r>
    </w:p>
  </w:endnote>
  <w:endnote w:id="259">
    <w:p w14:paraId="7B2FB1E8" w14:textId="18839A12" w:rsidR="00C20568" w:rsidRPr="00740FD0" w:rsidRDefault="00C20568" w:rsidP="00C20568">
      <w:pPr>
        <w:pStyle w:val="EndnoteText"/>
        <w:rPr>
          <w:sz w:val="18"/>
          <w:szCs w:val="18"/>
        </w:rPr>
      </w:pPr>
      <w:r w:rsidRPr="00740FD0">
        <w:rPr>
          <w:rStyle w:val="EndnoteReference"/>
          <w:sz w:val="18"/>
          <w:szCs w:val="18"/>
        </w:rPr>
        <w:endnoteRef/>
      </w:r>
      <w:r w:rsidRPr="00740FD0">
        <w:rPr>
          <w:sz w:val="18"/>
          <w:szCs w:val="18"/>
        </w:rPr>
        <w:t xml:space="preserve"> </w:t>
      </w:r>
      <w:r w:rsidR="00B125E8" w:rsidRPr="00740FD0">
        <w:rPr>
          <w:sz w:val="18"/>
          <w:szCs w:val="18"/>
        </w:rPr>
        <w:t xml:space="preserve">American Law Institute, </w:t>
      </w:r>
      <w:r w:rsidR="00B125E8" w:rsidRPr="00740FD0">
        <w:rPr>
          <w:i/>
          <w:iCs/>
          <w:sz w:val="18"/>
          <w:szCs w:val="18"/>
        </w:rPr>
        <w:t xml:space="preserve">Restatement of the Law, Consumer Contracts </w:t>
      </w:r>
      <w:r w:rsidR="00B125E8" w:rsidRPr="00740FD0">
        <w:rPr>
          <w:sz w:val="18"/>
          <w:szCs w:val="18"/>
        </w:rPr>
        <w:t xml:space="preserve">(tentative draft no. 2, as published, 2022), at </w:t>
      </w:r>
      <w:r w:rsidRPr="00740FD0">
        <w:rPr>
          <w:sz w:val="18"/>
          <w:szCs w:val="18"/>
        </w:rPr>
        <w:t>137-138</w:t>
      </w:r>
      <w:r w:rsidR="00B125E8" w:rsidRPr="00740FD0">
        <w:rPr>
          <w:sz w:val="18"/>
          <w:szCs w:val="18"/>
        </w:rPr>
        <w:t>.</w:t>
      </w:r>
    </w:p>
  </w:endnote>
  <w:endnote w:id="260">
    <w:p w14:paraId="353E190B" w14:textId="54DB64BF" w:rsidR="00323713" w:rsidRPr="00740FD0" w:rsidRDefault="00323713" w:rsidP="00323713">
      <w:pPr>
        <w:pStyle w:val="EndnoteText"/>
        <w:rPr>
          <w:sz w:val="18"/>
          <w:szCs w:val="18"/>
        </w:rPr>
      </w:pPr>
      <w:r w:rsidRPr="00740FD0">
        <w:rPr>
          <w:rStyle w:val="EndnoteReference"/>
          <w:sz w:val="18"/>
          <w:szCs w:val="18"/>
        </w:rPr>
        <w:endnoteRef/>
      </w:r>
      <w:r w:rsidRPr="00740FD0">
        <w:rPr>
          <w:sz w:val="18"/>
          <w:szCs w:val="18"/>
        </w:rPr>
        <w:t xml:space="preserve"> </w:t>
      </w:r>
      <w:r w:rsidR="00B125E8" w:rsidRPr="00740FD0">
        <w:rPr>
          <w:i/>
          <w:iCs/>
          <w:sz w:val="18"/>
          <w:szCs w:val="18"/>
        </w:rPr>
        <w:t>Working for Workers Act, 2022, S.O. 2022, c. 7 - Bill 88</w:t>
      </w:r>
      <w:r w:rsidR="00B125E8" w:rsidRPr="00740FD0">
        <w:rPr>
          <w:sz w:val="18"/>
          <w:szCs w:val="18"/>
        </w:rPr>
        <w:t xml:space="preserve">, enacting as schedule 1 the </w:t>
      </w:r>
      <w:r w:rsidR="00B125E8" w:rsidRPr="00740FD0">
        <w:rPr>
          <w:i/>
          <w:iCs/>
          <w:sz w:val="18"/>
          <w:szCs w:val="18"/>
        </w:rPr>
        <w:t>Digital Platform Workers’ Rights Act, 2022</w:t>
      </w:r>
      <w:r w:rsidR="00B125E8" w:rsidRPr="00740FD0">
        <w:rPr>
          <w:sz w:val="18"/>
          <w:szCs w:val="18"/>
        </w:rPr>
        <w:t xml:space="preserve">, online: </w:t>
      </w:r>
      <w:hyperlink r:id="rId229" w:history="1">
        <w:r w:rsidR="00B125E8" w:rsidRPr="00740FD0">
          <w:rPr>
            <w:rStyle w:val="Hyperlink"/>
            <w:sz w:val="18"/>
            <w:szCs w:val="18"/>
          </w:rPr>
          <w:t>https://www.ontario.ca/laws/statute/s22007</w:t>
        </w:r>
      </w:hyperlink>
      <w:r w:rsidR="00B125E8" w:rsidRPr="00740FD0">
        <w:rPr>
          <w:sz w:val="18"/>
          <w:szCs w:val="18"/>
        </w:rPr>
        <w:t xml:space="preserve"> at </w:t>
      </w:r>
      <w:r w:rsidRPr="00740FD0">
        <w:rPr>
          <w:sz w:val="18"/>
          <w:szCs w:val="18"/>
        </w:rPr>
        <w:t>s. 7.</w:t>
      </w:r>
    </w:p>
  </w:endnote>
  <w:endnote w:id="261">
    <w:p w14:paraId="2A5390A4" w14:textId="781F4AF0" w:rsidR="00323713" w:rsidRPr="00740FD0" w:rsidRDefault="00323713" w:rsidP="00323713">
      <w:pPr>
        <w:pStyle w:val="EndnoteText"/>
        <w:rPr>
          <w:sz w:val="18"/>
          <w:szCs w:val="18"/>
        </w:rPr>
      </w:pPr>
      <w:r w:rsidRPr="00740FD0">
        <w:rPr>
          <w:rStyle w:val="EndnoteReference"/>
          <w:sz w:val="18"/>
          <w:szCs w:val="18"/>
        </w:rPr>
        <w:endnoteRef/>
      </w:r>
      <w:r w:rsidRPr="00740FD0">
        <w:rPr>
          <w:sz w:val="18"/>
          <w:szCs w:val="18"/>
        </w:rPr>
        <w:t xml:space="preserve"> </w:t>
      </w:r>
      <w:r w:rsidR="00B125E8" w:rsidRPr="00740FD0">
        <w:rPr>
          <w:i/>
          <w:iCs/>
          <w:sz w:val="18"/>
          <w:szCs w:val="18"/>
        </w:rPr>
        <w:t>Working for Workers Act, 2022, S.O. 2022, c. 7 - Bill 88</w:t>
      </w:r>
      <w:r w:rsidR="00B125E8" w:rsidRPr="00740FD0">
        <w:rPr>
          <w:sz w:val="18"/>
          <w:szCs w:val="18"/>
        </w:rPr>
        <w:t xml:space="preserve">, enacting as schedule 1 the </w:t>
      </w:r>
      <w:r w:rsidR="00B125E8" w:rsidRPr="00740FD0">
        <w:rPr>
          <w:i/>
          <w:iCs/>
          <w:sz w:val="18"/>
          <w:szCs w:val="18"/>
        </w:rPr>
        <w:t>Digital Platform Workers’ Rights Act, 2022</w:t>
      </w:r>
      <w:r w:rsidR="00B125E8" w:rsidRPr="00740FD0">
        <w:rPr>
          <w:sz w:val="18"/>
          <w:szCs w:val="18"/>
        </w:rPr>
        <w:t xml:space="preserve">, online: </w:t>
      </w:r>
      <w:hyperlink r:id="rId230" w:history="1">
        <w:r w:rsidR="00B125E8" w:rsidRPr="00740FD0">
          <w:rPr>
            <w:rStyle w:val="Hyperlink"/>
            <w:sz w:val="18"/>
            <w:szCs w:val="18"/>
          </w:rPr>
          <w:t>https://www.ontario.ca/laws/statute/s22007</w:t>
        </w:r>
      </w:hyperlink>
      <w:r w:rsidR="00B125E8" w:rsidRPr="00740FD0">
        <w:rPr>
          <w:sz w:val="18"/>
          <w:szCs w:val="18"/>
        </w:rPr>
        <w:t xml:space="preserve"> at </w:t>
      </w:r>
      <w:r w:rsidRPr="00740FD0">
        <w:rPr>
          <w:sz w:val="18"/>
          <w:szCs w:val="18"/>
        </w:rPr>
        <w:t xml:space="preserve">s. 7. </w:t>
      </w:r>
    </w:p>
  </w:endnote>
  <w:endnote w:id="262">
    <w:p w14:paraId="346A345B" w14:textId="6CBDD8BB" w:rsidR="004F2385" w:rsidRPr="00740FD0" w:rsidRDefault="004F2385" w:rsidP="004F2385">
      <w:pPr>
        <w:pStyle w:val="EndnoteText"/>
        <w:rPr>
          <w:sz w:val="18"/>
          <w:szCs w:val="18"/>
        </w:rPr>
      </w:pPr>
      <w:r w:rsidRPr="00740FD0">
        <w:rPr>
          <w:rStyle w:val="EndnoteReference"/>
          <w:sz w:val="18"/>
          <w:szCs w:val="18"/>
        </w:rPr>
        <w:endnoteRef/>
      </w:r>
      <w:r w:rsidRPr="00740FD0">
        <w:rPr>
          <w:sz w:val="18"/>
          <w:szCs w:val="18"/>
        </w:rPr>
        <w:t xml:space="preserve"> See</w:t>
      </w:r>
      <w:r w:rsidR="00B125E8" w:rsidRPr="00740FD0">
        <w:rPr>
          <w:sz w:val="18"/>
          <w:szCs w:val="18"/>
        </w:rPr>
        <w:t xml:space="preserve"> European Commission, “A Europe fit for the digital age: new online rules for users” </w:t>
      </w:r>
      <w:r w:rsidRPr="00740FD0">
        <w:rPr>
          <w:sz w:val="18"/>
          <w:szCs w:val="18"/>
        </w:rPr>
        <w:t xml:space="preserve"> </w:t>
      </w:r>
      <w:hyperlink r:id="rId231" w:history="1">
        <w:r w:rsidRPr="00740FD0">
          <w:rPr>
            <w:rStyle w:val="Hyperlink"/>
            <w:sz w:val="18"/>
            <w:szCs w:val="18"/>
          </w:rPr>
          <w:t>https://ec.europa.eu/info/strategy/priorities-2019-2024/europe-fit-digital-age/digital-services-act-ensuring-safe-and-accountable-online-environment/europe-fit-digital-age-new-online-rules-users_en</w:t>
        </w:r>
      </w:hyperlink>
      <w:r w:rsidRPr="00740FD0">
        <w:rPr>
          <w:sz w:val="18"/>
          <w:szCs w:val="18"/>
        </w:rPr>
        <w:t xml:space="preserve">. </w:t>
      </w:r>
    </w:p>
  </w:endnote>
  <w:endnote w:id="263">
    <w:p w14:paraId="3B9CE66D" w14:textId="4CB95CE9" w:rsidR="00426CDE" w:rsidRPr="00740FD0" w:rsidRDefault="00426CDE" w:rsidP="00426CDE">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Ontario, </w:t>
      </w:r>
      <w:r w:rsidR="006C183D" w:rsidRPr="00740FD0">
        <w:rPr>
          <w:i/>
          <w:iCs/>
          <w:sz w:val="18"/>
          <w:szCs w:val="18"/>
        </w:rPr>
        <w:t xml:space="preserve">Modernizing Consumer Protection in Ontario Strengthening the Consumer Protection Act </w:t>
      </w:r>
      <w:r w:rsidR="006C183D" w:rsidRPr="00740FD0">
        <w:rPr>
          <w:sz w:val="18"/>
          <w:szCs w:val="18"/>
        </w:rPr>
        <w:t xml:space="preserve">(Ministry of Public and Business Service Delivery, February 2023) at 6, online: </w:t>
      </w:r>
      <w:hyperlink r:id="rId232" w:history="1">
        <w:r w:rsidR="006C183D" w:rsidRPr="00740FD0">
          <w:rPr>
            <w:rStyle w:val="Hyperlink"/>
            <w:sz w:val="18"/>
            <w:szCs w:val="18"/>
          </w:rPr>
          <w:t>https://www.ontariocanada.com/registry/view.do?postingId=43452&amp;language=en</w:t>
        </w:r>
      </w:hyperlink>
      <w:r w:rsidRPr="00740FD0">
        <w:rPr>
          <w:sz w:val="18"/>
          <w:szCs w:val="18"/>
        </w:rPr>
        <w:t>.</w:t>
      </w:r>
    </w:p>
  </w:endnote>
  <w:endnote w:id="264">
    <w:p w14:paraId="0D40BBDE" w14:textId="028D4CE1" w:rsidR="00426CDE" w:rsidRPr="00740FD0" w:rsidRDefault="00426CDE" w:rsidP="00426CDE">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Ontario, </w:t>
      </w:r>
      <w:r w:rsidR="006C183D" w:rsidRPr="00740FD0">
        <w:rPr>
          <w:i/>
          <w:iCs/>
          <w:sz w:val="18"/>
          <w:szCs w:val="18"/>
        </w:rPr>
        <w:t xml:space="preserve">Modernizing Consumer Protection in Ontario Strengthening the Consumer Protection Act </w:t>
      </w:r>
      <w:r w:rsidR="006C183D" w:rsidRPr="00740FD0">
        <w:rPr>
          <w:sz w:val="18"/>
          <w:szCs w:val="18"/>
        </w:rPr>
        <w:t xml:space="preserve">(Ministry of Public and Business Service Delivery, February 2023) at 6, online: </w:t>
      </w:r>
      <w:hyperlink r:id="rId233" w:history="1">
        <w:r w:rsidR="006C183D" w:rsidRPr="00740FD0">
          <w:rPr>
            <w:rStyle w:val="Hyperlink"/>
            <w:sz w:val="18"/>
            <w:szCs w:val="18"/>
          </w:rPr>
          <w:t>https://www.ontariocanada.com/registry/view.do?postingId=43452&amp;language=en</w:t>
        </w:r>
      </w:hyperlink>
      <w:r w:rsidRPr="00740FD0">
        <w:rPr>
          <w:sz w:val="18"/>
          <w:szCs w:val="18"/>
        </w:rPr>
        <w:t>.</w:t>
      </w:r>
    </w:p>
  </w:endnote>
  <w:endnote w:id="265">
    <w:p w14:paraId="0773E614" w14:textId="1F5615AA" w:rsidR="00426CDE" w:rsidRPr="00740FD0" w:rsidRDefault="00426CDE" w:rsidP="00426CDE">
      <w:pPr>
        <w:pStyle w:val="EndnoteText"/>
        <w:rPr>
          <w:sz w:val="18"/>
          <w:szCs w:val="18"/>
        </w:rPr>
      </w:pPr>
      <w:r w:rsidRPr="00740FD0">
        <w:rPr>
          <w:rStyle w:val="EndnoteReference"/>
          <w:sz w:val="18"/>
          <w:szCs w:val="18"/>
        </w:rPr>
        <w:endnoteRef/>
      </w:r>
      <w:r w:rsidRPr="00740FD0">
        <w:rPr>
          <w:sz w:val="18"/>
          <w:szCs w:val="18"/>
        </w:rPr>
        <w:t xml:space="preserve"> </w:t>
      </w:r>
      <w:r w:rsidR="005C1FFA" w:rsidRPr="00740FD0">
        <w:rPr>
          <w:sz w:val="18"/>
          <w:szCs w:val="18"/>
        </w:rPr>
        <w:t>See section 7.3</w:t>
      </w:r>
      <w:r w:rsidR="006639E9" w:rsidRPr="00740FD0">
        <w:rPr>
          <w:sz w:val="18"/>
          <w:szCs w:val="18"/>
        </w:rPr>
        <w:t xml:space="preserve"> “</w:t>
      </w:r>
      <w:r w:rsidR="005C1FFA" w:rsidRPr="00740FD0">
        <w:rPr>
          <w:sz w:val="18"/>
          <w:szCs w:val="18"/>
        </w:rPr>
        <w:t>Criticisms of Notice and Disclosure Regimes.</w:t>
      </w:r>
      <w:r w:rsidR="006639E9" w:rsidRPr="00740FD0">
        <w:rPr>
          <w:sz w:val="18"/>
          <w:szCs w:val="18"/>
        </w:rPr>
        <w:t>”</w:t>
      </w:r>
    </w:p>
  </w:endnote>
  <w:endnote w:id="266">
    <w:p w14:paraId="30D1CD77" w14:textId="7483CD4D" w:rsidR="00B76469" w:rsidRPr="00740FD0" w:rsidRDefault="00B76469" w:rsidP="00B76469">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Organization for Economic Cooperation and Development, </w:t>
      </w:r>
      <w:r w:rsidR="006C183D" w:rsidRPr="00740FD0">
        <w:rPr>
          <w:i/>
          <w:iCs/>
          <w:sz w:val="18"/>
          <w:szCs w:val="18"/>
        </w:rPr>
        <w:t xml:space="preserve">Dark Commercial Patterns </w:t>
      </w:r>
      <w:r w:rsidR="006C183D" w:rsidRPr="00740FD0">
        <w:rPr>
          <w:sz w:val="18"/>
          <w:szCs w:val="18"/>
        </w:rPr>
        <w:t xml:space="preserve">(October 2022), at 16, online: </w:t>
      </w:r>
      <w:hyperlink r:id="rId234" w:history="1">
        <w:r w:rsidR="006C183D" w:rsidRPr="00740FD0">
          <w:rPr>
            <w:rStyle w:val="Hyperlink"/>
            <w:sz w:val="18"/>
            <w:szCs w:val="18"/>
          </w:rPr>
          <w:t>https://www.oecd.org/digital/dark-commercial-patterns-44f5e846-en.htm</w:t>
        </w:r>
      </w:hyperlink>
      <w:r w:rsidRPr="00740FD0">
        <w:rPr>
          <w:sz w:val="18"/>
          <w:szCs w:val="18"/>
        </w:rPr>
        <w:t>.</w:t>
      </w:r>
    </w:p>
  </w:endnote>
  <w:endnote w:id="267">
    <w:p w14:paraId="7BC40E4A" w14:textId="3BF8EB66" w:rsidR="00B76469" w:rsidRPr="00740FD0" w:rsidRDefault="00B76469" w:rsidP="00B76469">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Organization for Economic Cooperation and Development, </w:t>
      </w:r>
      <w:r w:rsidR="006C183D" w:rsidRPr="00740FD0">
        <w:rPr>
          <w:i/>
          <w:iCs/>
          <w:sz w:val="18"/>
          <w:szCs w:val="18"/>
        </w:rPr>
        <w:t xml:space="preserve">Dark Commercial Patterns </w:t>
      </w:r>
      <w:r w:rsidR="006C183D" w:rsidRPr="00740FD0">
        <w:rPr>
          <w:sz w:val="18"/>
          <w:szCs w:val="18"/>
        </w:rPr>
        <w:t xml:space="preserve">(October 2022), at 39, online: </w:t>
      </w:r>
      <w:hyperlink r:id="rId235" w:history="1">
        <w:r w:rsidR="006C183D" w:rsidRPr="00740FD0">
          <w:rPr>
            <w:rStyle w:val="Hyperlink"/>
            <w:sz w:val="18"/>
            <w:szCs w:val="18"/>
          </w:rPr>
          <w:t>https://www.oecd.org/digital/dark-commercial-patterns-44f5e846-en.htm</w:t>
        </w:r>
      </w:hyperlink>
      <w:r w:rsidRPr="00740FD0">
        <w:rPr>
          <w:sz w:val="18"/>
          <w:szCs w:val="18"/>
        </w:rPr>
        <w:t>.</w:t>
      </w:r>
    </w:p>
  </w:endnote>
  <w:endnote w:id="268">
    <w:p w14:paraId="2B6538B3" w14:textId="23240FFA" w:rsidR="00B76469" w:rsidRPr="00740FD0" w:rsidRDefault="00B76469" w:rsidP="00B76469">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Organization for Economic Cooperation and Development, </w:t>
      </w:r>
      <w:r w:rsidR="006C183D" w:rsidRPr="00740FD0">
        <w:rPr>
          <w:i/>
          <w:iCs/>
          <w:sz w:val="18"/>
          <w:szCs w:val="18"/>
        </w:rPr>
        <w:t xml:space="preserve">Dark Commercial Patterns </w:t>
      </w:r>
      <w:r w:rsidR="006C183D" w:rsidRPr="00740FD0">
        <w:rPr>
          <w:sz w:val="18"/>
          <w:szCs w:val="18"/>
        </w:rPr>
        <w:t xml:space="preserve">(October 2022), at 30, online: </w:t>
      </w:r>
      <w:hyperlink r:id="rId236" w:history="1">
        <w:r w:rsidR="006C183D" w:rsidRPr="00740FD0">
          <w:rPr>
            <w:rStyle w:val="Hyperlink"/>
            <w:sz w:val="18"/>
            <w:szCs w:val="18"/>
          </w:rPr>
          <w:t>https://www.oecd.org/digital/dark-commercial-patterns-44f5e846-en.htm</w:t>
        </w:r>
      </w:hyperlink>
      <w:r w:rsidRPr="00740FD0">
        <w:rPr>
          <w:sz w:val="18"/>
          <w:szCs w:val="18"/>
        </w:rPr>
        <w:t>.</w:t>
      </w:r>
    </w:p>
  </w:endnote>
  <w:endnote w:id="269">
    <w:p w14:paraId="3496F7CB" w14:textId="6CB094C6" w:rsidR="00B2333C" w:rsidRPr="00740FD0" w:rsidRDefault="00B2333C">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Organization for Economic Cooperation and Development, </w:t>
      </w:r>
      <w:r w:rsidR="006C183D" w:rsidRPr="00740FD0">
        <w:rPr>
          <w:i/>
          <w:iCs/>
          <w:sz w:val="18"/>
          <w:szCs w:val="18"/>
        </w:rPr>
        <w:t xml:space="preserve">Dark Commercial Patterns </w:t>
      </w:r>
      <w:r w:rsidR="006C183D" w:rsidRPr="00740FD0">
        <w:rPr>
          <w:sz w:val="18"/>
          <w:szCs w:val="18"/>
        </w:rPr>
        <w:t xml:space="preserve">(October 2022), at 31-32, online: </w:t>
      </w:r>
      <w:hyperlink r:id="rId237" w:history="1">
        <w:r w:rsidR="006C183D" w:rsidRPr="00740FD0">
          <w:rPr>
            <w:rStyle w:val="Hyperlink"/>
            <w:sz w:val="18"/>
            <w:szCs w:val="18"/>
          </w:rPr>
          <w:t>https://www.oecd.org/digital/dark-commercial-patterns-44f5e846-en.htm</w:t>
        </w:r>
      </w:hyperlink>
      <w:r w:rsidRPr="00740FD0">
        <w:rPr>
          <w:sz w:val="18"/>
          <w:szCs w:val="18"/>
        </w:rPr>
        <w:t>.</w:t>
      </w:r>
    </w:p>
  </w:endnote>
  <w:endnote w:id="270">
    <w:p w14:paraId="12718A99" w14:textId="2D058F2C" w:rsidR="005B3C08" w:rsidRPr="00740FD0" w:rsidRDefault="005B3C08" w:rsidP="005B3C08">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Organization for Economic Cooperation and Development, </w:t>
      </w:r>
      <w:r w:rsidR="006C183D" w:rsidRPr="00740FD0">
        <w:rPr>
          <w:i/>
          <w:iCs/>
          <w:sz w:val="18"/>
          <w:szCs w:val="18"/>
        </w:rPr>
        <w:t xml:space="preserve">Dark Commercial Patterns </w:t>
      </w:r>
      <w:r w:rsidR="006C183D" w:rsidRPr="00740FD0">
        <w:rPr>
          <w:sz w:val="18"/>
          <w:szCs w:val="18"/>
        </w:rPr>
        <w:t xml:space="preserve">(October 2022), at 31-32, online: </w:t>
      </w:r>
      <w:hyperlink r:id="rId238" w:history="1">
        <w:r w:rsidR="006C183D" w:rsidRPr="00740FD0">
          <w:rPr>
            <w:rStyle w:val="Hyperlink"/>
            <w:sz w:val="18"/>
            <w:szCs w:val="18"/>
          </w:rPr>
          <w:t>https://www.oecd.org/digital/dark-commercial-patterns-44f5e846-en.htm</w:t>
        </w:r>
      </w:hyperlink>
      <w:r w:rsidRPr="00740FD0">
        <w:rPr>
          <w:sz w:val="18"/>
          <w:szCs w:val="18"/>
        </w:rPr>
        <w:t>.</w:t>
      </w:r>
    </w:p>
  </w:endnote>
  <w:endnote w:id="271">
    <w:p w14:paraId="68DCCB41" w14:textId="0A90EE4A" w:rsidR="000C442B" w:rsidRPr="00740FD0" w:rsidRDefault="000C442B" w:rsidP="000C442B">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Organization for Economic Cooperation and Development, </w:t>
      </w:r>
      <w:r w:rsidR="006C183D" w:rsidRPr="00740FD0">
        <w:rPr>
          <w:i/>
          <w:iCs/>
          <w:sz w:val="18"/>
          <w:szCs w:val="18"/>
        </w:rPr>
        <w:t xml:space="preserve">Dark Commercial Patterns </w:t>
      </w:r>
      <w:r w:rsidR="006C183D" w:rsidRPr="00740FD0">
        <w:rPr>
          <w:sz w:val="18"/>
          <w:szCs w:val="18"/>
        </w:rPr>
        <w:t xml:space="preserve">(October 2022), at 31-32, online: </w:t>
      </w:r>
      <w:hyperlink r:id="rId239" w:history="1">
        <w:r w:rsidR="006C183D" w:rsidRPr="00740FD0">
          <w:rPr>
            <w:rStyle w:val="Hyperlink"/>
            <w:sz w:val="18"/>
            <w:szCs w:val="18"/>
          </w:rPr>
          <w:t>https://www.oecd.org/digital/dark-commercial-patterns-44f5e846-en.htm</w:t>
        </w:r>
      </w:hyperlink>
      <w:r w:rsidRPr="00740FD0">
        <w:rPr>
          <w:sz w:val="18"/>
          <w:szCs w:val="18"/>
        </w:rPr>
        <w:t xml:space="preserve">, citing </w:t>
      </w:r>
      <w:r w:rsidR="006C183D" w:rsidRPr="00740FD0">
        <w:rPr>
          <w:sz w:val="18"/>
          <w:szCs w:val="18"/>
        </w:rPr>
        <w:t xml:space="preserve">European Commission, Directorate-General for Justice and Consumers, </w:t>
      </w:r>
      <w:r w:rsidR="006C183D" w:rsidRPr="00740FD0">
        <w:rPr>
          <w:sz w:val="18"/>
          <w:szCs w:val="18"/>
        </w:rPr>
        <w:t xml:space="preserve">Lupiáñez-Villanueva, F., Boluda, A., Bogliacino, F., et al., </w:t>
      </w:r>
      <w:r w:rsidR="006C183D" w:rsidRPr="00740FD0">
        <w:rPr>
          <w:i/>
          <w:iCs/>
          <w:sz w:val="18"/>
          <w:szCs w:val="18"/>
        </w:rPr>
        <w:t>Behavioural study on unfair commercial practices in the digital environment : dark patterns and manipulative personalisation : final report</w:t>
      </w:r>
      <w:r w:rsidR="006C183D" w:rsidRPr="00740FD0">
        <w:rPr>
          <w:sz w:val="18"/>
          <w:szCs w:val="18"/>
        </w:rPr>
        <w:t xml:space="preserve"> (Publications Office of the European Union, 2022), online: </w:t>
      </w:r>
      <w:hyperlink r:id="rId240" w:history="1">
        <w:r w:rsidR="006C183D" w:rsidRPr="00740FD0">
          <w:rPr>
            <w:rStyle w:val="Hyperlink"/>
            <w:sz w:val="18"/>
            <w:szCs w:val="18"/>
          </w:rPr>
          <w:t>https://data.europa.eu/doi/10.2838/859030</w:t>
        </w:r>
      </w:hyperlink>
      <w:r w:rsidR="006C183D" w:rsidRPr="00740FD0">
        <w:rPr>
          <w:sz w:val="18"/>
          <w:szCs w:val="18"/>
        </w:rPr>
        <w:t>.</w:t>
      </w:r>
    </w:p>
  </w:endnote>
  <w:endnote w:id="272">
    <w:p w14:paraId="12CC9F3C" w14:textId="44B4DCEB" w:rsidR="000C442B" w:rsidRPr="00740FD0" w:rsidRDefault="000C442B">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Organization for Economic Cooperation and Development, </w:t>
      </w:r>
      <w:r w:rsidR="006C183D" w:rsidRPr="00740FD0">
        <w:rPr>
          <w:i/>
          <w:iCs/>
          <w:sz w:val="18"/>
          <w:szCs w:val="18"/>
        </w:rPr>
        <w:t xml:space="preserve">Dark Commercial Patterns </w:t>
      </w:r>
      <w:r w:rsidR="006C183D" w:rsidRPr="00740FD0">
        <w:rPr>
          <w:sz w:val="18"/>
          <w:szCs w:val="18"/>
        </w:rPr>
        <w:t xml:space="preserve">(October 2022), at 31-32, online: </w:t>
      </w:r>
      <w:hyperlink r:id="rId241" w:history="1">
        <w:r w:rsidR="006C183D" w:rsidRPr="00740FD0">
          <w:rPr>
            <w:rStyle w:val="Hyperlink"/>
            <w:sz w:val="18"/>
            <w:szCs w:val="18"/>
          </w:rPr>
          <w:t>https://www.oecd.org/digital/dark-commercial-patterns-44f5e846-en.htm</w:t>
        </w:r>
      </w:hyperlink>
      <w:r w:rsidRPr="00740FD0">
        <w:rPr>
          <w:sz w:val="18"/>
          <w:szCs w:val="18"/>
        </w:rPr>
        <w:t>.</w:t>
      </w:r>
    </w:p>
  </w:endnote>
  <w:endnote w:id="273">
    <w:p w14:paraId="1B15DAE5" w14:textId="3A38D565" w:rsidR="000D4A94" w:rsidRPr="00740FD0" w:rsidRDefault="000D4A94" w:rsidP="000D4A94">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Organization for Economic Cooperation and Development, </w:t>
      </w:r>
      <w:r w:rsidR="006C183D" w:rsidRPr="00740FD0">
        <w:rPr>
          <w:i/>
          <w:iCs/>
          <w:sz w:val="18"/>
          <w:szCs w:val="18"/>
        </w:rPr>
        <w:t xml:space="preserve">Dark Commercial Patterns </w:t>
      </w:r>
      <w:r w:rsidR="006C183D" w:rsidRPr="00740FD0">
        <w:rPr>
          <w:sz w:val="18"/>
          <w:szCs w:val="18"/>
        </w:rPr>
        <w:t xml:space="preserve">(October 2022), at 31-32, online: </w:t>
      </w:r>
      <w:hyperlink r:id="rId242" w:history="1">
        <w:r w:rsidR="006C183D" w:rsidRPr="00740FD0">
          <w:rPr>
            <w:rStyle w:val="Hyperlink"/>
            <w:sz w:val="18"/>
            <w:szCs w:val="18"/>
          </w:rPr>
          <w:t>https://www.oecd.org/digital/dark-commercial-patterns-44f5e846-en.htm</w:t>
        </w:r>
      </w:hyperlink>
      <w:r w:rsidRPr="00740FD0">
        <w:rPr>
          <w:sz w:val="18"/>
          <w:szCs w:val="18"/>
        </w:rPr>
        <w:t>.</w:t>
      </w:r>
    </w:p>
  </w:endnote>
  <w:endnote w:id="274">
    <w:p w14:paraId="041DC27F" w14:textId="43569ED0" w:rsidR="000D4A94" w:rsidRPr="00740FD0" w:rsidRDefault="000D4A94" w:rsidP="000D4A94">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Organization for Economic Cooperation and Development, </w:t>
      </w:r>
      <w:r w:rsidR="006C183D" w:rsidRPr="00740FD0">
        <w:rPr>
          <w:i/>
          <w:iCs/>
          <w:sz w:val="18"/>
          <w:szCs w:val="18"/>
        </w:rPr>
        <w:t xml:space="preserve">Dark Commercial Patterns </w:t>
      </w:r>
      <w:r w:rsidR="006C183D" w:rsidRPr="00740FD0">
        <w:rPr>
          <w:sz w:val="18"/>
          <w:szCs w:val="18"/>
        </w:rPr>
        <w:t xml:space="preserve">(October 2022), at 31-32, online: </w:t>
      </w:r>
      <w:hyperlink r:id="rId243" w:history="1">
        <w:r w:rsidR="006C183D" w:rsidRPr="00740FD0">
          <w:rPr>
            <w:rStyle w:val="Hyperlink"/>
            <w:sz w:val="18"/>
            <w:szCs w:val="18"/>
          </w:rPr>
          <w:t>https://www.oecd.org/digital/dark-commercial-patterns-44f5e846-en.htm</w:t>
        </w:r>
      </w:hyperlink>
      <w:r w:rsidRPr="00740FD0">
        <w:rPr>
          <w:sz w:val="18"/>
          <w:szCs w:val="18"/>
        </w:rPr>
        <w:t xml:space="preserve">. Annex F </w:t>
      </w:r>
      <w:r w:rsidR="006C183D" w:rsidRPr="00740FD0">
        <w:rPr>
          <w:sz w:val="18"/>
          <w:szCs w:val="18"/>
        </w:rPr>
        <w:t>to</w:t>
      </w:r>
      <w:r w:rsidRPr="00740FD0">
        <w:rPr>
          <w:sz w:val="18"/>
          <w:szCs w:val="18"/>
        </w:rPr>
        <w:t xml:space="preserve"> this document lists several other dark pattern practices and their correspondence to various EU legislation.</w:t>
      </w:r>
    </w:p>
  </w:endnote>
  <w:endnote w:id="275">
    <w:p w14:paraId="401812EA" w14:textId="783AA8A0" w:rsidR="00AB3303" w:rsidRPr="00740FD0" w:rsidRDefault="00AB3303" w:rsidP="00AB3303">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Organization for Economic Cooperation and Development, </w:t>
      </w:r>
      <w:r w:rsidR="006C183D" w:rsidRPr="00740FD0">
        <w:rPr>
          <w:i/>
          <w:iCs/>
          <w:sz w:val="18"/>
          <w:szCs w:val="18"/>
        </w:rPr>
        <w:t xml:space="preserve">Dark Commercial Patterns </w:t>
      </w:r>
      <w:r w:rsidR="006C183D" w:rsidRPr="00740FD0">
        <w:rPr>
          <w:sz w:val="18"/>
          <w:szCs w:val="18"/>
        </w:rPr>
        <w:t xml:space="preserve">(October 2022), at 31-32, online: </w:t>
      </w:r>
      <w:hyperlink r:id="rId244" w:history="1">
        <w:r w:rsidR="006C183D" w:rsidRPr="00740FD0">
          <w:rPr>
            <w:rStyle w:val="Hyperlink"/>
            <w:sz w:val="18"/>
            <w:szCs w:val="18"/>
          </w:rPr>
          <w:t>https://www.oecd.org/digital/dark-commercial-patterns-44f5e846-en.htm</w:t>
        </w:r>
      </w:hyperlink>
      <w:r w:rsidR="006C183D" w:rsidRPr="00740FD0">
        <w:rPr>
          <w:sz w:val="18"/>
          <w:szCs w:val="18"/>
        </w:rPr>
        <w:t>, c</w:t>
      </w:r>
      <w:r w:rsidRPr="00740FD0">
        <w:rPr>
          <w:sz w:val="18"/>
          <w:szCs w:val="18"/>
        </w:rPr>
        <w:t xml:space="preserve">iting </w:t>
      </w:r>
      <w:r w:rsidRPr="00740FD0">
        <w:rPr>
          <w:i/>
          <w:iCs/>
          <w:sz w:val="18"/>
          <w:szCs w:val="18"/>
        </w:rPr>
        <w:t>FTC Act</w:t>
      </w:r>
      <w:r w:rsidRPr="00740FD0">
        <w:rPr>
          <w:sz w:val="18"/>
          <w:szCs w:val="18"/>
        </w:rPr>
        <w:t>, 15 U.S.C. § 45</w:t>
      </w:r>
      <w:r w:rsidR="006639E9" w:rsidRPr="00740FD0">
        <w:rPr>
          <w:sz w:val="18"/>
          <w:szCs w:val="18"/>
        </w:rPr>
        <w:t>.</w:t>
      </w:r>
    </w:p>
  </w:endnote>
  <w:endnote w:id="276">
    <w:p w14:paraId="24C95AF8" w14:textId="5E8A6B21" w:rsidR="00C45710" w:rsidRPr="00740FD0" w:rsidRDefault="00C45710">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Organization for Economic Cooperation and Development, </w:t>
      </w:r>
      <w:r w:rsidR="006C183D" w:rsidRPr="00740FD0">
        <w:rPr>
          <w:i/>
          <w:iCs/>
          <w:sz w:val="18"/>
          <w:szCs w:val="18"/>
        </w:rPr>
        <w:t xml:space="preserve">Dark Commercial Patterns </w:t>
      </w:r>
      <w:r w:rsidR="006C183D" w:rsidRPr="00740FD0">
        <w:rPr>
          <w:sz w:val="18"/>
          <w:szCs w:val="18"/>
        </w:rPr>
        <w:t xml:space="preserve">(October 2022), at 31-32, online: </w:t>
      </w:r>
      <w:hyperlink r:id="rId245" w:history="1">
        <w:r w:rsidR="006C183D" w:rsidRPr="00740FD0">
          <w:rPr>
            <w:rStyle w:val="Hyperlink"/>
            <w:sz w:val="18"/>
            <w:szCs w:val="18"/>
          </w:rPr>
          <w:t>https://www.oecd.org/digital/dark-commercial-patterns-44f5e846-en.htm</w:t>
        </w:r>
      </w:hyperlink>
    </w:p>
  </w:endnote>
  <w:endnote w:id="277">
    <w:p w14:paraId="2A6E83BF" w14:textId="5A4940F2" w:rsidR="006E3285" w:rsidRPr="00740FD0" w:rsidRDefault="006E3285">
      <w:pPr>
        <w:pStyle w:val="EndnoteText"/>
        <w:rPr>
          <w:sz w:val="18"/>
          <w:szCs w:val="18"/>
        </w:rPr>
      </w:pPr>
      <w:r w:rsidRPr="00740FD0">
        <w:rPr>
          <w:rStyle w:val="EndnoteReference"/>
          <w:sz w:val="18"/>
          <w:szCs w:val="18"/>
        </w:rPr>
        <w:endnoteRef/>
      </w:r>
      <w:r w:rsidR="009E0094" w:rsidRPr="00740FD0">
        <w:rPr>
          <w:sz w:val="18"/>
          <w:szCs w:val="18"/>
        </w:rPr>
        <w:t xml:space="preserve"> </w:t>
      </w:r>
      <w:r w:rsidR="006C183D" w:rsidRPr="00740FD0">
        <w:rPr>
          <w:sz w:val="18"/>
          <w:szCs w:val="18"/>
        </w:rPr>
        <w:t xml:space="preserve">Organization for Economic Cooperation and Development, </w:t>
      </w:r>
      <w:r w:rsidR="006C183D" w:rsidRPr="00740FD0">
        <w:rPr>
          <w:i/>
          <w:iCs/>
          <w:sz w:val="18"/>
          <w:szCs w:val="18"/>
        </w:rPr>
        <w:t xml:space="preserve">Dark Commercial Patterns </w:t>
      </w:r>
      <w:r w:rsidR="006C183D" w:rsidRPr="00740FD0">
        <w:rPr>
          <w:sz w:val="18"/>
          <w:szCs w:val="18"/>
        </w:rPr>
        <w:t xml:space="preserve">(October 2022), at 31-32, online: </w:t>
      </w:r>
      <w:hyperlink r:id="rId246" w:history="1">
        <w:r w:rsidR="006C183D" w:rsidRPr="00740FD0">
          <w:rPr>
            <w:rStyle w:val="Hyperlink"/>
            <w:sz w:val="18"/>
            <w:szCs w:val="18"/>
          </w:rPr>
          <w:t>https://www.oecd.org/digital/dark-commercial-patterns-44f5e846-en.htm</w:t>
        </w:r>
      </w:hyperlink>
      <w:r w:rsidRPr="00740FD0">
        <w:rPr>
          <w:sz w:val="18"/>
          <w:szCs w:val="18"/>
        </w:rPr>
        <w:t>, citing 16 CFR § 238; Restore Online Shoppers’ Confidence Act, 15 U.S.C. §§ 8401-8405)</w:t>
      </w:r>
      <w:r w:rsidR="00B04B11" w:rsidRPr="00740FD0">
        <w:rPr>
          <w:sz w:val="18"/>
          <w:szCs w:val="18"/>
        </w:rPr>
        <w:t xml:space="preserve">; </w:t>
      </w:r>
      <w:r w:rsidRPr="00740FD0">
        <w:rPr>
          <w:sz w:val="18"/>
          <w:szCs w:val="18"/>
        </w:rPr>
        <w:t>and CAN-SPAM Act, 15 U.S.C. § 7704(a).</w:t>
      </w:r>
    </w:p>
  </w:endnote>
  <w:endnote w:id="278">
    <w:p w14:paraId="05DF38C0" w14:textId="5122B68B" w:rsidR="004D3D3E" w:rsidRPr="00740FD0" w:rsidRDefault="004D3D3E">
      <w:pPr>
        <w:pStyle w:val="EndnoteText"/>
        <w:rPr>
          <w:sz w:val="18"/>
          <w:szCs w:val="18"/>
        </w:rPr>
      </w:pPr>
      <w:r w:rsidRPr="00740FD0">
        <w:rPr>
          <w:rStyle w:val="EndnoteReference"/>
          <w:sz w:val="18"/>
          <w:szCs w:val="18"/>
        </w:rPr>
        <w:endnoteRef/>
      </w:r>
      <w:r w:rsidRPr="00740FD0">
        <w:rPr>
          <w:sz w:val="18"/>
          <w:szCs w:val="18"/>
        </w:rPr>
        <w:t xml:space="preserve"> CPRA/ Cal. Civ. Code § 1798.140(l)).</w:t>
      </w:r>
    </w:p>
  </w:endnote>
  <w:endnote w:id="279">
    <w:p w14:paraId="4BBD5872" w14:textId="3ECB8EC0" w:rsidR="00D82F2E" w:rsidRPr="00740FD0" w:rsidRDefault="00D82F2E">
      <w:pPr>
        <w:pStyle w:val="EndnoteText"/>
        <w:rPr>
          <w:sz w:val="18"/>
          <w:szCs w:val="18"/>
        </w:rPr>
      </w:pPr>
      <w:r w:rsidRPr="00740FD0">
        <w:rPr>
          <w:rStyle w:val="EndnoteReference"/>
          <w:sz w:val="18"/>
          <w:szCs w:val="18"/>
        </w:rPr>
        <w:endnoteRef/>
      </w:r>
      <w:r w:rsidRPr="00740FD0">
        <w:rPr>
          <w:sz w:val="18"/>
          <w:szCs w:val="18"/>
        </w:rPr>
        <w:t xml:space="preserve"> </w:t>
      </w:r>
      <w:r w:rsidR="000B2457" w:rsidRPr="00740FD0">
        <w:rPr>
          <w:sz w:val="18"/>
          <w:szCs w:val="18"/>
        </w:rPr>
        <w:t>A helpful overview of</w:t>
      </w:r>
      <w:r w:rsidR="00E314EC" w:rsidRPr="00740FD0">
        <w:rPr>
          <w:sz w:val="18"/>
          <w:szCs w:val="18"/>
        </w:rPr>
        <w:t xml:space="preserve"> youth</w:t>
      </w:r>
      <w:r w:rsidR="000B2457" w:rsidRPr="00740FD0">
        <w:rPr>
          <w:sz w:val="18"/>
          <w:szCs w:val="18"/>
        </w:rPr>
        <w:t xml:space="preserve"> consent laws and contracting practices among the top 20 platforms used by adolescents is found in </w:t>
      </w:r>
      <w:r w:rsidR="000B2457" w:rsidRPr="00740FD0">
        <w:rPr>
          <w:sz w:val="18"/>
          <w:szCs w:val="18"/>
        </w:rPr>
        <w:t xml:space="preserve">Schneble CO, Favaretto M, Elger BS, Shaw DM, “Social Media Terms and Conditions and Informed Consent From Children: Ethical Analysis” (2021 JMIR Pediatrics and Parenting 4(2)), online </w:t>
      </w:r>
      <w:hyperlink r:id="rId247" w:history="1">
        <w:r w:rsidR="000B2457" w:rsidRPr="00740FD0">
          <w:rPr>
            <w:rStyle w:val="Hyperlink"/>
            <w:sz w:val="18"/>
            <w:szCs w:val="18"/>
          </w:rPr>
          <w:t>https://www.ncbi.nlm.nih.gov/pmc/articles/PMC8103294/</w:t>
        </w:r>
      </w:hyperlink>
      <w:r w:rsidR="000B2457" w:rsidRPr="00740FD0">
        <w:rPr>
          <w:sz w:val="18"/>
          <w:szCs w:val="18"/>
        </w:rPr>
        <w:t>.</w:t>
      </w:r>
    </w:p>
  </w:endnote>
  <w:endnote w:id="280">
    <w:p w14:paraId="0F8D5846" w14:textId="70E6DD99" w:rsidR="008D69C8" w:rsidRPr="00740FD0" w:rsidRDefault="008D69C8">
      <w:pPr>
        <w:pStyle w:val="EndnoteText"/>
        <w:rPr>
          <w:sz w:val="18"/>
          <w:szCs w:val="18"/>
        </w:rPr>
      </w:pPr>
      <w:r w:rsidRPr="00740FD0">
        <w:rPr>
          <w:rStyle w:val="EndnoteReference"/>
          <w:sz w:val="18"/>
          <w:szCs w:val="18"/>
        </w:rPr>
        <w:endnoteRef/>
      </w:r>
      <w:r w:rsidRPr="00740FD0">
        <w:rPr>
          <w:sz w:val="18"/>
          <w:szCs w:val="18"/>
        </w:rPr>
        <w:t xml:space="preserve"> </w:t>
      </w:r>
      <w:r w:rsidR="00E2523A" w:rsidRPr="00740FD0">
        <w:rPr>
          <w:sz w:val="18"/>
          <w:szCs w:val="18"/>
        </w:rPr>
        <w:t xml:space="preserve">Organization for Economic Cooperation and Development, </w:t>
      </w:r>
      <w:r w:rsidRPr="00740FD0">
        <w:rPr>
          <w:i/>
          <w:iCs/>
          <w:sz w:val="18"/>
          <w:szCs w:val="18"/>
        </w:rPr>
        <w:t>Challenges to Consumer Policy in the Digital Age</w:t>
      </w:r>
      <w:r w:rsidRPr="00740FD0">
        <w:rPr>
          <w:sz w:val="18"/>
          <w:szCs w:val="18"/>
        </w:rPr>
        <w:t xml:space="preserve"> </w:t>
      </w:r>
      <w:r w:rsidR="00E2523A" w:rsidRPr="00740FD0">
        <w:rPr>
          <w:sz w:val="18"/>
          <w:szCs w:val="18"/>
        </w:rPr>
        <w:t xml:space="preserve">(September 2019) at 32, online: </w:t>
      </w:r>
      <w:hyperlink r:id="rId248" w:history="1">
        <w:r w:rsidR="00E2523A" w:rsidRPr="00740FD0">
          <w:rPr>
            <w:rStyle w:val="Hyperlink"/>
            <w:sz w:val="18"/>
            <w:szCs w:val="18"/>
          </w:rPr>
          <w:t>https://www.oecd.org/digital/challenges-to-consumer-policy-in-the-digital-age.pdf</w:t>
        </w:r>
      </w:hyperlink>
      <w:r w:rsidR="00E2523A" w:rsidRPr="00740FD0">
        <w:rPr>
          <w:sz w:val="18"/>
          <w:szCs w:val="18"/>
        </w:rPr>
        <w:t>.</w:t>
      </w:r>
    </w:p>
  </w:endnote>
  <w:endnote w:id="281">
    <w:p w14:paraId="04F0B2D5" w14:textId="1DA32D50" w:rsidR="008D69C8" w:rsidRPr="00740FD0" w:rsidRDefault="008D69C8">
      <w:pPr>
        <w:pStyle w:val="EndnoteText"/>
        <w:rPr>
          <w:sz w:val="18"/>
          <w:szCs w:val="18"/>
        </w:rPr>
      </w:pPr>
      <w:r w:rsidRPr="00740FD0">
        <w:rPr>
          <w:rStyle w:val="EndnoteReference"/>
          <w:sz w:val="18"/>
          <w:szCs w:val="18"/>
        </w:rPr>
        <w:endnoteRef/>
      </w:r>
      <w:r w:rsidRPr="00740FD0">
        <w:rPr>
          <w:sz w:val="18"/>
          <w:szCs w:val="18"/>
        </w:rPr>
        <w:t xml:space="preserve"> </w:t>
      </w:r>
      <w:r w:rsidR="00E2523A" w:rsidRPr="00740FD0">
        <w:rPr>
          <w:sz w:val="18"/>
          <w:szCs w:val="18"/>
        </w:rPr>
        <w:t xml:space="preserve">Organization for Economic Cooperation and Development, </w:t>
      </w:r>
      <w:r w:rsidR="00E2523A" w:rsidRPr="00740FD0">
        <w:rPr>
          <w:i/>
          <w:iCs/>
          <w:sz w:val="18"/>
          <w:szCs w:val="18"/>
        </w:rPr>
        <w:t>Challenges to Consumer Policy in the Digital Age</w:t>
      </w:r>
      <w:r w:rsidR="00E2523A" w:rsidRPr="00740FD0">
        <w:rPr>
          <w:sz w:val="18"/>
          <w:szCs w:val="18"/>
        </w:rPr>
        <w:t xml:space="preserve"> (September 2019) at 32, online: </w:t>
      </w:r>
      <w:hyperlink r:id="rId249" w:history="1">
        <w:r w:rsidR="00E2523A" w:rsidRPr="00740FD0">
          <w:rPr>
            <w:rStyle w:val="Hyperlink"/>
            <w:sz w:val="18"/>
            <w:szCs w:val="18"/>
          </w:rPr>
          <w:t>https://www.oecd.org/digital/challenges-to-consumer-policy-in-the-digital-age.pdf</w:t>
        </w:r>
      </w:hyperlink>
      <w:r w:rsidR="00E2523A" w:rsidRPr="00740FD0">
        <w:rPr>
          <w:sz w:val="18"/>
          <w:szCs w:val="18"/>
        </w:rPr>
        <w:t>.</w:t>
      </w:r>
    </w:p>
  </w:endnote>
  <w:endnote w:id="282">
    <w:p w14:paraId="7F6E02B5" w14:textId="77777777" w:rsidR="00C950FD" w:rsidRPr="00740FD0" w:rsidRDefault="00C950FD" w:rsidP="00C950FD">
      <w:pPr>
        <w:pStyle w:val="EndnoteText"/>
        <w:rPr>
          <w:i/>
          <w:iCs/>
          <w:sz w:val="18"/>
          <w:szCs w:val="18"/>
          <w:lang w:val="en-US"/>
        </w:rPr>
      </w:pPr>
      <w:r w:rsidRPr="00740FD0">
        <w:rPr>
          <w:rStyle w:val="EndnoteReference"/>
          <w:sz w:val="18"/>
          <w:szCs w:val="18"/>
        </w:rPr>
        <w:endnoteRef/>
      </w:r>
      <w:r w:rsidRPr="00740FD0">
        <w:rPr>
          <w:sz w:val="18"/>
          <w:szCs w:val="18"/>
        </w:rPr>
        <w:t xml:space="preserve"> </w:t>
      </w:r>
      <w:r w:rsidRPr="00740FD0">
        <w:rPr>
          <w:sz w:val="18"/>
          <w:szCs w:val="18"/>
          <w:lang w:val="en-US"/>
        </w:rPr>
        <w:t>See U.S. National Center for Education Statistics, Program for the International Assessment of Adult Competencies,</w:t>
      </w:r>
      <w:r w:rsidRPr="00740FD0">
        <w:rPr>
          <w:sz w:val="18"/>
          <w:szCs w:val="18"/>
        </w:rPr>
        <w:t xml:space="preserve"> </w:t>
      </w:r>
      <w:r w:rsidRPr="00740FD0">
        <w:rPr>
          <w:i/>
          <w:iCs/>
          <w:sz w:val="18"/>
          <w:szCs w:val="18"/>
          <w:lang w:val="en-US"/>
        </w:rPr>
        <w:t>Highlights of PIAAC 2017 U.S. Results</w:t>
      </w:r>
      <w:r w:rsidRPr="00740FD0">
        <w:rPr>
          <w:sz w:val="18"/>
          <w:szCs w:val="18"/>
          <w:lang w:val="en-US"/>
        </w:rPr>
        <w:t xml:space="preserve"> (2017), online: </w:t>
      </w:r>
      <w:hyperlink r:id="rId250" w:anchor="international" w:history="1">
        <w:r w:rsidRPr="00740FD0">
          <w:rPr>
            <w:rStyle w:val="Hyperlink"/>
            <w:sz w:val="18"/>
            <w:szCs w:val="18"/>
            <w:lang w:val="en-US"/>
          </w:rPr>
          <w:t>https://nces.ed.gov/surveys/piaac/national_results.asp#international</w:t>
        </w:r>
      </w:hyperlink>
      <w:r w:rsidRPr="00740FD0">
        <w:rPr>
          <w:sz w:val="18"/>
          <w:szCs w:val="18"/>
          <w:lang w:val="en-US"/>
        </w:rPr>
        <w:t xml:space="preserve">, as cited in New York Times, “We Read 150 Privacy Policies. They Were an Incomprehensible Disaster” (June 12, 2019), online: </w:t>
      </w:r>
      <w:hyperlink r:id="rId251" w:history="1">
        <w:r w:rsidRPr="00740FD0">
          <w:rPr>
            <w:rStyle w:val="Hyperlink"/>
            <w:sz w:val="18"/>
            <w:szCs w:val="18"/>
            <w:lang w:val="en-US"/>
          </w:rPr>
          <w:t>https://www.nytimes.com/interactive/2019/06/12/opinion/facebook-google-privacy-policies.html</w:t>
        </w:r>
      </w:hyperlink>
      <w:r w:rsidRPr="00740FD0">
        <w:rPr>
          <w:sz w:val="18"/>
          <w:szCs w:val="18"/>
          <w:lang w:val="en-US"/>
        </w:rPr>
        <w:t xml:space="preserve">. </w:t>
      </w:r>
    </w:p>
  </w:endnote>
  <w:endnote w:id="283">
    <w:p w14:paraId="729E66AF" w14:textId="77777777" w:rsidR="00E05AE5" w:rsidRPr="00740FD0" w:rsidRDefault="00E05AE5" w:rsidP="00E05AE5">
      <w:pPr>
        <w:pStyle w:val="EndnoteText"/>
        <w:rPr>
          <w:sz w:val="18"/>
          <w:szCs w:val="18"/>
        </w:rPr>
      </w:pPr>
      <w:r w:rsidRPr="00740FD0">
        <w:rPr>
          <w:rStyle w:val="EndnoteReference"/>
          <w:sz w:val="18"/>
          <w:szCs w:val="18"/>
        </w:rPr>
        <w:endnoteRef/>
      </w:r>
      <w:r w:rsidRPr="00740FD0">
        <w:rPr>
          <w:sz w:val="18"/>
          <w:szCs w:val="18"/>
        </w:rPr>
        <w:t xml:space="preserve"> CPA s. 5.</w:t>
      </w:r>
    </w:p>
  </w:endnote>
  <w:endnote w:id="284">
    <w:p w14:paraId="41D64CF2" w14:textId="77777777" w:rsidR="00E05AE5" w:rsidRPr="00740FD0" w:rsidRDefault="00E05AE5" w:rsidP="00E05AE5">
      <w:pPr>
        <w:pStyle w:val="EndnoteText"/>
        <w:rPr>
          <w:sz w:val="18"/>
          <w:szCs w:val="18"/>
        </w:rPr>
      </w:pPr>
      <w:r w:rsidRPr="00740FD0">
        <w:rPr>
          <w:rStyle w:val="EndnoteReference"/>
          <w:sz w:val="18"/>
          <w:szCs w:val="18"/>
        </w:rPr>
        <w:endnoteRef/>
      </w:r>
      <w:r w:rsidRPr="00740FD0">
        <w:rPr>
          <w:sz w:val="18"/>
          <w:szCs w:val="18"/>
        </w:rPr>
        <w:t xml:space="preserve"> CPA s. 15(2). </w:t>
      </w:r>
    </w:p>
  </w:endnote>
  <w:endnote w:id="285">
    <w:p w14:paraId="602A6D17" w14:textId="06EFBFF3" w:rsidR="00EC657A" w:rsidRPr="00740FD0" w:rsidRDefault="00EC657A" w:rsidP="00EC657A">
      <w:pPr>
        <w:pStyle w:val="EndnoteText"/>
        <w:rPr>
          <w:sz w:val="18"/>
          <w:szCs w:val="18"/>
        </w:rPr>
      </w:pPr>
      <w:r w:rsidRPr="00740FD0">
        <w:rPr>
          <w:rStyle w:val="EndnoteReference"/>
          <w:sz w:val="18"/>
          <w:szCs w:val="18"/>
        </w:rPr>
        <w:endnoteRef/>
      </w:r>
      <w:r w:rsidRPr="00740FD0">
        <w:rPr>
          <w:sz w:val="18"/>
          <w:szCs w:val="18"/>
        </w:rPr>
        <w:t xml:space="preserve"> </w:t>
      </w:r>
      <w:r w:rsidR="00277F64" w:rsidRPr="00740FD0">
        <w:rPr>
          <w:sz w:val="18"/>
          <w:szCs w:val="18"/>
        </w:rPr>
        <w:t xml:space="preserve">For instance, the New York Times reports a recent survey “published by the non-profit research organization Common Sense Media, found that overall screen use among teens and tweens increased by 17 percent from 2019 to 2021 — growing more rapidly than in the four years prior. On average, daily screen use went up among tweens (ages 8 to 12) to five hours and 33 minutes from four hours and 44 minutes, and to eight hours and 39 minutes from seven hours and 22 minutes for teens (ages 13 to 18).” See New York Times, “Kids as Young as 8 Are Using Social Media More Than Ever, Study Finds” (March 24, 2022), online: </w:t>
      </w:r>
      <w:hyperlink r:id="rId252" w:history="1">
        <w:r w:rsidR="00277F64" w:rsidRPr="00740FD0">
          <w:rPr>
            <w:rStyle w:val="Hyperlink"/>
            <w:sz w:val="18"/>
            <w:szCs w:val="18"/>
          </w:rPr>
          <w:t>https://www.nytimes.com/2022/03/24/well/family/child-social-media-use.html</w:t>
        </w:r>
      </w:hyperlink>
      <w:r w:rsidR="00277F64" w:rsidRPr="00740FD0">
        <w:rPr>
          <w:sz w:val="18"/>
          <w:szCs w:val="18"/>
        </w:rPr>
        <w:t xml:space="preserve">. </w:t>
      </w:r>
    </w:p>
  </w:endnote>
  <w:endnote w:id="286">
    <w:p w14:paraId="56A7FC32" w14:textId="4030850A" w:rsidR="00EC657A" w:rsidRPr="00740FD0" w:rsidRDefault="00EC657A" w:rsidP="00EC657A">
      <w:pPr>
        <w:pStyle w:val="EndnoteText"/>
        <w:rPr>
          <w:sz w:val="18"/>
          <w:szCs w:val="18"/>
        </w:rPr>
      </w:pPr>
      <w:r w:rsidRPr="00740FD0">
        <w:rPr>
          <w:rStyle w:val="EndnoteReference"/>
          <w:sz w:val="18"/>
          <w:szCs w:val="18"/>
        </w:rPr>
        <w:endnoteRef/>
      </w:r>
      <w:r w:rsidRPr="00740FD0">
        <w:rPr>
          <w:sz w:val="18"/>
          <w:szCs w:val="18"/>
        </w:rPr>
        <w:t xml:space="preserve"> </w:t>
      </w:r>
      <w:r w:rsidR="00E314EC" w:rsidRPr="00740FD0">
        <w:rPr>
          <w:sz w:val="18"/>
          <w:szCs w:val="18"/>
        </w:rPr>
        <w:t xml:space="preserve">See for instance the revelations of Facebook whistleblower Frances Haugen in testimony before the US Congress, as reported in The Guardian: “Facebook harms children and is damaging democracy, claims whistleblower” (October 6, 2021), online: </w:t>
      </w:r>
      <w:hyperlink r:id="rId253" w:history="1">
        <w:r w:rsidR="00E314EC" w:rsidRPr="00740FD0">
          <w:rPr>
            <w:rStyle w:val="Hyperlink"/>
            <w:sz w:val="18"/>
            <w:szCs w:val="18"/>
          </w:rPr>
          <w:t>https://www.theguardian.com/technology/2021/oct/05/facebook-harms-children-damaging-democracy-claims-whistleblower</w:t>
        </w:r>
      </w:hyperlink>
      <w:r w:rsidR="00E314EC" w:rsidRPr="00740FD0">
        <w:rPr>
          <w:sz w:val="18"/>
          <w:szCs w:val="18"/>
        </w:rPr>
        <w:t xml:space="preserve">. A recent coroner’s inquest in the United Kingdom determined that the suicide of student </w:t>
      </w:r>
      <w:r w:rsidRPr="00740FD0">
        <w:rPr>
          <w:sz w:val="18"/>
          <w:szCs w:val="18"/>
        </w:rPr>
        <w:t xml:space="preserve">Molly Russell </w:t>
      </w:r>
      <w:r w:rsidR="00E314EC" w:rsidRPr="00740FD0">
        <w:rPr>
          <w:sz w:val="18"/>
          <w:szCs w:val="18"/>
        </w:rPr>
        <w:t>was attributable in part to the harmful effects of</w:t>
      </w:r>
      <w:r w:rsidRPr="00740FD0">
        <w:rPr>
          <w:sz w:val="18"/>
          <w:szCs w:val="18"/>
        </w:rPr>
        <w:t xml:space="preserve"> social media</w:t>
      </w:r>
      <w:r w:rsidR="00E314EC" w:rsidRPr="00740FD0">
        <w:rPr>
          <w:sz w:val="18"/>
          <w:szCs w:val="18"/>
        </w:rPr>
        <w:t xml:space="preserve"> promoting pro-suicide and self-half content on Instagram; see TechCrunch, “UK to change Online Safety Bill limits on ‘legal but harmful’ content for adults” (September 20, 2022), online:</w:t>
      </w:r>
      <w:r w:rsidRPr="00740FD0">
        <w:rPr>
          <w:sz w:val="18"/>
          <w:szCs w:val="18"/>
        </w:rPr>
        <w:t xml:space="preserve"> </w:t>
      </w:r>
      <w:hyperlink r:id="rId254" w:history="1">
        <w:r w:rsidRPr="00740FD0">
          <w:rPr>
            <w:rStyle w:val="Hyperlink"/>
            <w:sz w:val="18"/>
            <w:szCs w:val="18"/>
          </w:rPr>
          <w:t>https://techcrunch.com/2022/09/20/uk-online-safety-bill-legal-but-harmful-changes/</w:t>
        </w:r>
      </w:hyperlink>
      <w:r w:rsidR="00E314EC" w:rsidRPr="00740FD0">
        <w:rPr>
          <w:sz w:val="18"/>
          <w:szCs w:val="18"/>
        </w:rPr>
        <w:t>.</w:t>
      </w:r>
    </w:p>
  </w:endnote>
  <w:endnote w:id="287">
    <w:p w14:paraId="0582F923" w14:textId="19596290" w:rsidR="00EC657A" w:rsidRPr="00740FD0" w:rsidRDefault="00EC657A" w:rsidP="00AC3DE5">
      <w:pPr>
        <w:pStyle w:val="EndnoteText"/>
        <w:rPr>
          <w:sz w:val="18"/>
          <w:szCs w:val="18"/>
        </w:rPr>
      </w:pPr>
      <w:r w:rsidRPr="00740FD0">
        <w:rPr>
          <w:rStyle w:val="EndnoteReference"/>
          <w:sz w:val="18"/>
          <w:szCs w:val="18"/>
        </w:rPr>
        <w:endnoteRef/>
      </w:r>
      <w:r w:rsidRPr="00740FD0">
        <w:rPr>
          <w:sz w:val="18"/>
          <w:szCs w:val="18"/>
        </w:rPr>
        <w:t xml:space="preserve"> </w:t>
      </w:r>
      <w:r w:rsidR="00E314EC" w:rsidRPr="00740FD0">
        <w:rPr>
          <w:sz w:val="18"/>
          <w:szCs w:val="18"/>
        </w:rPr>
        <w:t xml:space="preserve">See for instance the revelations of Facebook whistleblower Frances Haugen in testimony before the US Congress, as reported in The Guardian: “Facebook harms children and is damaging democracy, claims whistleblower” (October 6, 2021), online: </w:t>
      </w:r>
      <w:hyperlink r:id="rId255" w:history="1">
        <w:r w:rsidR="00E314EC" w:rsidRPr="00740FD0">
          <w:rPr>
            <w:rStyle w:val="Hyperlink"/>
            <w:sz w:val="18"/>
            <w:szCs w:val="18"/>
          </w:rPr>
          <w:t>https://www.theguardian.com/technology/2021/oct/05/facebook-harms-children-damaging-democracy-claims-whistleblower</w:t>
        </w:r>
      </w:hyperlink>
      <w:r w:rsidR="00E314EC" w:rsidRPr="00740FD0">
        <w:rPr>
          <w:sz w:val="18"/>
          <w:szCs w:val="18"/>
        </w:rPr>
        <w:t>. Similar hearings were subsequently convened in the United Kingdom and Canada. Addictive content</w:t>
      </w:r>
      <w:r w:rsidR="00AC3DE5" w:rsidRPr="00740FD0">
        <w:rPr>
          <w:sz w:val="18"/>
          <w:szCs w:val="18"/>
        </w:rPr>
        <w:t xml:space="preserve"> targeting youth and other vulnerabilities</w:t>
      </w:r>
      <w:r w:rsidR="00E314EC" w:rsidRPr="00740FD0">
        <w:rPr>
          <w:sz w:val="18"/>
          <w:szCs w:val="18"/>
        </w:rPr>
        <w:t xml:space="preserve"> is being addressed in other ways. For instance, certain EU jurisdictions have moved to ban “loot boxes,” a </w:t>
      </w:r>
      <w:r w:rsidR="00AC3DE5" w:rsidRPr="00740FD0">
        <w:rPr>
          <w:sz w:val="18"/>
          <w:szCs w:val="18"/>
        </w:rPr>
        <w:t>video game design technique</w:t>
      </w:r>
      <w:r w:rsidR="00E314EC" w:rsidRPr="00740FD0">
        <w:rPr>
          <w:sz w:val="18"/>
          <w:szCs w:val="18"/>
        </w:rPr>
        <w:t xml:space="preserve"> that effectively introduces random and occasionally valuable gaming content</w:t>
      </w:r>
      <w:r w:rsidR="00AC3DE5" w:rsidRPr="00740FD0">
        <w:rPr>
          <w:sz w:val="18"/>
          <w:szCs w:val="18"/>
        </w:rPr>
        <w:t xml:space="preserve"> through a lottery system, often accessible only at great expense of time or money invested. See </w:t>
      </w:r>
      <w:r w:rsidR="00AC3DE5" w:rsidRPr="00740FD0">
        <w:rPr>
          <w:sz w:val="18"/>
          <w:szCs w:val="18"/>
        </w:rPr>
        <w:t xml:space="preserve">EuroGamer, “18 European countries call for better regulation of loot boxes following new report” (June 1, 2022), online: </w:t>
      </w:r>
      <w:hyperlink r:id="rId256" w:history="1">
        <w:r w:rsidR="00AC3DE5" w:rsidRPr="00740FD0">
          <w:rPr>
            <w:rStyle w:val="Hyperlink"/>
            <w:sz w:val="18"/>
            <w:szCs w:val="18"/>
          </w:rPr>
          <w:t>https://www.eurogamer.net/18-european-countries-call-for-better-regulation-of-loot-boxes-following-new-report</w:t>
        </w:r>
      </w:hyperlink>
      <w:r w:rsidR="00AC3DE5" w:rsidRPr="00740FD0">
        <w:rPr>
          <w:sz w:val="18"/>
          <w:szCs w:val="18"/>
        </w:rPr>
        <w:t xml:space="preserve">, citing the report of the Norwegian Consumer Council, </w:t>
      </w:r>
      <w:r w:rsidR="00AC3DE5" w:rsidRPr="00740FD0">
        <w:rPr>
          <w:i/>
          <w:iCs/>
          <w:sz w:val="18"/>
          <w:szCs w:val="18"/>
        </w:rPr>
        <w:t>Insert Coin: How the gaming industry exploits consumers using loot boxes</w:t>
      </w:r>
      <w:r w:rsidR="00AC3DE5" w:rsidRPr="00740FD0">
        <w:rPr>
          <w:sz w:val="18"/>
          <w:szCs w:val="18"/>
        </w:rPr>
        <w:t xml:space="preserve"> (May 31, 2022), online: </w:t>
      </w:r>
      <w:hyperlink r:id="rId257" w:history="1">
        <w:r w:rsidR="00AC3DE5" w:rsidRPr="00740FD0">
          <w:rPr>
            <w:rStyle w:val="Hyperlink"/>
            <w:sz w:val="18"/>
            <w:szCs w:val="18"/>
          </w:rPr>
          <w:t>https://fil.forbrukerradet.no/wp-content/uploads/2022/05/2022-05-31-insert-coin-publish.pdf</w:t>
        </w:r>
      </w:hyperlink>
      <w:r w:rsidR="00AC3DE5" w:rsidRPr="00740FD0">
        <w:rPr>
          <w:sz w:val="18"/>
          <w:szCs w:val="18"/>
        </w:rPr>
        <w:t xml:space="preserve">. </w:t>
      </w:r>
    </w:p>
  </w:endnote>
  <w:endnote w:id="288">
    <w:p w14:paraId="222C6D01" w14:textId="525B1FF3" w:rsidR="00D82F2E" w:rsidRPr="00740FD0" w:rsidRDefault="00D82F2E">
      <w:pPr>
        <w:pStyle w:val="EndnoteText"/>
        <w:rPr>
          <w:i/>
          <w:iCs/>
          <w:sz w:val="18"/>
          <w:szCs w:val="18"/>
        </w:rPr>
      </w:pPr>
      <w:r w:rsidRPr="00740FD0">
        <w:rPr>
          <w:rStyle w:val="EndnoteReference"/>
          <w:sz w:val="18"/>
          <w:szCs w:val="18"/>
        </w:rPr>
        <w:endnoteRef/>
      </w:r>
      <w:r w:rsidRPr="00740FD0">
        <w:rPr>
          <w:sz w:val="18"/>
          <w:szCs w:val="18"/>
        </w:rPr>
        <w:t xml:space="preserve"> </w:t>
      </w:r>
      <w:r w:rsidR="00F30CB1" w:rsidRPr="00740FD0">
        <w:rPr>
          <w:sz w:val="18"/>
          <w:szCs w:val="18"/>
        </w:rPr>
        <w:t xml:space="preserve">Standards and approaches vary, resulting in a variety of approaches taken in terms of service contracts. For instance, in context of privacy protections, the discussion about youth consent in the federal Office of the Privacy Commissioner of Canada’s </w:t>
      </w:r>
      <w:r w:rsidR="00F30CB1" w:rsidRPr="00740FD0">
        <w:rPr>
          <w:i/>
          <w:iCs/>
          <w:sz w:val="18"/>
          <w:szCs w:val="18"/>
        </w:rPr>
        <w:t>Guidelines for Obtaining Meaningful Consent</w:t>
      </w:r>
      <w:r w:rsidR="00F30CB1" w:rsidRPr="00740FD0">
        <w:rPr>
          <w:sz w:val="18"/>
          <w:szCs w:val="18"/>
        </w:rPr>
        <w:t xml:space="preserve"> (August 13, 2021), online: </w:t>
      </w:r>
      <w:hyperlink r:id="rId258" w:history="1">
        <w:r w:rsidR="00F30CB1" w:rsidRPr="00740FD0">
          <w:rPr>
            <w:rStyle w:val="Hyperlink"/>
            <w:sz w:val="18"/>
            <w:szCs w:val="18"/>
          </w:rPr>
          <w:t>https://priv.gc.ca/en/privacy-topics/collecting-personal-information/consent/gl_omc_201805/</w:t>
        </w:r>
      </w:hyperlink>
      <w:r w:rsidR="00F30CB1" w:rsidRPr="00740FD0">
        <w:rPr>
          <w:sz w:val="18"/>
          <w:szCs w:val="18"/>
        </w:rPr>
        <w:t xml:space="preserve"> notes that: “The OPC is of the view that while a child’s capacity to consent can vary from individual to individual, there is nonetheless a threshold age below which young children are not likely to fully understand the consequences of their privacy choices, particularly in this age of complex data-flows. On the other hand, the OIPC-AB, OIPC-</w:t>
      </w:r>
      <w:r w:rsidR="00F30CB1" w:rsidRPr="00740FD0">
        <w:rPr>
          <w:sz w:val="18"/>
          <w:szCs w:val="18"/>
        </w:rPr>
        <w:t>BC and Quebec CAI do not set a specific age threshold, but rather consider whether the individual understands the nature and consequences of the exercise of the right or power in question. As such, where a child is unable to meaningfully consent to the collection, use and disclosure of personal information (the OPC takes the position that, in all but exceptional circumstances, this means anyone under the age of 13), consent must instead be obtained from their parents or guardians. For minors able to provide meaningful consent, consent can only be considered meaningful if organizations have reasonably taken into account their level of maturity in developing their consent processes and adapted them accordingly.”</w:t>
      </w:r>
    </w:p>
  </w:endnote>
  <w:endnote w:id="289">
    <w:p w14:paraId="0C9C6792" w14:textId="0B827160" w:rsidR="00EC657A" w:rsidRPr="00740FD0" w:rsidRDefault="00EC657A" w:rsidP="00EC657A">
      <w:pPr>
        <w:pStyle w:val="EndnoteText"/>
        <w:rPr>
          <w:sz w:val="18"/>
          <w:szCs w:val="18"/>
          <w:highlight w:val="yellow"/>
        </w:rPr>
      </w:pPr>
      <w:r w:rsidRPr="00740FD0">
        <w:rPr>
          <w:rStyle w:val="EndnoteReference"/>
          <w:sz w:val="18"/>
          <w:szCs w:val="18"/>
        </w:rPr>
        <w:endnoteRef/>
      </w:r>
      <w:r w:rsidRPr="00740FD0">
        <w:rPr>
          <w:sz w:val="18"/>
          <w:szCs w:val="18"/>
        </w:rPr>
        <w:t xml:space="preserve"> </w:t>
      </w:r>
      <w:r w:rsidR="00F30CB1" w:rsidRPr="00740FD0">
        <w:rPr>
          <w:sz w:val="18"/>
          <w:szCs w:val="18"/>
        </w:rPr>
        <w:t>Apple</w:t>
      </w:r>
      <w:r w:rsidR="00A43903" w:rsidRPr="00740FD0">
        <w:rPr>
          <w:sz w:val="18"/>
          <w:szCs w:val="18"/>
        </w:rPr>
        <w:t>, “Apple</w:t>
      </w:r>
      <w:r w:rsidR="00F30CB1" w:rsidRPr="00740FD0">
        <w:rPr>
          <w:sz w:val="18"/>
          <w:szCs w:val="18"/>
        </w:rPr>
        <w:t xml:space="preserve"> Media Services Terms and Conditions</w:t>
      </w:r>
      <w:r w:rsidR="00A43903" w:rsidRPr="00740FD0">
        <w:rPr>
          <w:sz w:val="18"/>
          <w:szCs w:val="18"/>
        </w:rPr>
        <w:t>”</w:t>
      </w:r>
      <w:r w:rsidR="00F30CB1" w:rsidRPr="00740FD0">
        <w:rPr>
          <w:sz w:val="18"/>
          <w:szCs w:val="18"/>
        </w:rPr>
        <w:t xml:space="preserve"> (last updated September 2</w:t>
      </w:r>
      <w:r w:rsidR="00A43903" w:rsidRPr="00740FD0">
        <w:rPr>
          <w:sz w:val="18"/>
          <w:szCs w:val="18"/>
        </w:rPr>
        <w:t>0</w:t>
      </w:r>
      <w:r w:rsidR="00F30CB1" w:rsidRPr="00740FD0">
        <w:rPr>
          <w:sz w:val="18"/>
          <w:szCs w:val="18"/>
        </w:rPr>
        <w:t>, 2021), on file with the LCO.</w:t>
      </w:r>
      <w:r w:rsidR="00A43903" w:rsidRPr="00740FD0">
        <w:rPr>
          <w:sz w:val="18"/>
          <w:szCs w:val="18"/>
        </w:rPr>
        <w:t xml:space="preserve"> The terms of service was subsequently amended to remove this clause and the current version is dated September 12, 2022, online: </w:t>
      </w:r>
      <w:hyperlink r:id="rId259" w:history="1">
        <w:r w:rsidR="00A43903" w:rsidRPr="00740FD0">
          <w:rPr>
            <w:rStyle w:val="Hyperlink"/>
            <w:sz w:val="18"/>
            <w:szCs w:val="18"/>
          </w:rPr>
          <w:t>https://www.apple.com/legal/internet-services/itunes/us/terms.html</w:t>
        </w:r>
      </w:hyperlink>
      <w:r w:rsidR="00A43903" w:rsidRPr="00740FD0">
        <w:rPr>
          <w:sz w:val="18"/>
          <w:szCs w:val="18"/>
        </w:rPr>
        <w:t xml:space="preserve">. </w:t>
      </w:r>
    </w:p>
  </w:endnote>
  <w:endnote w:id="290">
    <w:p w14:paraId="673DF3D3" w14:textId="335EBBED" w:rsidR="00EC657A" w:rsidRPr="00740FD0" w:rsidRDefault="00EC657A" w:rsidP="00EC657A">
      <w:pPr>
        <w:pStyle w:val="EndnoteText"/>
        <w:rPr>
          <w:sz w:val="18"/>
          <w:szCs w:val="18"/>
        </w:rPr>
      </w:pPr>
      <w:r w:rsidRPr="00740FD0">
        <w:rPr>
          <w:rStyle w:val="EndnoteReference"/>
          <w:sz w:val="18"/>
          <w:szCs w:val="18"/>
        </w:rPr>
        <w:endnoteRef/>
      </w:r>
      <w:r w:rsidRPr="00740FD0">
        <w:rPr>
          <w:sz w:val="18"/>
          <w:szCs w:val="18"/>
        </w:rPr>
        <w:t xml:space="preserve"> </w:t>
      </w:r>
      <w:r w:rsidR="00A43903" w:rsidRPr="00740FD0">
        <w:rPr>
          <w:sz w:val="18"/>
          <w:szCs w:val="18"/>
        </w:rPr>
        <w:t xml:space="preserve">Several problematic aspects of relying on substitute parental consent were at the heart of the FTC investigation into Epic Games’ game Fortnite. See both: US Federal Trade Commission, “FTC Finalizes Order Requiring Fortnite maker Epic Games to Pay $245 Million for Tricking Users into Making Unwanted Charges” (March 14, 2023), online: </w:t>
      </w:r>
      <w:hyperlink r:id="rId260" w:history="1">
        <w:r w:rsidR="00A43903" w:rsidRPr="00740FD0">
          <w:rPr>
            <w:rStyle w:val="Hyperlink"/>
            <w:sz w:val="18"/>
            <w:szCs w:val="18"/>
          </w:rPr>
          <w:t>https://www.ftc.gov/news-events/news/press-releases/2023/03/ftc-finalizes-order-requiring-fortnite-maker-epic-games-pay-245-million-tricking-users-making</w:t>
        </w:r>
      </w:hyperlink>
      <w:r w:rsidR="00A43903" w:rsidRPr="00740FD0">
        <w:rPr>
          <w:sz w:val="18"/>
          <w:szCs w:val="18"/>
        </w:rPr>
        <w:t xml:space="preserve">; and US Federal Trade Commission, “Fortnite Video Game Maker Epic Games to Pay More Than Half a Billion Dollars over FTC Allegations of Privacy Violations and Unwanted Charges” (December 19, 2022), online: </w:t>
      </w:r>
      <w:hyperlink r:id="rId261" w:history="1">
        <w:r w:rsidR="00A43903" w:rsidRPr="00740FD0">
          <w:rPr>
            <w:rStyle w:val="Hyperlink"/>
            <w:sz w:val="18"/>
            <w:szCs w:val="18"/>
          </w:rPr>
          <w:t>https://www.ftc.gov/news-events/news/press-releases/2022/12/fortnite-video-game-maker-epic-games-pay-more-half-billion-dollars-over-ftc-allegations</w:t>
        </w:r>
      </w:hyperlink>
    </w:p>
  </w:endnote>
  <w:endnote w:id="291">
    <w:p w14:paraId="02D6FBF7" w14:textId="5D0585BD" w:rsidR="00677467" w:rsidRPr="00740FD0" w:rsidRDefault="00677467">
      <w:pPr>
        <w:pStyle w:val="EndnoteText"/>
        <w:rPr>
          <w:sz w:val="18"/>
          <w:szCs w:val="18"/>
        </w:rPr>
      </w:pPr>
      <w:r w:rsidRPr="00740FD0">
        <w:rPr>
          <w:rStyle w:val="EndnoteReference"/>
          <w:sz w:val="18"/>
          <w:szCs w:val="18"/>
        </w:rPr>
        <w:endnoteRef/>
      </w:r>
      <w:r w:rsidRPr="00740FD0">
        <w:rPr>
          <w:sz w:val="18"/>
          <w:szCs w:val="18"/>
        </w:rPr>
        <w:t xml:space="preserve"> See New York Times, </w:t>
      </w:r>
      <w:r w:rsidR="005C6285" w:rsidRPr="00740FD0">
        <w:rPr>
          <w:sz w:val="18"/>
          <w:szCs w:val="18"/>
        </w:rPr>
        <w:t>“</w:t>
      </w:r>
      <w:r w:rsidR="00C11E7A" w:rsidRPr="00740FD0">
        <w:rPr>
          <w:sz w:val="18"/>
          <w:szCs w:val="18"/>
        </w:rPr>
        <w:t>Surgeon General Warns That Social Media May Harm Children and Adolescents</w:t>
      </w:r>
      <w:r w:rsidR="005C6285" w:rsidRPr="00740FD0">
        <w:rPr>
          <w:sz w:val="18"/>
          <w:szCs w:val="18"/>
        </w:rPr>
        <w:t xml:space="preserve">” (May 23, 2023), online: </w:t>
      </w:r>
      <w:hyperlink r:id="rId262" w:history="1">
        <w:r w:rsidR="005C6285" w:rsidRPr="00740FD0">
          <w:rPr>
            <w:rStyle w:val="Hyperlink"/>
            <w:sz w:val="18"/>
            <w:szCs w:val="18"/>
          </w:rPr>
          <w:t>https://www.nytimes.com/2023/05/23/well/family/social-media-mental-health-surgeon-general.html</w:t>
        </w:r>
      </w:hyperlink>
      <w:r w:rsidR="005C6285" w:rsidRPr="00740FD0">
        <w:rPr>
          <w:sz w:val="18"/>
          <w:szCs w:val="18"/>
        </w:rPr>
        <w:t xml:space="preserve">. </w:t>
      </w:r>
    </w:p>
  </w:endnote>
  <w:endnote w:id="292">
    <w:p w14:paraId="01CD172C" w14:textId="77777777" w:rsidR="00730BFC" w:rsidRPr="00740FD0" w:rsidRDefault="00730BFC" w:rsidP="00730BFC">
      <w:pPr>
        <w:pStyle w:val="EndnoteText"/>
        <w:rPr>
          <w:sz w:val="18"/>
          <w:szCs w:val="18"/>
        </w:rPr>
      </w:pPr>
      <w:r w:rsidRPr="00740FD0">
        <w:rPr>
          <w:rStyle w:val="EndnoteReference"/>
          <w:sz w:val="18"/>
          <w:szCs w:val="18"/>
        </w:rPr>
        <w:endnoteRef/>
      </w:r>
      <w:r w:rsidRPr="00740FD0">
        <w:rPr>
          <w:sz w:val="18"/>
          <w:szCs w:val="18"/>
        </w:rPr>
        <w:t xml:space="preserve"> See for instance: US Federal Trade Commission, “FTC Finalizes Order Requiring Fortnite maker Epic Games to Pay $245 Million for Tricking Users into Making Unwanted Charges” (March 14, 2023), online: </w:t>
      </w:r>
      <w:hyperlink r:id="rId263" w:history="1">
        <w:r w:rsidRPr="00740FD0">
          <w:rPr>
            <w:rStyle w:val="Hyperlink"/>
            <w:sz w:val="18"/>
            <w:szCs w:val="18"/>
          </w:rPr>
          <w:t>https://www.ftc.gov/news-events/news/press-releases/2023/03/ftc-finalizes-order-requiring-fortnite-maker-epic-games-pay-245-million-tricking-users-making</w:t>
        </w:r>
      </w:hyperlink>
      <w:r w:rsidRPr="00740FD0">
        <w:rPr>
          <w:sz w:val="18"/>
          <w:szCs w:val="18"/>
        </w:rPr>
        <w:t xml:space="preserve">. </w:t>
      </w:r>
    </w:p>
  </w:endnote>
  <w:endnote w:id="293">
    <w:p w14:paraId="33FEB080" w14:textId="77777777" w:rsidR="00730BFC" w:rsidRPr="00740FD0" w:rsidRDefault="00730BFC" w:rsidP="00730BFC">
      <w:pPr>
        <w:pStyle w:val="EndnoteText"/>
        <w:rPr>
          <w:sz w:val="18"/>
          <w:szCs w:val="18"/>
        </w:rPr>
      </w:pPr>
      <w:r w:rsidRPr="00740FD0">
        <w:rPr>
          <w:rStyle w:val="EndnoteReference"/>
          <w:sz w:val="18"/>
          <w:szCs w:val="18"/>
        </w:rPr>
        <w:endnoteRef/>
      </w:r>
      <w:r w:rsidRPr="00740FD0">
        <w:rPr>
          <w:sz w:val="18"/>
          <w:szCs w:val="18"/>
        </w:rPr>
        <w:t xml:space="preserve"> See for instance: US Federal Trade Commission, “FTC Finalizes Order Requiring Fortnite maker Epic Games to Pay $245 Million for Tricking Users into Making Unwanted Charges” (March 14, 2023), online: </w:t>
      </w:r>
      <w:hyperlink r:id="rId264" w:history="1">
        <w:r w:rsidRPr="00740FD0">
          <w:rPr>
            <w:rStyle w:val="Hyperlink"/>
            <w:sz w:val="18"/>
            <w:szCs w:val="18"/>
          </w:rPr>
          <w:t>https://www.ftc.gov/news-events/news/press-releases/2023/03/ftc-finalizes-order-requiring-fortnite-maker-epic-games-pay-245-million-tricking-users-making</w:t>
        </w:r>
      </w:hyperlink>
      <w:r w:rsidRPr="00740FD0">
        <w:rPr>
          <w:sz w:val="18"/>
          <w:szCs w:val="18"/>
        </w:rPr>
        <w:t xml:space="preserve">. </w:t>
      </w:r>
    </w:p>
  </w:endnote>
  <w:endnote w:id="294">
    <w:p w14:paraId="4CC5FD36" w14:textId="77777777" w:rsidR="00730BFC" w:rsidRPr="00740FD0" w:rsidRDefault="00730BFC" w:rsidP="00730BFC">
      <w:pPr>
        <w:pStyle w:val="EndnoteText"/>
        <w:rPr>
          <w:sz w:val="18"/>
          <w:szCs w:val="18"/>
        </w:rPr>
      </w:pPr>
      <w:r w:rsidRPr="00740FD0">
        <w:rPr>
          <w:rStyle w:val="EndnoteReference"/>
          <w:sz w:val="18"/>
          <w:szCs w:val="18"/>
        </w:rPr>
        <w:endnoteRef/>
      </w:r>
      <w:r w:rsidRPr="00740FD0">
        <w:rPr>
          <w:sz w:val="18"/>
          <w:szCs w:val="18"/>
        </w:rPr>
        <w:t xml:space="preserve"> </w:t>
      </w:r>
      <w:bookmarkStart w:id="87" w:name="_Hlk138065164"/>
      <w:r w:rsidRPr="00740FD0">
        <w:rPr>
          <w:sz w:val="18"/>
          <w:szCs w:val="18"/>
        </w:rPr>
        <w:t xml:space="preserve">See CBC News, “Quebec class action alleging Fortnite is addictive will go ahead, judge rules” (December 8 2022), online: </w:t>
      </w:r>
      <w:hyperlink r:id="rId265" w:history="1">
        <w:r w:rsidRPr="00740FD0">
          <w:rPr>
            <w:rStyle w:val="Hyperlink"/>
            <w:sz w:val="18"/>
            <w:szCs w:val="18"/>
          </w:rPr>
          <w:t>https://www.cbc.ca/news/canada/montreal/fortnite-class-action-1.6678687</w:t>
        </w:r>
      </w:hyperlink>
      <w:r w:rsidRPr="00740FD0">
        <w:rPr>
          <w:sz w:val="18"/>
          <w:szCs w:val="18"/>
        </w:rPr>
        <w:t>.</w:t>
      </w:r>
      <w:bookmarkEnd w:id="87"/>
      <w:r w:rsidRPr="00740FD0">
        <w:rPr>
          <w:sz w:val="18"/>
          <w:szCs w:val="18"/>
        </w:rPr>
        <w:t xml:space="preserve"> </w:t>
      </w:r>
    </w:p>
  </w:endnote>
  <w:endnote w:id="295">
    <w:p w14:paraId="4EBFD0CD" w14:textId="592D8A50" w:rsidR="00EC657A" w:rsidRPr="00740FD0" w:rsidRDefault="00EC657A" w:rsidP="00EC657A">
      <w:pPr>
        <w:pStyle w:val="EndnoteText"/>
        <w:rPr>
          <w:sz w:val="18"/>
          <w:szCs w:val="18"/>
        </w:rPr>
      </w:pPr>
      <w:r w:rsidRPr="00740FD0">
        <w:rPr>
          <w:rStyle w:val="EndnoteReference"/>
          <w:sz w:val="18"/>
          <w:szCs w:val="18"/>
        </w:rPr>
        <w:endnoteRef/>
      </w:r>
      <w:r w:rsidR="009E0094" w:rsidRPr="00740FD0">
        <w:rPr>
          <w:sz w:val="18"/>
          <w:szCs w:val="18"/>
        </w:rPr>
        <w:t xml:space="preserve"> </w:t>
      </w:r>
      <w:bookmarkStart w:id="89" w:name="_Hlk138065384"/>
      <w:r w:rsidR="00277F64" w:rsidRPr="00740FD0">
        <w:rPr>
          <w:sz w:val="18"/>
          <w:szCs w:val="18"/>
        </w:rPr>
        <w:t xml:space="preserve">New York Times, “Meta Fined $400 Million for Treatment of Children’s Data on Instagram” (September 5, 2022), online: </w:t>
      </w:r>
      <w:hyperlink r:id="rId266" w:history="1">
        <w:r w:rsidR="00277F64" w:rsidRPr="00740FD0">
          <w:rPr>
            <w:rStyle w:val="Hyperlink"/>
            <w:sz w:val="18"/>
            <w:szCs w:val="18"/>
          </w:rPr>
          <w:t>https://www.nytimes.com/2022/09/05/business/meta-children-data-protection-europe.html</w:t>
        </w:r>
      </w:hyperlink>
      <w:r w:rsidRPr="00740FD0">
        <w:rPr>
          <w:sz w:val="18"/>
          <w:szCs w:val="18"/>
        </w:rPr>
        <w:t>. See also</w:t>
      </w:r>
      <w:r w:rsidR="00277F64" w:rsidRPr="00740FD0">
        <w:rPr>
          <w:sz w:val="18"/>
          <w:szCs w:val="18"/>
        </w:rPr>
        <w:t xml:space="preserve"> The Guardian, “Instagram owner Meta fined €405m over handling of teens’ data” (September 5, 2022), online: </w:t>
      </w:r>
      <w:hyperlink r:id="rId267" w:history="1">
        <w:r w:rsidR="00277F64" w:rsidRPr="00740FD0">
          <w:rPr>
            <w:rStyle w:val="Hyperlink"/>
            <w:sz w:val="18"/>
            <w:szCs w:val="18"/>
          </w:rPr>
          <w:t>https://www.theguardian.com/technology/2022/sep/05/instagram-owner-meta-fined-405m-over-handling-of-teens-data</w:t>
        </w:r>
      </w:hyperlink>
      <w:r w:rsidR="00277F64" w:rsidRPr="00740FD0">
        <w:rPr>
          <w:sz w:val="18"/>
          <w:szCs w:val="18"/>
        </w:rPr>
        <w:t xml:space="preserve">. </w:t>
      </w:r>
      <w:bookmarkEnd w:id="89"/>
    </w:p>
  </w:endnote>
  <w:endnote w:id="296">
    <w:p w14:paraId="7E0F883D" w14:textId="0038EDEE" w:rsidR="00083947" w:rsidRPr="00740FD0" w:rsidRDefault="00083947">
      <w:pPr>
        <w:pStyle w:val="EndnoteText"/>
        <w:rPr>
          <w:sz w:val="18"/>
          <w:szCs w:val="18"/>
        </w:rPr>
      </w:pPr>
      <w:r w:rsidRPr="00740FD0">
        <w:rPr>
          <w:rStyle w:val="EndnoteReference"/>
          <w:sz w:val="18"/>
          <w:szCs w:val="18"/>
        </w:rPr>
        <w:endnoteRef/>
      </w:r>
      <w:r w:rsidRPr="00740FD0">
        <w:rPr>
          <w:sz w:val="18"/>
          <w:szCs w:val="18"/>
        </w:rPr>
        <w:t xml:space="preserve"> </w:t>
      </w:r>
      <w:bookmarkStart w:id="91" w:name="_Hlk138065121"/>
      <w:r w:rsidR="0013065C" w:rsidRPr="00740FD0">
        <w:rPr>
          <w:sz w:val="18"/>
          <w:szCs w:val="18"/>
        </w:rPr>
        <w:t xml:space="preserve">Wired, “A Danish City Built Google </w:t>
      </w:r>
      <w:r w:rsidR="0013065C" w:rsidRPr="00740FD0">
        <w:rPr>
          <w:sz w:val="18"/>
          <w:szCs w:val="18"/>
        </w:rPr>
        <w:t xml:space="preserve">Into Its Schools—Then Banned It” (September 23, 2022), online: </w:t>
      </w:r>
      <w:hyperlink r:id="rId268" w:history="1">
        <w:r w:rsidR="0013065C" w:rsidRPr="00740FD0">
          <w:rPr>
            <w:rStyle w:val="Hyperlink"/>
            <w:sz w:val="18"/>
            <w:szCs w:val="18"/>
          </w:rPr>
          <w:t>https://www.wired.com/story/denmark-google-schools-data/</w:t>
        </w:r>
      </w:hyperlink>
      <w:r w:rsidR="0013065C" w:rsidRPr="00740FD0">
        <w:rPr>
          <w:sz w:val="18"/>
          <w:szCs w:val="18"/>
        </w:rPr>
        <w:t xml:space="preserve">. </w:t>
      </w:r>
      <w:bookmarkEnd w:id="91"/>
    </w:p>
  </w:endnote>
  <w:endnote w:id="297">
    <w:p w14:paraId="78526ACB" w14:textId="59810AD3" w:rsidR="00083947" w:rsidRPr="00740FD0" w:rsidRDefault="00083947">
      <w:pPr>
        <w:pStyle w:val="EndnoteText"/>
        <w:rPr>
          <w:sz w:val="18"/>
          <w:szCs w:val="18"/>
        </w:rPr>
      </w:pPr>
      <w:r w:rsidRPr="00740FD0">
        <w:rPr>
          <w:rStyle w:val="EndnoteReference"/>
          <w:sz w:val="18"/>
          <w:szCs w:val="18"/>
        </w:rPr>
        <w:endnoteRef/>
      </w:r>
      <w:r w:rsidRPr="00740FD0">
        <w:rPr>
          <w:sz w:val="18"/>
          <w:szCs w:val="18"/>
        </w:rPr>
        <w:t xml:space="preserve"> </w:t>
      </w:r>
      <w:r w:rsidR="0013065C" w:rsidRPr="00740FD0">
        <w:rPr>
          <w:sz w:val="18"/>
          <w:szCs w:val="18"/>
        </w:rPr>
        <w:t xml:space="preserve">See U.K. Department for Science, Innovation and Technology and Department for Digital, Culture, Media &amp; Sport, “Online Safety Bill: supporting documents” (January 18, 2023), online: </w:t>
      </w:r>
      <w:hyperlink r:id="rId269" w:anchor="how-the-bill-will-protect-your-freedom-of-speech-online" w:history="1">
        <w:r w:rsidR="0013065C" w:rsidRPr="00740FD0">
          <w:rPr>
            <w:rStyle w:val="Hyperlink"/>
            <w:sz w:val="18"/>
            <w:szCs w:val="18"/>
          </w:rPr>
          <w:t>https://www.gov.uk/government/publications/online-safety-bill-supporting-documents/online-safety-bill-factsheet#how-the-bill-will-protect-your-freedom-of-speech-online</w:t>
        </w:r>
      </w:hyperlink>
      <w:r w:rsidR="0013065C" w:rsidRPr="00740FD0">
        <w:rPr>
          <w:sz w:val="18"/>
          <w:szCs w:val="18"/>
        </w:rPr>
        <w:t xml:space="preserve">. </w:t>
      </w:r>
    </w:p>
  </w:endnote>
  <w:endnote w:id="298">
    <w:p w14:paraId="2FBA1893" w14:textId="454E81CC" w:rsidR="00EC657A" w:rsidRPr="00740FD0" w:rsidRDefault="00EC657A" w:rsidP="00EC657A">
      <w:pPr>
        <w:pStyle w:val="EndnoteText"/>
        <w:rPr>
          <w:sz w:val="18"/>
          <w:szCs w:val="18"/>
        </w:rPr>
      </w:pPr>
      <w:r w:rsidRPr="00740FD0">
        <w:rPr>
          <w:rStyle w:val="EndnoteReference"/>
          <w:sz w:val="18"/>
          <w:szCs w:val="18"/>
        </w:rPr>
        <w:endnoteRef/>
      </w:r>
      <w:r w:rsidRPr="00740FD0">
        <w:rPr>
          <w:sz w:val="18"/>
          <w:szCs w:val="18"/>
        </w:rPr>
        <w:t xml:space="preserve"> </w:t>
      </w:r>
      <w:r w:rsidR="0013065C" w:rsidRPr="00740FD0">
        <w:rPr>
          <w:sz w:val="18"/>
          <w:szCs w:val="18"/>
        </w:rPr>
        <w:t xml:space="preserve">New York Times, “California Governor Signs Sweeping Children’s Online Safety Bill” (September 15, 2022), online: </w:t>
      </w:r>
      <w:hyperlink r:id="rId270" w:history="1">
        <w:r w:rsidR="0013065C" w:rsidRPr="00740FD0">
          <w:rPr>
            <w:rStyle w:val="Hyperlink"/>
            <w:sz w:val="18"/>
            <w:szCs w:val="18"/>
          </w:rPr>
          <w:t>https://www.nytimes.com/2022/09/15/business/newsom-california-children-online-safety.html</w:t>
        </w:r>
      </w:hyperlink>
      <w:r w:rsidR="0013065C" w:rsidRPr="00740FD0">
        <w:rPr>
          <w:rStyle w:val="Hyperlink"/>
          <w:sz w:val="18"/>
          <w:szCs w:val="18"/>
        </w:rPr>
        <w:t xml:space="preserve">. </w:t>
      </w:r>
    </w:p>
  </w:endnote>
  <w:endnote w:id="299">
    <w:p w14:paraId="17011F4E" w14:textId="6CFBF60D" w:rsidR="00E776F8" w:rsidRPr="00740FD0" w:rsidRDefault="00E776F8">
      <w:pPr>
        <w:pStyle w:val="EndnoteText"/>
        <w:rPr>
          <w:sz w:val="18"/>
          <w:szCs w:val="18"/>
          <w:lang w:val="en-US"/>
        </w:rPr>
      </w:pPr>
      <w:r w:rsidRPr="00740FD0">
        <w:rPr>
          <w:rStyle w:val="EndnoteReference"/>
          <w:sz w:val="18"/>
          <w:szCs w:val="18"/>
        </w:rPr>
        <w:endnoteRef/>
      </w:r>
      <w:r w:rsidRPr="00740FD0">
        <w:rPr>
          <w:sz w:val="18"/>
          <w:szCs w:val="18"/>
        </w:rPr>
        <w:t xml:space="preserve"> New York Times, “Sweeping Children’s Online Safety Bill Is Passed in California” (August 30, 2022), online: </w:t>
      </w:r>
      <w:hyperlink r:id="rId271" w:history="1">
        <w:r w:rsidRPr="00740FD0">
          <w:rPr>
            <w:rStyle w:val="Hyperlink"/>
            <w:sz w:val="18"/>
            <w:szCs w:val="18"/>
          </w:rPr>
          <w:t>https://www.nytimes.com/2022/08/30/business/california-children-online-safety.html</w:t>
        </w:r>
      </w:hyperlink>
      <w:r w:rsidRPr="00740FD0">
        <w:rPr>
          <w:sz w:val="18"/>
          <w:szCs w:val="18"/>
        </w:rPr>
        <w:t xml:space="preserve">. </w:t>
      </w:r>
    </w:p>
  </w:endnote>
  <w:endnote w:id="300">
    <w:p w14:paraId="46E04235" w14:textId="17ABA855" w:rsidR="004432B7" w:rsidRPr="00740FD0" w:rsidRDefault="004432B7">
      <w:pPr>
        <w:pStyle w:val="EndnoteText"/>
        <w:rPr>
          <w:sz w:val="18"/>
          <w:szCs w:val="18"/>
        </w:rPr>
      </w:pPr>
      <w:r w:rsidRPr="00740FD0">
        <w:rPr>
          <w:rStyle w:val="EndnoteReference"/>
          <w:sz w:val="18"/>
          <w:szCs w:val="18"/>
        </w:rPr>
        <w:endnoteRef/>
      </w:r>
      <w:r w:rsidRPr="00740FD0">
        <w:rPr>
          <w:sz w:val="18"/>
          <w:szCs w:val="18"/>
        </w:rPr>
        <w:t xml:space="preserve"> </w:t>
      </w:r>
      <w:hyperlink r:id="rId272" w:history="1">
        <w:r w:rsidRPr="00740FD0">
          <w:rPr>
            <w:rStyle w:val="Hyperlink"/>
            <w:sz w:val="18"/>
            <w:szCs w:val="18"/>
          </w:rPr>
          <w:t>Children's Online Privacy Protection Act of 1998, 15 U.S.C. 6501–6505</w:t>
        </w:r>
      </w:hyperlink>
      <w:r w:rsidRPr="00740FD0">
        <w:rPr>
          <w:sz w:val="18"/>
          <w:szCs w:val="18"/>
        </w:rPr>
        <w:t>.</w:t>
      </w:r>
    </w:p>
  </w:endnote>
  <w:endnote w:id="301">
    <w:p w14:paraId="43C1A4CC" w14:textId="77777777" w:rsidR="00D12455" w:rsidRPr="00740FD0" w:rsidRDefault="00D12455" w:rsidP="00D12455">
      <w:pPr>
        <w:pStyle w:val="EndnoteText"/>
        <w:rPr>
          <w:sz w:val="18"/>
          <w:szCs w:val="18"/>
        </w:rPr>
      </w:pPr>
      <w:r w:rsidRPr="00740FD0">
        <w:rPr>
          <w:rStyle w:val="EndnoteReference"/>
          <w:sz w:val="18"/>
          <w:szCs w:val="18"/>
        </w:rPr>
        <w:endnoteRef/>
      </w:r>
      <w:r w:rsidRPr="00740FD0">
        <w:rPr>
          <w:sz w:val="18"/>
          <w:szCs w:val="18"/>
        </w:rPr>
        <w:t xml:space="preserve"> In Utah see S.B. 152 </w:t>
      </w:r>
      <w:r w:rsidRPr="00740FD0">
        <w:rPr>
          <w:i/>
          <w:iCs/>
          <w:sz w:val="18"/>
          <w:szCs w:val="18"/>
        </w:rPr>
        <w:t xml:space="preserve">Social Media Regulation Amendments; </w:t>
      </w:r>
      <w:r w:rsidRPr="00740FD0">
        <w:rPr>
          <w:sz w:val="18"/>
          <w:szCs w:val="18"/>
        </w:rPr>
        <w:t>in Arkansas see S.B. 396,</w:t>
      </w:r>
      <w:r w:rsidRPr="00740FD0">
        <w:rPr>
          <w:i/>
          <w:iCs/>
          <w:sz w:val="18"/>
          <w:szCs w:val="18"/>
        </w:rPr>
        <w:t xml:space="preserve"> To Create the Social Media Safety Act; To Require Age Verification for Use of </w:t>
      </w:r>
      <w:r w:rsidRPr="00740FD0">
        <w:rPr>
          <w:i/>
          <w:iCs/>
          <w:sz w:val="18"/>
          <w:szCs w:val="18"/>
        </w:rPr>
        <w:t>Social Media; et. al.</w:t>
      </w:r>
    </w:p>
  </w:endnote>
  <w:endnote w:id="302">
    <w:p w14:paraId="76DC0664" w14:textId="77777777" w:rsidR="00D12455" w:rsidRPr="00740FD0" w:rsidRDefault="00D12455" w:rsidP="00D12455">
      <w:pPr>
        <w:pStyle w:val="EndnoteText"/>
        <w:rPr>
          <w:sz w:val="18"/>
          <w:szCs w:val="18"/>
        </w:rPr>
      </w:pPr>
      <w:r w:rsidRPr="00740FD0">
        <w:rPr>
          <w:rStyle w:val="EndnoteReference"/>
          <w:sz w:val="18"/>
          <w:szCs w:val="18"/>
        </w:rPr>
        <w:endnoteRef/>
      </w:r>
      <w:r w:rsidRPr="00740FD0">
        <w:rPr>
          <w:sz w:val="18"/>
          <w:szCs w:val="18"/>
        </w:rPr>
        <w:t xml:space="preserve"> See Electronic Frontier Foundation, “The Law Should Not Require Parental Consent for All Minors to Access Social Media” (May 12, 2023), online: </w:t>
      </w:r>
      <w:hyperlink r:id="rId273" w:history="1">
        <w:r w:rsidRPr="00740FD0">
          <w:rPr>
            <w:rStyle w:val="Hyperlink"/>
            <w:sz w:val="18"/>
            <w:szCs w:val="18"/>
          </w:rPr>
          <w:t>https://www.eff.org/deeplinks/2023/05/law-should-not-require-parental-consent-all-minors-access-social-media</w:t>
        </w:r>
      </w:hyperlink>
      <w:r w:rsidRPr="00740FD0">
        <w:rPr>
          <w:sz w:val="18"/>
          <w:szCs w:val="18"/>
        </w:rPr>
        <w:t xml:space="preserve">. </w:t>
      </w:r>
    </w:p>
  </w:endnote>
  <w:endnote w:id="303">
    <w:p w14:paraId="4C8D4285" w14:textId="39BA576F" w:rsidR="00594CA4" w:rsidRPr="00740FD0" w:rsidRDefault="00594CA4">
      <w:pPr>
        <w:pStyle w:val="EndnoteText"/>
        <w:rPr>
          <w:sz w:val="18"/>
          <w:szCs w:val="18"/>
        </w:rPr>
      </w:pPr>
      <w:r w:rsidRPr="00740FD0">
        <w:rPr>
          <w:rStyle w:val="EndnoteReference"/>
          <w:sz w:val="18"/>
          <w:szCs w:val="18"/>
        </w:rPr>
        <w:endnoteRef/>
      </w:r>
      <w:r w:rsidRPr="00740FD0">
        <w:rPr>
          <w:sz w:val="18"/>
          <w:szCs w:val="18"/>
        </w:rPr>
        <w:t xml:space="preserve"> </w:t>
      </w:r>
      <w:r w:rsidR="00A43903" w:rsidRPr="00740FD0">
        <w:rPr>
          <w:sz w:val="18"/>
          <w:szCs w:val="18"/>
        </w:rPr>
        <w:t xml:space="preserve">For instance, in context of privacy protections and the varying approaches and standards across federal and provincial jurisdictions to youth consent see the federal Office of the Privacy Commissioner of Canada’s </w:t>
      </w:r>
      <w:r w:rsidR="00A43903" w:rsidRPr="00740FD0">
        <w:rPr>
          <w:i/>
          <w:iCs/>
          <w:sz w:val="18"/>
          <w:szCs w:val="18"/>
        </w:rPr>
        <w:t>Guidelines for Obtaining Meaningful Consent</w:t>
      </w:r>
      <w:r w:rsidR="00A43903" w:rsidRPr="00740FD0">
        <w:rPr>
          <w:sz w:val="18"/>
          <w:szCs w:val="18"/>
        </w:rPr>
        <w:t xml:space="preserve"> (August 13, 2021), online: </w:t>
      </w:r>
      <w:hyperlink r:id="rId274" w:history="1">
        <w:r w:rsidR="00A43903" w:rsidRPr="00740FD0">
          <w:rPr>
            <w:rStyle w:val="Hyperlink"/>
            <w:sz w:val="18"/>
            <w:szCs w:val="18"/>
          </w:rPr>
          <w:t>https://priv.gc.ca/en/privacy-topics/collecting-personal-information/consent/gl_omc_201805/</w:t>
        </w:r>
      </w:hyperlink>
      <w:r w:rsidR="00A43903" w:rsidRPr="00740FD0">
        <w:rPr>
          <w:sz w:val="18"/>
          <w:szCs w:val="18"/>
        </w:rPr>
        <w:t xml:space="preserve">. </w:t>
      </w:r>
      <w:r w:rsidR="00A673CF" w:rsidRPr="00740FD0">
        <w:rPr>
          <w:sz w:val="18"/>
          <w:szCs w:val="18"/>
        </w:rPr>
        <w:t xml:space="preserve">Trade associations such as the </w:t>
      </w:r>
      <w:r w:rsidR="00A43903" w:rsidRPr="00740FD0">
        <w:rPr>
          <w:sz w:val="18"/>
          <w:szCs w:val="18"/>
        </w:rPr>
        <w:t xml:space="preserve">Canadian Marketing </w:t>
      </w:r>
      <w:r w:rsidR="00A673CF" w:rsidRPr="00740FD0">
        <w:rPr>
          <w:sz w:val="18"/>
          <w:szCs w:val="18"/>
        </w:rPr>
        <w:t>Association</w:t>
      </w:r>
      <w:r w:rsidR="00A43903" w:rsidRPr="00740FD0">
        <w:rPr>
          <w:sz w:val="18"/>
          <w:szCs w:val="18"/>
        </w:rPr>
        <w:t xml:space="preserve"> establish </w:t>
      </w:r>
      <w:r w:rsidR="00A673CF" w:rsidRPr="00740FD0">
        <w:rPr>
          <w:sz w:val="18"/>
          <w:szCs w:val="18"/>
        </w:rPr>
        <w:t xml:space="preserve">voluntary standards for marketing to children and youth that, while non-binding, </w:t>
      </w:r>
      <w:r w:rsidR="00A43903" w:rsidRPr="00740FD0">
        <w:rPr>
          <w:sz w:val="18"/>
          <w:szCs w:val="18"/>
        </w:rPr>
        <w:t xml:space="preserve">establish a set of minimum expectation and act as </w:t>
      </w:r>
      <w:r w:rsidR="00A43903" w:rsidRPr="00740FD0">
        <w:rPr>
          <w:i/>
          <w:iCs/>
          <w:sz w:val="18"/>
          <w:szCs w:val="18"/>
        </w:rPr>
        <w:t>de facto</w:t>
      </w:r>
      <w:r w:rsidR="00A43903" w:rsidRPr="00740FD0">
        <w:rPr>
          <w:sz w:val="18"/>
          <w:szCs w:val="18"/>
        </w:rPr>
        <w:t xml:space="preserve"> </w:t>
      </w:r>
      <w:r w:rsidR="00A673CF" w:rsidRPr="00740FD0">
        <w:rPr>
          <w:sz w:val="18"/>
          <w:szCs w:val="18"/>
        </w:rPr>
        <w:t xml:space="preserve">industry standards. See for example </w:t>
      </w:r>
      <w:r w:rsidR="00A43903" w:rsidRPr="00740FD0">
        <w:rPr>
          <w:sz w:val="18"/>
          <w:szCs w:val="18"/>
        </w:rPr>
        <w:t>C</w:t>
      </w:r>
      <w:r w:rsidR="00A673CF" w:rsidRPr="00740FD0">
        <w:rPr>
          <w:sz w:val="18"/>
          <w:szCs w:val="18"/>
        </w:rPr>
        <w:t>anadian Marketing Association, “Marketing to Children &amp; Teenagers” (</w:t>
      </w:r>
      <w:hyperlink r:id="rId275" w:history="1">
        <w:r w:rsidR="00A673CF" w:rsidRPr="00740FD0">
          <w:rPr>
            <w:rStyle w:val="Hyperlink"/>
            <w:sz w:val="18"/>
            <w:szCs w:val="18"/>
          </w:rPr>
          <w:t>https://thecma.ca/resources/maintaining-standards/marketing-to-children-and-teens</w:t>
        </w:r>
      </w:hyperlink>
      <w:r w:rsidR="00A673CF" w:rsidRPr="00740FD0">
        <w:rPr>
          <w:sz w:val="18"/>
          <w:szCs w:val="18"/>
        </w:rPr>
        <w:t xml:space="preserve">) as well as sections K and L of the </w:t>
      </w:r>
      <w:r w:rsidR="00A673CF" w:rsidRPr="00740FD0">
        <w:rPr>
          <w:i/>
          <w:iCs/>
          <w:sz w:val="18"/>
          <w:szCs w:val="18"/>
        </w:rPr>
        <w:t>Canadian Marketing Code of Ethics and Standards</w:t>
      </w:r>
      <w:r w:rsidR="00A673CF" w:rsidRPr="00740FD0">
        <w:rPr>
          <w:sz w:val="18"/>
          <w:szCs w:val="18"/>
        </w:rPr>
        <w:t xml:space="preserve">, online: </w:t>
      </w:r>
      <w:hyperlink r:id="rId276" w:history="1">
        <w:r w:rsidR="00A673CF" w:rsidRPr="00740FD0">
          <w:rPr>
            <w:rStyle w:val="Hyperlink"/>
            <w:sz w:val="18"/>
            <w:szCs w:val="18"/>
          </w:rPr>
          <w:t>https://thecma.ca/resources/code-of-ethics-standards</w:t>
        </w:r>
      </w:hyperlink>
      <w:r w:rsidR="00A673CF" w:rsidRPr="00740FD0">
        <w:rPr>
          <w:sz w:val="18"/>
          <w:szCs w:val="18"/>
        </w:rPr>
        <w:t xml:space="preserve">. </w:t>
      </w:r>
    </w:p>
  </w:endnote>
  <w:endnote w:id="304">
    <w:p w14:paraId="186DD99F" w14:textId="17B053F9" w:rsidR="00730BFC" w:rsidRPr="00740FD0" w:rsidRDefault="00730BFC">
      <w:pPr>
        <w:pStyle w:val="EndnoteText"/>
        <w:rPr>
          <w:sz w:val="18"/>
          <w:szCs w:val="18"/>
        </w:rPr>
      </w:pPr>
      <w:r w:rsidRPr="00740FD0">
        <w:rPr>
          <w:rStyle w:val="EndnoteReference"/>
          <w:sz w:val="18"/>
          <w:szCs w:val="18"/>
        </w:rPr>
        <w:endnoteRef/>
      </w:r>
      <w:r w:rsidRPr="00740FD0">
        <w:rPr>
          <w:sz w:val="18"/>
          <w:szCs w:val="18"/>
        </w:rPr>
        <w:t xml:space="preserve"> Advocacy Centre for the Elderly, “Letter to Consumer Protection Act Review” (February 2, 2021), on file with the LCO.</w:t>
      </w:r>
    </w:p>
  </w:endnote>
  <w:endnote w:id="305">
    <w:p w14:paraId="34C89DA3" w14:textId="0D618C2C" w:rsidR="00730BFC" w:rsidRPr="00740FD0" w:rsidRDefault="00730BFC">
      <w:pPr>
        <w:pStyle w:val="EndnoteText"/>
        <w:rPr>
          <w:sz w:val="18"/>
          <w:szCs w:val="18"/>
        </w:rPr>
      </w:pPr>
      <w:r w:rsidRPr="00740FD0">
        <w:rPr>
          <w:rStyle w:val="EndnoteReference"/>
          <w:sz w:val="18"/>
          <w:szCs w:val="18"/>
        </w:rPr>
        <w:endnoteRef/>
      </w:r>
      <w:r w:rsidRPr="00740FD0">
        <w:rPr>
          <w:sz w:val="18"/>
          <w:szCs w:val="18"/>
        </w:rPr>
        <w:t xml:space="preserve"> Advocacy Centre for the Elderly, “Letter to Consumer Protection Act Review” (February 2, 2021), on file with the LCO.</w:t>
      </w:r>
    </w:p>
  </w:endnote>
  <w:endnote w:id="306">
    <w:p w14:paraId="778D1F10" w14:textId="77777777" w:rsidR="007F1FCB" w:rsidRPr="00740FD0" w:rsidRDefault="007F1FCB" w:rsidP="007F1FCB">
      <w:pPr>
        <w:pStyle w:val="EndnoteText"/>
        <w:rPr>
          <w:sz w:val="18"/>
          <w:szCs w:val="18"/>
        </w:rPr>
      </w:pPr>
      <w:r w:rsidRPr="00740FD0">
        <w:rPr>
          <w:rStyle w:val="EndnoteReference"/>
          <w:sz w:val="18"/>
          <w:szCs w:val="18"/>
        </w:rPr>
        <w:endnoteRef/>
      </w:r>
      <w:r w:rsidRPr="00740FD0">
        <w:rPr>
          <w:sz w:val="18"/>
          <w:szCs w:val="18"/>
        </w:rPr>
        <w:t xml:space="preserve"> Advocacy Centre for the Elderly, “Letter to Consumer Protection Act Review” (February 2, 2021), on file with the LCO.</w:t>
      </w:r>
    </w:p>
  </w:endnote>
  <w:endnote w:id="307">
    <w:p w14:paraId="7BEDA557" w14:textId="77777777" w:rsidR="007F1FCB" w:rsidRPr="00740FD0" w:rsidRDefault="007F1FCB" w:rsidP="007F1FCB">
      <w:pPr>
        <w:pStyle w:val="EndnoteText"/>
        <w:rPr>
          <w:sz w:val="18"/>
          <w:szCs w:val="18"/>
        </w:rPr>
      </w:pPr>
      <w:r w:rsidRPr="00740FD0">
        <w:rPr>
          <w:rStyle w:val="EndnoteReference"/>
          <w:sz w:val="18"/>
          <w:szCs w:val="18"/>
        </w:rPr>
        <w:endnoteRef/>
      </w:r>
      <w:r w:rsidRPr="00740FD0">
        <w:rPr>
          <w:sz w:val="18"/>
          <w:szCs w:val="18"/>
        </w:rPr>
        <w:t xml:space="preserve"> Advocacy Centre for the Elderly, “Letter to Consumer Protection Act Review” (February 2, 2021), on file with the LCO.</w:t>
      </w:r>
    </w:p>
  </w:endnote>
  <w:endnote w:id="308">
    <w:p w14:paraId="44963B6F" w14:textId="7C5FFD43" w:rsidR="00730BFC" w:rsidRPr="00740FD0" w:rsidRDefault="00730BFC">
      <w:pPr>
        <w:pStyle w:val="EndnoteText"/>
        <w:rPr>
          <w:sz w:val="18"/>
          <w:szCs w:val="18"/>
        </w:rPr>
      </w:pPr>
      <w:r w:rsidRPr="00740FD0">
        <w:rPr>
          <w:rStyle w:val="EndnoteReference"/>
          <w:sz w:val="18"/>
          <w:szCs w:val="18"/>
        </w:rPr>
        <w:endnoteRef/>
      </w:r>
      <w:r w:rsidRPr="00740FD0">
        <w:rPr>
          <w:sz w:val="18"/>
          <w:szCs w:val="18"/>
        </w:rPr>
        <w:t xml:space="preserve"> Advocacy Centre for the Elderly, “Letter to Consumer Protection Act Review” (February 2, 2021), on file with the LCO.</w:t>
      </w:r>
    </w:p>
  </w:endnote>
  <w:endnote w:id="309">
    <w:p w14:paraId="44D72D37" w14:textId="2A72966A" w:rsidR="00A97808" w:rsidRPr="00740FD0" w:rsidRDefault="00A97808">
      <w:pPr>
        <w:pStyle w:val="EndnoteText"/>
        <w:rPr>
          <w:sz w:val="18"/>
          <w:szCs w:val="18"/>
        </w:rPr>
      </w:pPr>
      <w:r w:rsidRPr="00740FD0">
        <w:rPr>
          <w:rStyle w:val="EndnoteReference"/>
          <w:sz w:val="18"/>
          <w:szCs w:val="18"/>
        </w:rPr>
        <w:endnoteRef/>
      </w:r>
      <w:r w:rsidRPr="00740FD0">
        <w:rPr>
          <w:sz w:val="18"/>
          <w:szCs w:val="18"/>
        </w:rPr>
        <w:t xml:space="preserve"> Advocacy Centre for the Elderly, “Letter to Consumer Protection Act Review” (February 2, 2021), on file with the LCO.</w:t>
      </w:r>
    </w:p>
  </w:endnote>
  <w:endnote w:id="310">
    <w:p w14:paraId="4469FC48" w14:textId="700F7A75" w:rsidR="00730BFC" w:rsidRPr="00740FD0" w:rsidRDefault="00730BFC">
      <w:pPr>
        <w:pStyle w:val="EndnoteText"/>
        <w:rPr>
          <w:sz w:val="18"/>
          <w:szCs w:val="18"/>
        </w:rPr>
      </w:pPr>
      <w:r w:rsidRPr="00740FD0">
        <w:rPr>
          <w:rStyle w:val="EndnoteReference"/>
          <w:sz w:val="18"/>
          <w:szCs w:val="18"/>
        </w:rPr>
        <w:endnoteRef/>
      </w:r>
      <w:r w:rsidRPr="00740FD0">
        <w:rPr>
          <w:sz w:val="18"/>
          <w:szCs w:val="18"/>
        </w:rPr>
        <w:t xml:space="preserve"> Advocacy Centre for the Elderly, “Letter to Consumer Protection Act Review” (February 2, 2021), on file with the LCO.</w:t>
      </w:r>
    </w:p>
  </w:endnote>
  <w:endnote w:id="311">
    <w:p w14:paraId="7745F2EC" w14:textId="77777777" w:rsidR="001E6AB6" w:rsidRPr="00740FD0" w:rsidRDefault="001E6AB6" w:rsidP="001E6AB6">
      <w:pPr>
        <w:pStyle w:val="EndnoteText"/>
        <w:rPr>
          <w:sz w:val="18"/>
          <w:szCs w:val="18"/>
        </w:rPr>
      </w:pPr>
      <w:r w:rsidRPr="00740FD0">
        <w:rPr>
          <w:rStyle w:val="EndnoteReference"/>
          <w:sz w:val="18"/>
          <w:szCs w:val="18"/>
        </w:rPr>
        <w:endnoteRef/>
      </w:r>
      <w:r w:rsidRPr="00740FD0">
        <w:rPr>
          <w:sz w:val="18"/>
          <w:szCs w:val="18"/>
        </w:rPr>
        <w:t xml:space="preserve"> American Law Institute, </w:t>
      </w:r>
      <w:r w:rsidRPr="00740FD0">
        <w:rPr>
          <w:i/>
          <w:iCs/>
          <w:sz w:val="18"/>
          <w:szCs w:val="18"/>
        </w:rPr>
        <w:t xml:space="preserve">Restatement of the Law, Consumer Contracts </w:t>
      </w:r>
      <w:r w:rsidRPr="00740FD0">
        <w:rPr>
          <w:sz w:val="18"/>
          <w:szCs w:val="18"/>
        </w:rPr>
        <w:t>(tentative draft no. 2, as published, 2022), at 9, 119.</w:t>
      </w:r>
    </w:p>
  </w:endnote>
  <w:endnote w:id="312">
    <w:p w14:paraId="74DFC60A" w14:textId="3DF30802" w:rsidR="00F81524" w:rsidRPr="00740FD0" w:rsidRDefault="00F81524" w:rsidP="00081BDE">
      <w:pPr>
        <w:pStyle w:val="EndnoteText"/>
        <w:rPr>
          <w:sz w:val="18"/>
          <w:szCs w:val="18"/>
        </w:rPr>
      </w:pPr>
      <w:r w:rsidRPr="00740FD0">
        <w:rPr>
          <w:rStyle w:val="EndnoteReference"/>
          <w:sz w:val="18"/>
          <w:szCs w:val="18"/>
        </w:rPr>
        <w:endnoteRef/>
      </w:r>
      <w:r w:rsidRPr="00740FD0">
        <w:rPr>
          <w:sz w:val="18"/>
          <w:szCs w:val="18"/>
        </w:rPr>
        <w:t xml:space="preserve"> </w:t>
      </w:r>
      <w:r w:rsidR="0013065C" w:rsidRPr="00740FD0">
        <w:rPr>
          <w:sz w:val="18"/>
          <w:szCs w:val="18"/>
        </w:rPr>
        <w:t xml:space="preserve">American Law Institute, </w:t>
      </w:r>
      <w:r w:rsidR="0013065C" w:rsidRPr="00740FD0">
        <w:rPr>
          <w:i/>
          <w:iCs/>
          <w:sz w:val="18"/>
          <w:szCs w:val="18"/>
        </w:rPr>
        <w:t xml:space="preserve">Restatement of the Law, Consumer Contracts </w:t>
      </w:r>
      <w:r w:rsidR="0013065C" w:rsidRPr="00740FD0">
        <w:rPr>
          <w:sz w:val="18"/>
          <w:szCs w:val="18"/>
        </w:rPr>
        <w:t xml:space="preserve">(tentative draft no. 2, as published, 2022), </w:t>
      </w:r>
      <w:r w:rsidRPr="00740FD0">
        <w:rPr>
          <w:sz w:val="18"/>
          <w:szCs w:val="18"/>
        </w:rPr>
        <w:t>at 119.</w:t>
      </w:r>
    </w:p>
  </w:endnote>
  <w:endnote w:id="313">
    <w:p w14:paraId="47BD6166" w14:textId="0216F92E" w:rsidR="00F81524" w:rsidRPr="00740FD0" w:rsidRDefault="00F81524" w:rsidP="00081BDE">
      <w:pPr>
        <w:pStyle w:val="EndnoteText"/>
        <w:rPr>
          <w:sz w:val="18"/>
          <w:szCs w:val="18"/>
        </w:rPr>
      </w:pPr>
      <w:r w:rsidRPr="00740FD0">
        <w:rPr>
          <w:rStyle w:val="EndnoteReference"/>
          <w:sz w:val="18"/>
          <w:szCs w:val="18"/>
        </w:rPr>
        <w:endnoteRef/>
      </w:r>
      <w:r w:rsidRPr="00740FD0">
        <w:rPr>
          <w:sz w:val="18"/>
          <w:szCs w:val="18"/>
        </w:rPr>
        <w:t xml:space="preserve"> </w:t>
      </w:r>
      <w:r w:rsidR="0013065C" w:rsidRPr="00740FD0">
        <w:rPr>
          <w:sz w:val="18"/>
          <w:szCs w:val="18"/>
        </w:rPr>
        <w:t xml:space="preserve">American Law Institute, </w:t>
      </w:r>
      <w:r w:rsidR="0013065C" w:rsidRPr="00740FD0">
        <w:rPr>
          <w:i/>
          <w:iCs/>
          <w:sz w:val="18"/>
          <w:szCs w:val="18"/>
        </w:rPr>
        <w:t xml:space="preserve">Restatement of the Law, Consumer Contracts </w:t>
      </w:r>
      <w:r w:rsidR="0013065C" w:rsidRPr="00740FD0">
        <w:rPr>
          <w:sz w:val="18"/>
          <w:szCs w:val="18"/>
        </w:rPr>
        <w:t>(tentative draft no. 2, as published, 2022), at 127</w:t>
      </w:r>
      <w:r w:rsidRPr="00740FD0">
        <w:rPr>
          <w:sz w:val="18"/>
          <w:szCs w:val="18"/>
        </w:rPr>
        <w:t>.</w:t>
      </w:r>
    </w:p>
  </w:endnote>
  <w:endnote w:id="314">
    <w:p w14:paraId="7356D250" w14:textId="3A18CF71" w:rsidR="00C14F58" w:rsidRPr="00740FD0" w:rsidRDefault="00C14F58" w:rsidP="00C14F58">
      <w:pPr>
        <w:pStyle w:val="EndnoteText"/>
        <w:rPr>
          <w:sz w:val="18"/>
          <w:szCs w:val="18"/>
        </w:rPr>
      </w:pPr>
      <w:r w:rsidRPr="00740FD0">
        <w:rPr>
          <w:rStyle w:val="EndnoteReference"/>
          <w:sz w:val="18"/>
          <w:szCs w:val="18"/>
        </w:rPr>
        <w:endnoteRef/>
      </w:r>
      <w:r w:rsidRPr="00740FD0">
        <w:rPr>
          <w:sz w:val="18"/>
          <w:szCs w:val="18"/>
        </w:rPr>
        <w:t xml:space="preserve"> </w:t>
      </w:r>
      <w:r w:rsidR="00A673CF" w:rsidRPr="00740FD0">
        <w:rPr>
          <w:sz w:val="18"/>
          <w:szCs w:val="18"/>
        </w:rPr>
        <w:t xml:space="preserve">American Law Institute, </w:t>
      </w:r>
      <w:r w:rsidR="00A673CF" w:rsidRPr="00740FD0">
        <w:rPr>
          <w:i/>
          <w:iCs/>
          <w:sz w:val="18"/>
          <w:szCs w:val="18"/>
        </w:rPr>
        <w:t xml:space="preserve">Restatement of the Law, Consumer Contracts </w:t>
      </w:r>
      <w:r w:rsidR="00A673CF" w:rsidRPr="00740FD0">
        <w:rPr>
          <w:sz w:val="18"/>
          <w:szCs w:val="18"/>
        </w:rPr>
        <w:t>(tentative draft no. 2, as published, 2022), at 3.</w:t>
      </w:r>
    </w:p>
  </w:endnote>
  <w:endnote w:id="315">
    <w:p w14:paraId="64CF3009" w14:textId="77777777" w:rsidR="00C14F58" w:rsidRPr="00740FD0" w:rsidRDefault="00C14F58" w:rsidP="00C14F58">
      <w:pPr>
        <w:pStyle w:val="EndnoteText"/>
        <w:rPr>
          <w:sz w:val="18"/>
          <w:szCs w:val="18"/>
        </w:rPr>
      </w:pPr>
      <w:r w:rsidRPr="00740FD0">
        <w:rPr>
          <w:rStyle w:val="EndnoteReference"/>
          <w:sz w:val="18"/>
          <w:szCs w:val="18"/>
        </w:rPr>
        <w:endnoteRef/>
      </w:r>
      <w:r w:rsidRPr="00740FD0">
        <w:rPr>
          <w:sz w:val="18"/>
          <w:szCs w:val="18"/>
        </w:rPr>
        <w:t xml:space="preserve"> American Law Institute, </w:t>
      </w:r>
      <w:r w:rsidRPr="00740FD0">
        <w:rPr>
          <w:i/>
          <w:iCs/>
          <w:sz w:val="18"/>
          <w:szCs w:val="18"/>
        </w:rPr>
        <w:t xml:space="preserve">Restatement of the Law, Consumer Contracts </w:t>
      </w:r>
      <w:r w:rsidRPr="00740FD0">
        <w:rPr>
          <w:sz w:val="18"/>
          <w:szCs w:val="18"/>
        </w:rPr>
        <w:t>(tentative draft no. 2, as published, 2022), at 100-102.</w:t>
      </w:r>
    </w:p>
  </w:endnote>
  <w:endnote w:id="316">
    <w:p w14:paraId="191C71DD" w14:textId="77777777" w:rsidR="005A6C78" w:rsidRPr="00740FD0" w:rsidRDefault="005A6C78" w:rsidP="005A6C78">
      <w:pPr>
        <w:pStyle w:val="EndnoteText"/>
        <w:rPr>
          <w:sz w:val="18"/>
          <w:szCs w:val="18"/>
        </w:rPr>
      </w:pPr>
      <w:r w:rsidRPr="00740FD0">
        <w:rPr>
          <w:rStyle w:val="EndnoteReference"/>
          <w:sz w:val="18"/>
          <w:szCs w:val="18"/>
        </w:rPr>
        <w:endnoteRef/>
      </w:r>
      <w:r w:rsidRPr="00740FD0">
        <w:rPr>
          <w:sz w:val="18"/>
          <w:szCs w:val="18"/>
        </w:rPr>
        <w:t xml:space="preserve"> American Law Institute, </w:t>
      </w:r>
      <w:r w:rsidRPr="00740FD0">
        <w:rPr>
          <w:i/>
          <w:iCs/>
          <w:sz w:val="18"/>
          <w:szCs w:val="18"/>
        </w:rPr>
        <w:t xml:space="preserve">Restatement of the Law, Consumer Contracts </w:t>
      </w:r>
      <w:r w:rsidRPr="00740FD0">
        <w:rPr>
          <w:sz w:val="18"/>
          <w:szCs w:val="18"/>
        </w:rPr>
        <w:t>(tentative draft no. 2, as published, 2022), at 3-4.</w:t>
      </w:r>
    </w:p>
  </w:endnote>
  <w:endnote w:id="317">
    <w:p w14:paraId="2917B0D2" w14:textId="77777777" w:rsidR="00176DAE" w:rsidRPr="00740FD0" w:rsidRDefault="00176DAE" w:rsidP="00176DAE">
      <w:pPr>
        <w:pStyle w:val="EndnoteText"/>
        <w:rPr>
          <w:sz w:val="18"/>
          <w:szCs w:val="18"/>
        </w:rPr>
      </w:pPr>
      <w:r w:rsidRPr="00740FD0">
        <w:rPr>
          <w:rStyle w:val="EndnoteReference"/>
          <w:sz w:val="18"/>
          <w:szCs w:val="18"/>
        </w:rPr>
        <w:endnoteRef/>
      </w:r>
      <w:r w:rsidRPr="00740FD0">
        <w:rPr>
          <w:sz w:val="18"/>
          <w:szCs w:val="18"/>
        </w:rPr>
        <w:t xml:space="preserve"> CPA s. 14. </w:t>
      </w:r>
    </w:p>
  </w:endnote>
  <w:endnote w:id="318">
    <w:p w14:paraId="0CE7267C" w14:textId="77777777" w:rsidR="00176DAE" w:rsidRPr="00740FD0" w:rsidRDefault="00176DAE" w:rsidP="00176DAE">
      <w:pPr>
        <w:pStyle w:val="EndnoteText"/>
        <w:rPr>
          <w:sz w:val="18"/>
          <w:szCs w:val="18"/>
        </w:rPr>
      </w:pPr>
      <w:r w:rsidRPr="00740FD0">
        <w:rPr>
          <w:rStyle w:val="EndnoteReference"/>
          <w:sz w:val="18"/>
          <w:szCs w:val="18"/>
        </w:rPr>
        <w:endnoteRef/>
      </w:r>
      <w:r w:rsidRPr="00740FD0">
        <w:rPr>
          <w:sz w:val="18"/>
          <w:szCs w:val="18"/>
        </w:rPr>
        <w:t xml:space="preserve"> CPA s. 15. </w:t>
      </w:r>
    </w:p>
  </w:endnote>
  <w:endnote w:id="319">
    <w:p w14:paraId="19F3596A" w14:textId="0D2D1F35" w:rsidR="000D0ABE" w:rsidRPr="00740FD0" w:rsidRDefault="000D0ABE">
      <w:pPr>
        <w:pStyle w:val="EndnoteText"/>
        <w:rPr>
          <w:sz w:val="18"/>
          <w:szCs w:val="18"/>
        </w:rPr>
      </w:pPr>
      <w:r w:rsidRPr="00740FD0">
        <w:rPr>
          <w:rStyle w:val="EndnoteReference"/>
          <w:sz w:val="18"/>
          <w:szCs w:val="18"/>
        </w:rPr>
        <w:endnoteRef/>
      </w:r>
      <w:r w:rsidRPr="00740FD0">
        <w:rPr>
          <w:sz w:val="18"/>
          <w:szCs w:val="18"/>
        </w:rPr>
        <w:t xml:space="preserve"> </w:t>
      </w:r>
      <w:r w:rsidR="0013065C" w:rsidRPr="00740FD0">
        <w:rPr>
          <w:sz w:val="18"/>
          <w:szCs w:val="18"/>
        </w:rPr>
        <w:t xml:space="preserve">CPA s. 14(2). </w:t>
      </w:r>
    </w:p>
  </w:endnote>
  <w:endnote w:id="320">
    <w:p w14:paraId="0A046155" w14:textId="1712FA3D" w:rsidR="009C03F8" w:rsidRPr="00740FD0" w:rsidRDefault="009C03F8">
      <w:pPr>
        <w:pStyle w:val="EndnoteText"/>
        <w:rPr>
          <w:sz w:val="18"/>
          <w:szCs w:val="18"/>
        </w:rPr>
      </w:pPr>
      <w:r w:rsidRPr="00740FD0">
        <w:rPr>
          <w:rStyle w:val="EndnoteReference"/>
          <w:sz w:val="18"/>
          <w:szCs w:val="18"/>
        </w:rPr>
        <w:endnoteRef/>
      </w:r>
      <w:r w:rsidRPr="00740FD0">
        <w:rPr>
          <w:sz w:val="18"/>
          <w:szCs w:val="18"/>
        </w:rPr>
        <w:t xml:space="preserve"> CPA s. 17(1)</w:t>
      </w:r>
      <w:r w:rsidR="0013065C" w:rsidRPr="00740FD0">
        <w:rPr>
          <w:sz w:val="18"/>
          <w:szCs w:val="18"/>
        </w:rPr>
        <w:t>.</w:t>
      </w:r>
    </w:p>
  </w:endnote>
  <w:endnote w:id="321">
    <w:p w14:paraId="2011B1DC" w14:textId="57857C98" w:rsidR="009C03F8" w:rsidRPr="00740FD0" w:rsidRDefault="009C03F8">
      <w:pPr>
        <w:pStyle w:val="EndnoteText"/>
        <w:rPr>
          <w:sz w:val="18"/>
          <w:szCs w:val="18"/>
        </w:rPr>
      </w:pPr>
      <w:r w:rsidRPr="00740FD0">
        <w:rPr>
          <w:rStyle w:val="EndnoteReference"/>
          <w:sz w:val="18"/>
          <w:szCs w:val="18"/>
        </w:rPr>
        <w:endnoteRef/>
      </w:r>
      <w:r w:rsidRPr="00740FD0">
        <w:rPr>
          <w:sz w:val="18"/>
          <w:szCs w:val="18"/>
        </w:rPr>
        <w:t xml:space="preserve"> CPA s. 18(1).</w:t>
      </w:r>
    </w:p>
  </w:endnote>
  <w:endnote w:id="322">
    <w:p w14:paraId="589C919D" w14:textId="54E3E2D0" w:rsidR="00592201" w:rsidRPr="00740FD0" w:rsidRDefault="00592201">
      <w:pPr>
        <w:pStyle w:val="EndnoteText"/>
        <w:rPr>
          <w:sz w:val="18"/>
          <w:szCs w:val="18"/>
        </w:rPr>
      </w:pPr>
      <w:r w:rsidRPr="00740FD0">
        <w:rPr>
          <w:rStyle w:val="EndnoteReference"/>
          <w:sz w:val="18"/>
          <w:szCs w:val="18"/>
        </w:rPr>
        <w:endnoteRef/>
      </w:r>
      <w:r w:rsidRPr="00740FD0">
        <w:rPr>
          <w:sz w:val="18"/>
          <w:szCs w:val="18"/>
        </w:rPr>
        <w:t xml:space="preserve"> CPA s. 18(11)). </w:t>
      </w:r>
    </w:p>
  </w:endnote>
  <w:endnote w:id="323">
    <w:p w14:paraId="4FC5D63B" w14:textId="76DFEA16" w:rsidR="003D2F58" w:rsidRPr="00740FD0" w:rsidRDefault="003D2F58">
      <w:pPr>
        <w:pStyle w:val="EndnoteText"/>
        <w:rPr>
          <w:sz w:val="18"/>
          <w:szCs w:val="18"/>
        </w:rPr>
      </w:pPr>
      <w:r w:rsidRPr="00740FD0">
        <w:rPr>
          <w:rStyle w:val="EndnoteReference"/>
          <w:sz w:val="18"/>
          <w:szCs w:val="18"/>
        </w:rPr>
        <w:endnoteRef/>
      </w:r>
      <w:r w:rsidRPr="00740FD0">
        <w:rPr>
          <w:sz w:val="18"/>
          <w:szCs w:val="18"/>
        </w:rPr>
        <w:t xml:space="preserve"> </w:t>
      </w:r>
      <w:r w:rsidR="0013065C" w:rsidRPr="00740FD0">
        <w:rPr>
          <w:sz w:val="18"/>
          <w:szCs w:val="18"/>
        </w:rPr>
        <w:t xml:space="preserve">Ontario, </w:t>
      </w:r>
      <w:r w:rsidR="0013065C" w:rsidRPr="00740FD0">
        <w:rPr>
          <w:i/>
          <w:iCs/>
          <w:sz w:val="18"/>
          <w:szCs w:val="18"/>
        </w:rPr>
        <w:t xml:space="preserve">Modernizing Consumer Protection in Ontario Strengthening the Consumer Protection Act </w:t>
      </w:r>
      <w:r w:rsidR="0013065C" w:rsidRPr="00740FD0">
        <w:rPr>
          <w:sz w:val="18"/>
          <w:szCs w:val="18"/>
        </w:rPr>
        <w:t xml:space="preserve">(Ministry of Public and Business Service Delivery, February 2023) at 9, online: </w:t>
      </w:r>
      <w:hyperlink r:id="rId277" w:history="1">
        <w:r w:rsidR="0013065C" w:rsidRPr="00740FD0">
          <w:rPr>
            <w:rStyle w:val="Hyperlink"/>
            <w:sz w:val="18"/>
            <w:szCs w:val="18"/>
          </w:rPr>
          <w:t>https://www.ontariocanada.com/registry/view.do?postingId=43452&amp;language=en</w:t>
        </w:r>
      </w:hyperlink>
      <w:r w:rsidRPr="00740FD0">
        <w:rPr>
          <w:sz w:val="18"/>
          <w:szCs w:val="18"/>
        </w:rPr>
        <w:t>.</w:t>
      </w:r>
    </w:p>
  </w:endnote>
  <w:endnote w:id="324">
    <w:p w14:paraId="7EE0A3EF" w14:textId="784583CB" w:rsidR="00751CE0" w:rsidRPr="00740FD0" w:rsidRDefault="00751CE0" w:rsidP="00751CE0">
      <w:pPr>
        <w:pStyle w:val="EndnoteText"/>
        <w:rPr>
          <w:sz w:val="18"/>
          <w:szCs w:val="18"/>
        </w:rPr>
      </w:pPr>
      <w:r w:rsidRPr="00740FD0">
        <w:rPr>
          <w:rStyle w:val="EndnoteReference"/>
          <w:sz w:val="18"/>
          <w:szCs w:val="18"/>
        </w:rPr>
        <w:endnoteRef/>
      </w:r>
      <w:r w:rsidRPr="00740FD0">
        <w:rPr>
          <w:sz w:val="18"/>
          <w:szCs w:val="18"/>
        </w:rPr>
        <w:t xml:space="preserve"> </w:t>
      </w:r>
      <w:r w:rsidR="0013065C" w:rsidRPr="00740FD0">
        <w:rPr>
          <w:sz w:val="18"/>
          <w:szCs w:val="18"/>
        </w:rPr>
        <w:t xml:space="preserve">Ontario, </w:t>
      </w:r>
      <w:r w:rsidR="0013065C" w:rsidRPr="00740FD0">
        <w:rPr>
          <w:i/>
          <w:iCs/>
          <w:sz w:val="18"/>
          <w:szCs w:val="18"/>
        </w:rPr>
        <w:t xml:space="preserve">Modernizing Consumer Protection in Ontario Strengthening the Consumer Protection Act </w:t>
      </w:r>
      <w:r w:rsidR="0013065C" w:rsidRPr="00740FD0">
        <w:rPr>
          <w:sz w:val="18"/>
          <w:szCs w:val="18"/>
        </w:rPr>
        <w:t xml:space="preserve">(Ministry of Public and Business Service Delivery, February 2023) at 10-11, online: </w:t>
      </w:r>
      <w:hyperlink r:id="rId278" w:history="1">
        <w:r w:rsidR="0013065C" w:rsidRPr="00740FD0">
          <w:rPr>
            <w:rStyle w:val="Hyperlink"/>
            <w:sz w:val="18"/>
            <w:szCs w:val="18"/>
          </w:rPr>
          <w:t>https://www.ontariocanada.com/registry/view.do?postingId=43452&amp;language=en</w:t>
        </w:r>
      </w:hyperlink>
      <w:r w:rsidRPr="00740FD0">
        <w:rPr>
          <w:sz w:val="18"/>
          <w:szCs w:val="18"/>
        </w:rPr>
        <w:t>.</w:t>
      </w:r>
    </w:p>
  </w:endnote>
  <w:endnote w:id="325">
    <w:p w14:paraId="4BEA1491" w14:textId="6DB87DF8" w:rsidR="00F410B8" w:rsidRPr="00740FD0" w:rsidRDefault="00F410B8" w:rsidP="00F410B8">
      <w:pPr>
        <w:pStyle w:val="EndnoteText"/>
        <w:rPr>
          <w:sz w:val="18"/>
          <w:szCs w:val="18"/>
        </w:rPr>
      </w:pPr>
      <w:r w:rsidRPr="00740FD0">
        <w:rPr>
          <w:rStyle w:val="EndnoteReference"/>
          <w:sz w:val="18"/>
          <w:szCs w:val="18"/>
        </w:rPr>
        <w:endnoteRef/>
      </w:r>
      <w:r w:rsidRPr="00740FD0">
        <w:rPr>
          <w:sz w:val="18"/>
          <w:szCs w:val="18"/>
        </w:rPr>
        <w:t xml:space="preserve"> </w:t>
      </w:r>
      <w:r w:rsidR="00A673CF" w:rsidRPr="00740FD0">
        <w:rPr>
          <w:sz w:val="18"/>
          <w:szCs w:val="18"/>
        </w:rPr>
        <w:t xml:space="preserve">See the discussion in American Law Institute, “§ 5. Unconscionability” and ““§ 6. Deception” in </w:t>
      </w:r>
      <w:r w:rsidR="00A673CF" w:rsidRPr="00740FD0">
        <w:rPr>
          <w:i/>
          <w:iCs/>
          <w:sz w:val="18"/>
          <w:szCs w:val="18"/>
        </w:rPr>
        <w:t xml:space="preserve">Restatement of the Law, Consumer Contracts </w:t>
      </w:r>
      <w:r w:rsidR="00A673CF" w:rsidRPr="00740FD0">
        <w:rPr>
          <w:sz w:val="18"/>
          <w:szCs w:val="18"/>
        </w:rPr>
        <w:t>(tentative draft no. 2, as published, 2022).</w:t>
      </w:r>
    </w:p>
  </w:endnote>
  <w:endnote w:id="326">
    <w:p w14:paraId="6C48D677" w14:textId="7D145736" w:rsidR="001A0989" w:rsidRPr="00740FD0" w:rsidRDefault="001A0989">
      <w:pPr>
        <w:pStyle w:val="EndnoteText"/>
        <w:rPr>
          <w:sz w:val="18"/>
          <w:szCs w:val="18"/>
        </w:rPr>
      </w:pPr>
      <w:r w:rsidRPr="00740FD0">
        <w:rPr>
          <w:rStyle w:val="EndnoteReference"/>
          <w:sz w:val="18"/>
          <w:szCs w:val="18"/>
        </w:rPr>
        <w:endnoteRef/>
      </w:r>
      <w:r w:rsidRPr="00740FD0">
        <w:rPr>
          <w:sz w:val="18"/>
          <w:szCs w:val="18"/>
        </w:rPr>
        <w:t xml:space="preserve"> </w:t>
      </w:r>
      <w:r w:rsidR="00A673CF" w:rsidRPr="00740FD0">
        <w:rPr>
          <w:sz w:val="18"/>
          <w:szCs w:val="18"/>
        </w:rPr>
        <w:t>See this and other examples earlier in this paper at Section 2.3 “Examples of Terms from Existing ToS Contracts in Canada.”</w:t>
      </w:r>
    </w:p>
  </w:endnote>
  <w:endnote w:id="327">
    <w:p w14:paraId="6B988EC9" w14:textId="275C08A1" w:rsidR="008A1F04" w:rsidRPr="00740FD0" w:rsidRDefault="008A1F04" w:rsidP="008A1F04">
      <w:pPr>
        <w:pStyle w:val="EndnoteText"/>
        <w:rPr>
          <w:sz w:val="18"/>
          <w:szCs w:val="18"/>
        </w:rPr>
      </w:pPr>
      <w:r w:rsidRPr="00740FD0">
        <w:rPr>
          <w:rStyle w:val="EndnoteReference"/>
          <w:sz w:val="18"/>
          <w:szCs w:val="18"/>
        </w:rPr>
        <w:endnoteRef/>
      </w:r>
      <w:r w:rsidRPr="00740FD0">
        <w:rPr>
          <w:sz w:val="18"/>
          <w:szCs w:val="18"/>
        </w:rPr>
        <w:t xml:space="preserve"> </w:t>
      </w:r>
      <w:r w:rsidR="0013065C" w:rsidRPr="00740FD0">
        <w:rPr>
          <w:sz w:val="18"/>
          <w:szCs w:val="18"/>
        </w:rPr>
        <w:t xml:space="preserve">The Markup, “The Popular Family Safety App Life360 Is Selling Precise Location Data on Its Tens of Millions of Users” (December 6, 2021), online: </w:t>
      </w:r>
      <w:hyperlink r:id="rId279" w:history="1">
        <w:r w:rsidR="0013065C" w:rsidRPr="00740FD0">
          <w:rPr>
            <w:rStyle w:val="Hyperlink"/>
            <w:sz w:val="18"/>
            <w:szCs w:val="18"/>
          </w:rPr>
          <w:t>https://themarkup.org/privacy/2021/12/06/the-popular-family-safety-app-life360-is-selling-precise-location-data-on-its-tens-of-millions-of-user</w:t>
        </w:r>
      </w:hyperlink>
      <w:r w:rsidR="0013065C" w:rsidRPr="00740FD0">
        <w:rPr>
          <w:sz w:val="18"/>
          <w:szCs w:val="18"/>
        </w:rPr>
        <w:t>.</w:t>
      </w:r>
    </w:p>
  </w:endnote>
  <w:endnote w:id="328">
    <w:p w14:paraId="601FDF90" w14:textId="42EB9C46" w:rsidR="001A0989" w:rsidRPr="00740FD0" w:rsidRDefault="001A0989">
      <w:pPr>
        <w:pStyle w:val="EndnoteText"/>
        <w:rPr>
          <w:sz w:val="18"/>
          <w:szCs w:val="18"/>
        </w:rPr>
      </w:pPr>
      <w:r w:rsidRPr="00740FD0">
        <w:rPr>
          <w:rStyle w:val="EndnoteReference"/>
          <w:sz w:val="18"/>
          <w:szCs w:val="18"/>
        </w:rPr>
        <w:endnoteRef/>
      </w:r>
      <w:r w:rsidRPr="00740FD0">
        <w:rPr>
          <w:sz w:val="18"/>
          <w:szCs w:val="18"/>
        </w:rPr>
        <w:t xml:space="preserve"> </w:t>
      </w:r>
      <w:r w:rsidR="0013065C" w:rsidRPr="00740FD0">
        <w:rPr>
          <w:sz w:val="18"/>
          <w:szCs w:val="18"/>
        </w:rPr>
        <w:t>CPA s. 7(2).</w:t>
      </w:r>
    </w:p>
  </w:endnote>
  <w:endnote w:id="329">
    <w:p w14:paraId="2D40BC1C" w14:textId="1D905625" w:rsidR="00FB17EA" w:rsidRPr="00740FD0" w:rsidRDefault="00FB17EA" w:rsidP="00FB17EA">
      <w:pPr>
        <w:pStyle w:val="EndnoteText"/>
        <w:rPr>
          <w:sz w:val="18"/>
          <w:szCs w:val="18"/>
        </w:rPr>
      </w:pPr>
      <w:r w:rsidRPr="00740FD0">
        <w:rPr>
          <w:rStyle w:val="EndnoteReference"/>
          <w:sz w:val="18"/>
          <w:szCs w:val="18"/>
        </w:rPr>
        <w:endnoteRef/>
      </w:r>
      <w:r w:rsidRPr="00740FD0">
        <w:rPr>
          <w:sz w:val="18"/>
          <w:szCs w:val="18"/>
        </w:rPr>
        <w:t xml:space="preserve"> </w:t>
      </w:r>
      <w:r w:rsidR="008842B2" w:rsidRPr="00740FD0">
        <w:rPr>
          <w:i/>
          <w:iCs/>
          <w:sz w:val="18"/>
          <w:szCs w:val="18"/>
        </w:rPr>
        <w:t>Douez v. Facebook, Inc.</w:t>
      </w:r>
      <w:r w:rsidR="008842B2" w:rsidRPr="00740FD0">
        <w:rPr>
          <w:sz w:val="18"/>
          <w:szCs w:val="18"/>
        </w:rPr>
        <w:t xml:space="preserve"> (2017 SCC 33).</w:t>
      </w:r>
    </w:p>
  </w:endnote>
  <w:endnote w:id="330">
    <w:p w14:paraId="6B4AFC3B" w14:textId="45458143" w:rsidR="008A1F04" w:rsidRPr="00740FD0" w:rsidRDefault="008A1F04" w:rsidP="008A1F04">
      <w:pPr>
        <w:pStyle w:val="EndnoteText"/>
        <w:rPr>
          <w:sz w:val="18"/>
          <w:szCs w:val="18"/>
        </w:rPr>
      </w:pPr>
      <w:r w:rsidRPr="00740FD0">
        <w:rPr>
          <w:rStyle w:val="EndnoteReference"/>
          <w:sz w:val="18"/>
          <w:szCs w:val="18"/>
        </w:rPr>
        <w:endnoteRef/>
      </w:r>
      <w:r w:rsidRPr="00740FD0">
        <w:rPr>
          <w:sz w:val="18"/>
          <w:szCs w:val="18"/>
        </w:rPr>
        <w:t xml:space="preserve"> Margaret Jane </w:t>
      </w:r>
      <w:r w:rsidRPr="00740FD0">
        <w:rPr>
          <w:sz w:val="18"/>
          <w:szCs w:val="18"/>
        </w:rPr>
        <w:t xml:space="preserve">Radin, </w:t>
      </w:r>
      <w:r w:rsidRPr="00740FD0">
        <w:rPr>
          <w:i/>
          <w:iCs/>
          <w:sz w:val="18"/>
          <w:szCs w:val="18"/>
        </w:rPr>
        <w:t xml:space="preserve">Boilerplate: The Fine Print, Vanishing Rights, and the Rule of Law </w:t>
      </w:r>
      <w:r w:rsidRPr="00740FD0">
        <w:rPr>
          <w:sz w:val="18"/>
          <w:szCs w:val="18"/>
        </w:rPr>
        <w:t>(Princeton University Press, 2013) at 143-153.</w:t>
      </w:r>
    </w:p>
  </w:endnote>
  <w:endnote w:id="331">
    <w:p w14:paraId="72B25AF6" w14:textId="7064F1BC" w:rsidR="008C3A68" w:rsidRPr="00740FD0" w:rsidRDefault="008C3A68" w:rsidP="008C3A68">
      <w:pPr>
        <w:pStyle w:val="EndnoteText"/>
        <w:rPr>
          <w:sz w:val="18"/>
          <w:szCs w:val="18"/>
        </w:rPr>
      </w:pPr>
      <w:r w:rsidRPr="00740FD0">
        <w:rPr>
          <w:rStyle w:val="EndnoteReference"/>
          <w:sz w:val="18"/>
          <w:szCs w:val="18"/>
        </w:rPr>
        <w:endnoteRef/>
      </w:r>
      <w:r w:rsidR="009E0094" w:rsidRPr="00740FD0">
        <w:rPr>
          <w:sz w:val="18"/>
          <w:szCs w:val="18"/>
        </w:rPr>
        <w:t xml:space="preserve"> </w:t>
      </w:r>
      <w:r w:rsidR="0013065C" w:rsidRPr="00740FD0">
        <w:rPr>
          <w:sz w:val="18"/>
          <w:szCs w:val="18"/>
        </w:rPr>
        <w:t xml:space="preserve">ArsTechnica, “Zoom to pay $85M for lying about encryption and sending data to Facebook and Google” (August 2, 2021), online: </w:t>
      </w:r>
      <w:hyperlink r:id="rId280" w:history="1">
        <w:r w:rsidR="0013065C" w:rsidRPr="00740FD0">
          <w:rPr>
            <w:rStyle w:val="Hyperlink"/>
            <w:sz w:val="18"/>
            <w:szCs w:val="18"/>
          </w:rPr>
          <w:t>https://arstechnica.com/tech-policy/2021/08/zoom-to-pay-85m-for-lying-about-encryption-and-sending-data-to-facebook-and-google/</w:t>
        </w:r>
      </w:hyperlink>
      <w:r w:rsidR="0013065C" w:rsidRPr="00740FD0">
        <w:rPr>
          <w:sz w:val="18"/>
          <w:szCs w:val="18"/>
        </w:rPr>
        <w:t xml:space="preserve">. </w:t>
      </w:r>
    </w:p>
  </w:endnote>
  <w:endnote w:id="332">
    <w:p w14:paraId="115D7AA8" w14:textId="180645AC" w:rsidR="00771CE2" w:rsidRPr="00740FD0" w:rsidRDefault="00771CE2" w:rsidP="00771CE2">
      <w:pPr>
        <w:pStyle w:val="EndnoteText"/>
        <w:rPr>
          <w:sz w:val="18"/>
          <w:szCs w:val="18"/>
        </w:rPr>
      </w:pPr>
      <w:r w:rsidRPr="00740FD0">
        <w:rPr>
          <w:rStyle w:val="EndnoteReference"/>
          <w:sz w:val="18"/>
          <w:szCs w:val="18"/>
        </w:rPr>
        <w:endnoteRef/>
      </w:r>
      <w:r w:rsidRPr="00740FD0">
        <w:rPr>
          <w:sz w:val="18"/>
          <w:szCs w:val="18"/>
        </w:rPr>
        <w:t xml:space="preserve"> </w:t>
      </w:r>
      <w:r w:rsidR="0013065C" w:rsidRPr="00740FD0">
        <w:rPr>
          <w:sz w:val="18"/>
          <w:szCs w:val="18"/>
        </w:rPr>
        <w:t xml:space="preserve">See for instance the </w:t>
      </w:r>
      <w:r w:rsidR="0013065C" w:rsidRPr="00740FD0">
        <w:rPr>
          <w:i/>
          <w:iCs/>
          <w:sz w:val="18"/>
          <w:szCs w:val="18"/>
        </w:rPr>
        <w:t>American Innovation and Choice Online Act</w:t>
      </w:r>
      <w:r w:rsidR="0013065C" w:rsidRPr="00740FD0">
        <w:rPr>
          <w:sz w:val="18"/>
          <w:szCs w:val="18"/>
        </w:rPr>
        <w:t xml:space="preserve"> (S.2992), online: </w:t>
      </w:r>
      <w:hyperlink r:id="rId281" w:history="1">
        <w:r w:rsidR="006E0848" w:rsidRPr="00740FD0">
          <w:rPr>
            <w:rStyle w:val="Hyperlink"/>
            <w:sz w:val="18"/>
            <w:szCs w:val="18"/>
          </w:rPr>
          <w:t>https://www.congress.gov/bill/117th-congress/senate-bill/2992/text</w:t>
        </w:r>
      </w:hyperlink>
      <w:r w:rsidR="006E0848" w:rsidRPr="00740FD0">
        <w:rPr>
          <w:sz w:val="18"/>
          <w:szCs w:val="18"/>
        </w:rPr>
        <w:t xml:space="preserve">. </w:t>
      </w:r>
      <w:r w:rsidR="0013065C" w:rsidRPr="00740FD0">
        <w:rPr>
          <w:sz w:val="18"/>
          <w:szCs w:val="18"/>
        </w:rPr>
        <w:t xml:space="preserve">The bill was introduced by Sen. Amy Klobuchar in October 2021 and amended in May 2022. The bill aims at prohibiting large tech companies from self-preferencing their services and requiring them to provide access to proprietary </w:t>
      </w:r>
      <w:r w:rsidR="006E0848" w:rsidRPr="00740FD0">
        <w:rPr>
          <w:sz w:val="18"/>
          <w:szCs w:val="18"/>
        </w:rPr>
        <w:t>formats and content.</w:t>
      </w:r>
    </w:p>
  </w:endnote>
  <w:endnote w:id="333">
    <w:p w14:paraId="0A977248" w14:textId="7A016EA0" w:rsidR="00F81524" w:rsidRPr="00740FD0" w:rsidRDefault="00F81524" w:rsidP="006E0848">
      <w:pPr>
        <w:pStyle w:val="EndnoteText"/>
        <w:rPr>
          <w:sz w:val="18"/>
          <w:szCs w:val="18"/>
        </w:rPr>
      </w:pPr>
      <w:r w:rsidRPr="00740FD0">
        <w:rPr>
          <w:rStyle w:val="EndnoteReference"/>
          <w:sz w:val="18"/>
          <w:szCs w:val="18"/>
        </w:rPr>
        <w:endnoteRef/>
      </w:r>
      <w:r w:rsidRPr="00740FD0">
        <w:rPr>
          <w:sz w:val="18"/>
          <w:szCs w:val="18"/>
        </w:rPr>
        <w:t xml:space="preserve"> </w:t>
      </w:r>
      <w:r w:rsidR="006E0848" w:rsidRPr="00740FD0">
        <w:rPr>
          <w:sz w:val="18"/>
          <w:szCs w:val="18"/>
        </w:rPr>
        <w:t xml:space="preserve">See Teresa </w:t>
      </w:r>
      <w:r w:rsidR="006E0848" w:rsidRPr="00740FD0">
        <w:rPr>
          <w:sz w:val="18"/>
          <w:szCs w:val="18"/>
        </w:rPr>
        <w:t>Scassa, “</w:t>
      </w:r>
      <w:r w:rsidR="000251E5" w:rsidRPr="00740FD0">
        <w:rPr>
          <w:sz w:val="18"/>
          <w:szCs w:val="18"/>
        </w:rPr>
        <w:t>Anonymization and De-identification in Bill C-27</w:t>
      </w:r>
      <w:r w:rsidR="006E0848" w:rsidRPr="00740FD0">
        <w:rPr>
          <w:sz w:val="18"/>
          <w:szCs w:val="18"/>
        </w:rPr>
        <w:t xml:space="preserve">” (July </w:t>
      </w:r>
      <w:r w:rsidR="000251E5" w:rsidRPr="00740FD0">
        <w:rPr>
          <w:sz w:val="18"/>
          <w:szCs w:val="18"/>
        </w:rPr>
        <w:t>6</w:t>
      </w:r>
      <w:r w:rsidR="006E0848" w:rsidRPr="00740FD0">
        <w:rPr>
          <w:sz w:val="18"/>
          <w:szCs w:val="18"/>
        </w:rPr>
        <w:t xml:space="preserve">, 2022), online: </w:t>
      </w:r>
      <w:hyperlink r:id="rId282" w:history="1">
        <w:r w:rsidR="000251E5" w:rsidRPr="00740FD0">
          <w:rPr>
            <w:rStyle w:val="Hyperlink"/>
            <w:sz w:val="18"/>
            <w:szCs w:val="18"/>
          </w:rPr>
          <w:t>https://www.teresascassa.ca/index.php?option=com_k2&amp;view=item&amp;id=356:anonymization-and-de-identification-in-bill-c-27&amp;Itemid=80</w:t>
        </w:r>
      </w:hyperlink>
      <w:r w:rsidR="000251E5" w:rsidRPr="00740FD0">
        <w:rPr>
          <w:sz w:val="18"/>
          <w:szCs w:val="18"/>
        </w:rPr>
        <w:t xml:space="preserve">; </w:t>
      </w:r>
      <w:r w:rsidR="006E0848" w:rsidRPr="00740FD0">
        <w:rPr>
          <w:sz w:val="18"/>
          <w:szCs w:val="18"/>
        </w:rPr>
        <w:t xml:space="preserve">Ali Farzanehfar, Florimond Houssiau, Yves-Alexandre de Montjoye, “The risk of re-identification remains high even in country-scale location datasets” (2 Patterns 3, 2021), online: </w:t>
      </w:r>
      <w:hyperlink r:id="rId283" w:history="1">
        <w:r w:rsidRPr="00740FD0">
          <w:rPr>
            <w:rStyle w:val="Hyperlink"/>
            <w:sz w:val="18"/>
            <w:szCs w:val="18"/>
          </w:rPr>
          <w:t>https://www.sciencedirect.com/science/article/pii/S2666389921000143</w:t>
        </w:r>
      </w:hyperlink>
      <w:r w:rsidR="006E0848" w:rsidRPr="00740FD0">
        <w:rPr>
          <w:sz w:val="18"/>
          <w:szCs w:val="18"/>
        </w:rPr>
        <w:t xml:space="preserve">; Paul Ohm, “Broken Promises of Privacy: Responding to the Surprising Failure of Anonymization” (57 UCLA Law Review 1701, 2010), online: </w:t>
      </w:r>
      <w:hyperlink r:id="rId284" w:history="1">
        <w:r w:rsidR="006E0848" w:rsidRPr="00740FD0">
          <w:rPr>
            <w:rStyle w:val="Hyperlink"/>
            <w:sz w:val="18"/>
            <w:szCs w:val="18"/>
          </w:rPr>
          <w:t>https://ssrn.com/abstract=1450006</w:t>
        </w:r>
      </w:hyperlink>
      <w:r w:rsidRPr="00740FD0">
        <w:rPr>
          <w:sz w:val="18"/>
          <w:szCs w:val="18"/>
        </w:rPr>
        <w:t xml:space="preserve">. </w:t>
      </w:r>
    </w:p>
  </w:endnote>
  <w:endnote w:id="334">
    <w:p w14:paraId="2E564052" w14:textId="2BFAF76A" w:rsidR="00F81524" w:rsidRPr="00740FD0" w:rsidRDefault="00F81524" w:rsidP="009C4314">
      <w:pPr>
        <w:pStyle w:val="EndnoteText"/>
        <w:rPr>
          <w:sz w:val="18"/>
          <w:szCs w:val="18"/>
        </w:rPr>
      </w:pPr>
      <w:r w:rsidRPr="00740FD0">
        <w:rPr>
          <w:rStyle w:val="EndnoteReference"/>
          <w:sz w:val="18"/>
          <w:szCs w:val="18"/>
        </w:rPr>
        <w:endnoteRef/>
      </w:r>
      <w:r w:rsidRPr="00740FD0">
        <w:rPr>
          <w:sz w:val="18"/>
          <w:szCs w:val="18"/>
        </w:rPr>
        <w:t xml:space="preserve"> </w:t>
      </w:r>
      <w:r w:rsidR="000251E5" w:rsidRPr="00740FD0">
        <w:rPr>
          <w:sz w:val="18"/>
          <w:szCs w:val="18"/>
        </w:rPr>
        <w:t xml:space="preserve">US Federal Trade Commission, “Location, health, and other sensitive information: FTC committed to fully enforcing the law against illegal use and sharing of highly sensitive data” (July 11, 2022), online: </w:t>
      </w:r>
      <w:hyperlink r:id="rId285" w:history="1">
        <w:r w:rsidR="000251E5" w:rsidRPr="00740FD0">
          <w:rPr>
            <w:rStyle w:val="Hyperlink"/>
            <w:sz w:val="18"/>
            <w:szCs w:val="18"/>
          </w:rPr>
          <w:t>https://www.ftc.gov/business-guidance/blog/2022/07/location-health-other-sensitive-information-ftc-committed-fully-enforcing-law-against-illegal-use</w:t>
        </w:r>
      </w:hyperlink>
      <w:r w:rsidR="000251E5" w:rsidRPr="00740FD0">
        <w:rPr>
          <w:sz w:val="18"/>
          <w:szCs w:val="18"/>
        </w:rPr>
        <w:t>.</w:t>
      </w:r>
      <w:r w:rsidRPr="00740FD0">
        <w:rPr>
          <w:sz w:val="18"/>
          <w:szCs w:val="18"/>
        </w:rPr>
        <w:t xml:space="preserve"> </w:t>
      </w:r>
    </w:p>
  </w:endnote>
  <w:endnote w:id="335">
    <w:p w14:paraId="751661CC" w14:textId="23FDE8C3" w:rsidR="00F81524" w:rsidRPr="00740FD0" w:rsidRDefault="00F81524" w:rsidP="00081BDE">
      <w:pPr>
        <w:pStyle w:val="EndnoteText"/>
        <w:rPr>
          <w:sz w:val="18"/>
          <w:szCs w:val="18"/>
        </w:rPr>
      </w:pPr>
      <w:r w:rsidRPr="00740FD0">
        <w:rPr>
          <w:rStyle w:val="EndnoteReference"/>
          <w:sz w:val="18"/>
          <w:szCs w:val="18"/>
        </w:rPr>
        <w:endnoteRef/>
      </w:r>
      <w:r w:rsidRPr="00740FD0">
        <w:rPr>
          <w:sz w:val="18"/>
          <w:szCs w:val="18"/>
        </w:rPr>
        <w:t xml:space="preserve"> </w:t>
      </w:r>
      <w:r w:rsidR="006E0848" w:rsidRPr="00740FD0">
        <w:rPr>
          <w:sz w:val="18"/>
          <w:szCs w:val="18"/>
        </w:rPr>
        <w:t xml:space="preserve">US Federal Trade Commission, “Location, health, and other sensitive information: FTC committed to fully enforcing the law against illegal use and sharing of highly sensitive data” (July 11, 2022), online: </w:t>
      </w:r>
      <w:hyperlink r:id="rId286" w:history="1">
        <w:r w:rsidR="006E0848" w:rsidRPr="00740FD0">
          <w:rPr>
            <w:rStyle w:val="Hyperlink"/>
            <w:sz w:val="18"/>
            <w:szCs w:val="18"/>
          </w:rPr>
          <w:t>https://www.ftc.gov/business-guidance/blog/2022/07/location-health-other-sensitive-information-ftc-committed-fully-enforcing-law-against-illegal-use</w:t>
        </w:r>
      </w:hyperlink>
      <w:r w:rsidRPr="00740FD0">
        <w:rPr>
          <w:sz w:val="18"/>
          <w:szCs w:val="18"/>
        </w:rPr>
        <w:t xml:space="preserve">. See also </w:t>
      </w:r>
      <w:r w:rsidR="006E0848" w:rsidRPr="00740FD0">
        <w:rPr>
          <w:sz w:val="18"/>
          <w:szCs w:val="18"/>
        </w:rPr>
        <w:t xml:space="preserve">PCMagazine, “FTC to Crack Down on Sites That Claim Your Data Is 'Anonymized' When It's Not” (July 11, 2022), online:  </w:t>
      </w:r>
      <w:hyperlink r:id="rId287" w:history="1">
        <w:r w:rsidR="006E0848" w:rsidRPr="00740FD0">
          <w:rPr>
            <w:rStyle w:val="Hyperlink"/>
            <w:sz w:val="18"/>
            <w:szCs w:val="18"/>
          </w:rPr>
          <w:t>https://www.pcmag.com/news/ftc-to-crack-down-on-sites-that-claim-your-data-is-anonymized-when-its?utm_source=substack&amp;utm_medium=email</w:t>
        </w:r>
      </w:hyperlink>
      <w:r w:rsidRPr="00740FD0">
        <w:rPr>
          <w:rStyle w:val="Hyperlink"/>
          <w:sz w:val="18"/>
          <w:szCs w:val="18"/>
        </w:rPr>
        <w:t xml:space="preserve">. </w:t>
      </w:r>
    </w:p>
  </w:endnote>
  <w:endnote w:id="336">
    <w:p w14:paraId="2D899D98" w14:textId="77C03F12" w:rsidR="00DD0549" w:rsidRPr="00740FD0" w:rsidRDefault="00DD0549" w:rsidP="00B26AF8">
      <w:pPr>
        <w:pStyle w:val="EndnoteText"/>
        <w:rPr>
          <w:sz w:val="18"/>
          <w:szCs w:val="18"/>
        </w:rPr>
      </w:pPr>
      <w:r w:rsidRPr="00740FD0">
        <w:rPr>
          <w:rStyle w:val="EndnoteReference"/>
          <w:sz w:val="18"/>
          <w:szCs w:val="18"/>
        </w:rPr>
        <w:endnoteRef/>
      </w:r>
      <w:r w:rsidRPr="00740FD0">
        <w:rPr>
          <w:sz w:val="18"/>
          <w:szCs w:val="18"/>
        </w:rPr>
        <w:t xml:space="preserve"> </w:t>
      </w:r>
      <w:r w:rsidR="00B26AF8" w:rsidRPr="00740FD0">
        <w:rPr>
          <w:sz w:val="18"/>
          <w:szCs w:val="18"/>
        </w:rPr>
        <w:t xml:space="preserve">Canada House of Commons, Bill C-27, </w:t>
      </w:r>
      <w:r w:rsidR="00B26AF8" w:rsidRPr="00740FD0">
        <w:rPr>
          <w:i/>
          <w:iCs/>
          <w:sz w:val="18"/>
          <w:szCs w:val="18"/>
        </w:rPr>
        <w:t>An Act to enact the Consumer Privacy Protection Act, the Personal Information and Data Protection Tribunal Act and the Artificial Intelligence and Data Act and to make consequential and related amendments to other Acts</w:t>
      </w:r>
      <w:r w:rsidR="00B26AF8" w:rsidRPr="00740FD0">
        <w:rPr>
          <w:sz w:val="18"/>
          <w:szCs w:val="18"/>
        </w:rPr>
        <w:t xml:space="preserve"> (introduced June 16, 2022), online: </w:t>
      </w:r>
      <w:hyperlink r:id="rId288" w:history="1">
        <w:r w:rsidR="00B26AF8" w:rsidRPr="00740FD0">
          <w:rPr>
            <w:rStyle w:val="Hyperlink"/>
            <w:sz w:val="18"/>
            <w:szCs w:val="18"/>
          </w:rPr>
          <w:t>https://www.parl.ca/DocumentViewer/en/44-1/bill/C-27/first-reading</w:t>
        </w:r>
      </w:hyperlink>
      <w:r w:rsidR="00B26AF8" w:rsidRPr="00740FD0">
        <w:rPr>
          <w:sz w:val="18"/>
          <w:szCs w:val="18"/>
        </w:rPr>
        <w:t xml:space="preserve">. </w:t>
      </w:r>
    </w:p>
  </w:endnote>
  <w:endnote w:id="337">
    <w:p w14:paraId="009C7739" w14:textId="77777777" w:rsidR="00DD0549" w:rsidRPr="00740FD0" w:rsidRDefault="00DD0549" w:rsidP="00DD0549">
      <w:pPr>
        <w:pStyle w:val="EndnoteText"/>
        <w:rPr>
          <w:sz w:val="18"/>
          <w:szCs w:val="18"/>
        </w:rPr>
      </w:pPr>
      <w:r w:rsidRPr="00740FD0">
        <w:rPr>
          <w:rStyle w:val="EndnoteReference"/>
          <w:sz w:val="18"/>
          <w:szCs w:val="18"/>
        </w:rPr>
        <w:endnoteRef/>
      </w:r>
      <w:r w:rsidRPr="00740FD0">
        <w:rPr>
          <w:sz w:val="18"/>
          <w:szCs w:val="18"/>
        </w:rPr>
        <w:t xml:space="preserve"> </w:t>
      </w:r>
      <w:hyperlink r:id="rId289" w:history="1">
        <w:r w:rsidRPr="00740FD0">
          <w:rPr>
            <w:rStyle w:val="Hyperlink"/>
            <w:sz w:val="18"/>
            <w:szCs w:val="18"/>
          </w:rPr>
          <w:t>http://www.teresascassa.ca/index.php?option=com_k2&amp;view=item&amp;id=356:anonymization-and-de-identification-in-bill-c-27&amp;Itemid=80</w:t>
        </w:r>
      </w:hyperlink>
      <w:r w:rsidRPr="00740FD0">
        <w:rPr>
          <w:sz w:val="18"/>
          <w:szCs w:val="18"/>
        </w:rPr>
        <w:t xml:space="preserve"> </w:t>
      </w:r>
    </w:p>
  </w:endnote>
  <w:endnote w:id="338">
    <w:p w14:paraId="1582974F" w14:textId="36B671EB" w:rsidR="00A93E68" w:rsidRPr="00740FD0" w:rsidRDefault="00A93E68" w:rsidP="00A93E68">
      <w:pPr>
        <w:pStyle w:val="EndnoteText"/>
        <w:rPr>
          <w:sz w:val="18"/>
          <w:szCs w:val="18"/>
        </w:rPr>
      </w:pPr>
      <w:r w:rsidRPr="00740FD0">
        <w:rPr>
          <w:rStyle w:val="EndnoteReference"/>
          <w:sz w:val="18"/>
          <w:szCs w:val="18"/>
        </w:rPr>
        <w:endnoteRef/>
      </w:r>
      <w:r w:rsidRPr="00740FD0">
        <w:rPr>
          <w:sz w:val="18"/>
          <w:szCs w:val="18"/>
        </w:rPr>
        <w:t xml:space="preserve"> </w:t>
      </w:r>
      <w:r w:rsidR="000251E5" w:rsidRPr="00740FD0">
        <w:rPr>
          <w:sz w:val="18"/>
          <w:szCs w:val="18"/>
        </w:rPr>
        <w:t xml:space="preserve">CBC News, </w:t>
      </w:r>
      <w:r w:rsidRPr="00740FD0">
        <w:rPr>
          <w:sz w:val="18"/>
          <w:szCs w:val="18"/>
        </w:rPr>
        <w:t xml:space="preserve">“Ontario court certifies class action against Uber that could see some workers recognized as employees” (August 14, 2021), online: </w:t>
      </w:r>
      <w:hyperlink r:id="rId290" w:history="1">
        <w:r w:rsidRPr="00740FD0">
          <w:rPr>
            <w:rStyle w:val="Hyperlink"/>
            <w:sz w:val="18"/>
            <w:szCs w:val="18"/>
          </w:rPr>
          <w:t>https://www.cbc.ca/news/canada/toronto/uber-class-action-toronto-employees-david-heller-1.6139825</w:t>
        </w:r>
      </w:hyperlink>
      <w:r w:rsidRPr="00740FD0">
        <w:rPr>
          <w:sz w:val="18"/>
          <w:szCs w:val="18"/>
        </w:rPr>
        <w:t xml:space="preserve">. </w:t>
      </w:r>
    </w:p>
  </w:endnote>
  <w:endnote w:id="339">
    <w:p w14:paraId="0FCB5583" w14:textId="24A14882" w:rsidR="00405253" w:rsidRPr="00740FD0" w:rsidRDefault="00405253" w:rsidP="00405253">
      <w:pPr>
        <w:pStyle w:val="EndnoteText"/>
        <w:rPr>
          <w:sz w:val="18"/>
          <w:szCs w:val="18"/>
        </w:rPr>
      </w:pPr>
      <w:r w:rsidRPr="00740FD0">
        <w:rPr>
          <w:rStyle w:val="EndnoteReference"/>
          <w:sz w:val="18"/>
          <w:szCs w:val="18"/>
        </w:rPr>
        <w:endnoteRef/>
      </w:r>
      <w:r w:rsidRPr="00740FD0">
        <w:rPr>
          <w:sz w:val="18"/>
          <w:szCs w:val="18"/>
        </w:rPr>
        <w:t xml:space="preserve"> </w:t>
      </w:r>
      <w:r w:rsidR="000251E5" w:rsidRPr="00740FD0">
        <w:rPr>
          <w:i/>
          <w:iCs/>
          <w:sz w:val="18"/>
          <w:szCs w:val="18"/>
        </w:rPr>
        <w:t>Uber Technologies Inc. v. Heller</w:t>
      </w:r>
      <w:r w:rsidR="000251E5" w:rsidRPr="00740FD0">
        <w:rPr>
          <w:sz w:val="18"/>
          <w:szCs w:val="18"/>
        </w:rPr>
        <w:t xml:space="preserve"> (2020 SCC 16), online: </w:t>
      </w:r>
      <w:hyperlink r:id="rId291" w:history="1">
        <w:r w:rsidRPr="00740FD0">
          <w:rPr>
            <w:rStyle w:val="Hyperlink"/>
            <w:sz w:val="18"/>
            <w:szCs w:val="18"/>
          </w:rPr>
          <w:t>https://decisions.scc-csc.ca/scc-csc/scc-csc/en/item/18406/index.do</w:t>
        </w:r>
      </w:hyperlink>
      <w:r w:rsidR="000251E5" w:rsidRPr="00740FD0">
        <w:rPr>
          <w:rStyle w:val="Hyperlink"/>
          <w:sz w:val="18"/>
          <w:szCs w:val="18"/>
        </w:rPr>
        <w:t>.</w:t>
      </w:r>
    </w:p>
  </w:endnote>
  <w:endnote w:id="340">
    <w:p w14:paraId="069C4607" w14:textId="30F9F408" w:rsidR="00405253" w:rsidRPr="00740FD0" w:rsidRDefault="00405253" w:rsidP="00405253">
      <w:pPr>
        <w:pStyle w:val="EndnoteText"/>
        <w:rPr>
          <w:sz w:val="18"/>
          <w:szCs w:val="18"/>
        </w:rPr>
      </w:pPr>
      <w:r w:rsidRPr="00740FD0">
        <w:rPr>
          <w:rStyle w:val="EndnoteReference"/>
          <w:sz w:val="18"/>
          <w:szCs w:val="18"/>
        </w:rPr>
        <w:endnoteRef/>
      </w:r>
      <w:r w:rsidRPr="00740FD0">
        <w:rPr>
          <w:sz w:val="18"/>
          <w:szCs w:val="18"/>
        </w:rPr>
        <w:t xml:space="preserve"> </w:t>
      </w:r>
      <w:r w:rsidR="000251E5" w:rsidRPr="00740FD0">
        <w:rPr>
          <w:i/>
          <w:iCs/>
          <w:sz w:val="18"/>
          <w:szCs w:val="18"/>
        </w:rPr>
        <w:t>Uber Technologies Inc. v. Heller</w:t>
      </w:r>
      <w:r w:rsidR="000251E5" w:rsidRPr="00740FD0">
        <w:rPr>
          <w:sz w:val="18"/>
          <w:szCs w:val="18"/>
        </w:rPr>
        <w:t xml:space="preserve"> (2020 SCC 16), online: </w:t>
      </w:r>
      <w:hyperlink r:id="rId292" w:history="1">
        <w:r w:rsidR="000251E5" w:rsidRPr="00740FD0">
          <w:rPr>
            <w:rStyle w:val="Hyperlink"/>
            <w:sz w:val="18"/>
            <w:szCs w:val="18"/>
          </w:rPr>
          <w:t>https://decisions.scc-csc.ca/scc-csc/scc-csc/en/item/18406/index.do</w:t>
        </w:r>
      </w:hyperlink>
      <w:r w:rsidR="000251E5" w:rsidRPr="00740FD0">
        <w:rPr>
          <w:rStyle w:val="Hyperlink"/>
          <w:sz w:val="18"/>
          <w:szCs w:val="18"/>
        </w:rPr>
        <w:t>.</w:t>
      </w:r>
    </w:p>
  </w:endnote>
  <w:endnote w:id="341">
    <w:p w14:paraId="65DF15AA" w14:textId="0A31D1F3" w:rsidR="00A93E68" w:rsidRPr="00740FD0" w:rsidRDefault="00A93E68">
      <w:pPr>
        <w:pStyle w:val="EndnoteText"/>
        <w:rPr>
          <w:sz w:val="18"/>
          <w:szCs w:val="18"/>
        </w:rPr>
      </w:pPr>
      <w:r w:rsidRPr="00740FD0">
        <w:rPr>
          <w:rStyle w:val="EndnoteReference"/>
          <w:sz w:val="18"/>
          <w:szCs w:val="18"/>
        </w:rPr>
        <w:endnoteRef/>
      </w:r>
      <w:r w:rsidRPr="00740FD0">
        <w:rPr>
          <w:sz w:val="18"/>
          <w:szCs w:val="18"/>
        </w:rPr>
        <w:t xml:space="preserve"> </w:t>
      </w:r>
      <w:r w:rsidR="000251E5" w:rsidRPr="00740FD0">
        <w:rPr>
          <w:i/>
          <w:iCs/>
          <w:sz w:val="18"/>
          <w:szCs w:val="18"/>
        </w:rPr>
        <w:t>Uber Technologies Inc. v. Heller</w:t>
      </w:r>
      <w:r w:rsidR="000251E5" w:rsidRPr="00740FD0">
        <w:rPr>
          <w:sz w:val="18"/>
          <w:szCs w:val="18"/>
        </w:rPr>
        <w:t xml:space="preserve"> (2020 SCC 16), online: </w:t>
      </w:r>
      <w:hyperlink r:id="rId293" w:history="1">
        <w:r w:rsidR="000251E5" w:rsidRPr="00740FD0">
          <w:rPr>
            <w:rStyle w:val="Hyperlink"/>
            <w:sz w:val="18"/>
            <w:szCs w:val="18"/>
          </w:rPr>
          <w:t>https://decisions.scc-csc.ca/scc-csc/scc-csc/en/item/18406/index.do</w:t>
        </w:r>
      </w:hyperlink>
      <w:r w:rsidR="000251E5" w:rsidRPr="00740FD0">
        <w:rPr>
          <w:rStyle w:val="Hyperlink"/>
          <w:sz w:val="18"/>
          <w:szCs w:val="18"/>
        </w:rPr>
        <w:t>.</w:t>
      </w:r>
    </w:p>
  </w:endnote>
  <w:endnote w:id="342">
    <w:p w14:paraId="46AAA7EF" w14:textId="442E5BDF" w:rsidR="00405253" w:rsidRPr="00740FD0" w:rsidRDefault="00405253" w:rsidP="00405253">
      <w:pPr>
        <w:pStyle w:val="EndnoteText"/>
        <w:rPr>
          <w:sz w:val="18"/>
          <w:szCs w:val="18"/>
        </w:rPr>
      </w:pPr>
      <w:r w:rsidRPr="00740FD0">
        <w:rPr>
          <w:rStyle w:val="EndnoteReference"/>
          <w:sz w:val="18"/>
          <w:szCs w:val="18"/>
        </w:rPr>
        <w:endnoteRef/>
      </w:r>
      <w:r w:rsidRPr="00740FD0">
        <w:rPr>
          <w:sz w:val="18"/>
          <w:szCs w:val="18"/>
        </w:rPr>
        <w:t xml:space="preserve"> </w:t>
      </w:r>
      <w:r w:rsidR="000251E5" w:rsidRPr="00740FD0">
        <w:rPr>
          <w:i/>
          <w:iCs/>
          <w:sz w:val="18"/>
          <w:szCs w:val="18"/>
        </w:rPr>
        <w:t>Uber Technologies Inc. v. Heller</w:t>
      </w:r>
      <w:r w:rsidR="000251E5" w:rsidRPr="00740FD0">
        <w:rPr>
          <w:sz w:val="18"/>
          <w:szCs w:val="18"/>
        </w:rPr>
        <w:t xml:space="preserve"> (2020 SCC 16), online: </w:t>
      </w:r>
      <w:hyperlink r:id="rId294" w:history="1">
        <w:r w:rsidR="000251E5" w:rsidRPr="00740FD0">
          <w:rPr>
            <w:rStyle w:val="Hyperlink"/>
            <w:sz w:val="18"/>
            <w:szCs w:val="18"/>
          </w:rPr>
          <w:t>https://decisions.scc-csc.ca/scc-csc/scc-csc/en/item/18406/index.do</w:t>
        </w:r>
      </w:hyperlink>
      <w:r w:rsidR="000251E5" w:rsidRPr="00740FD0">
        <w:rPr>
          <w:rStyle w:val="Hyperlink"/>
          <w:sz w:val="18"/>
          <w:szCs w:val="18"/>
        </w:rPr>
        <w:t xml:space="preserve"> </w:t>
      </w:r>
      <w:r w:rsidRPr="00740FD0">
        <w:rPr>
          <w:sz w:val="18"/>
          <w:szCs w:val="18"/>
        </w:rPr>
        <w:t>at para 93.</w:t>
      </w:r>
      <w:r w:rsidR="009E0094" w:rsidRPr="00740FD0">
        <w:rPr>
          <w:sz w:val="18"/>
          <w:szCs w:val="18"/>
        </w:rPr>
        <w:t xml:space="preserve"> </w:t>
      </w:r>
      <w:r w:rsidR="00A93E68" w:rsidRPr="00740FD0">
        <w:rPr>
          <w:sz w:val="18"/>
          <w:szCs w:val="18"/>
        </w:rPr>
        <w:t>In particular The Uber ToS arbitration provision required disputes to be resolved in Amsterdam and stated applicants had to pre-emptively pay $US14,500 in administrative fees to access the arbitration process</w:t>
      </w:r>
      <w:r w:rsidR="000251E5" w:rsidRPr="00740FD0">
        <w:rPr>
          <w:sz w:val="18"/>
          <w:szCs w:val="18"/>
        </w:rPr>
        <w:t xml:space="preserve">. </w:t>
      </w:r>
    </w:p>
  </w:endnote>
  <w:endnote w:id="343">
    <w:p w14:paraId="1BF94D20" w14:textId="02D4C794" w:rsidR="00405253" w:rsidRPr="00740FD0" w:rsidRDefault="00405253" w:rsidP="00405253">
      <w:pPr>
        <w:pStyle w:val="EndnoteText"/>
        <w:rPr>
          <w:sz w:val="18"/>
          <w:szCs w:val="18"/>
        </w:rPr>
      </w:pPr>
      <w:r w:rsidRPr="00740FD0">
        <w:rPr>
          <w:rStyle w:val="EndnoteReference"/>
          <w:sz w:val="18"/>
          <w:szCs w:val="18"/>
        </w:rPr>
        <w:endnoteRef/>
      </w:r>
      <w:r w:rsidRPr="00740FD0">
        <w:rPr>
          <w:sz w:val="18"/>
          <w:szCs w:val="18"/>
        </w:rPr>
        <w:t xml:space="preserve"> </w:t>
      </w:r>
      <w:r w:rsidR="000251E5" w:rsidRPr="00740FD0">
        <w:rPr>
          <w:i/>
          <w:iCs/>
          <w:sz w:val="18"/>
          <w:szCs w:val="18"/>
        </w:rPr>
        <w:t>Uber Technologies Inc. v. Heller</w:t>
      </w:r>
      <w:r w:rsidR="000251E5" w:rsidRPr="00740FD0">
        <w:rPr>
          <w:sz w:val="18"/>
          <w:szCs w:val="18"/>
        </w:rPr>
        <w:t xml:space="preserve"> (2020 SCC 16), online: </w:t>
      </w:r>
      <w:hyperlink r:id="rId295" w:history="1">
        <w:r w:rsidR="000251E5" w:rsidRPr="00740FD0">
          <w:rPr>
            <w:rStyle w:val="Hyperlink"/>
            <w:sz w:val="18"/>
            <w:szCs w:val="18"/>
          </w:rPr>
          <w:t>https://decisions.scc-csc.ca/scc-csc/scc-csc/en/item/18406/index.do</w:t>
        </w:r>
      </w:hyperlink>
      <w:r w:rsidR="000251E5" w:rsidRPr="00740FD0">
        <w:rPr>
          <w:rStyle w:val="Hyperlink"/>
          <w:sz w:val="18"/>
          <w:szCs w:val="18"/>
        </w:rPr>
        <w:t xml:space="preserve">. </w:t>
      </w:r>
      <w:r w:rsidRPr="00740FD0">
        <w:rPr>
          <w:sz w:val="18"/>
          <w:szCs w:val="18"/>
        </w:rPr>
        <w:t xml:space="preserve">at paras 94-5. </w:t>
      </w:r>
    </w:p>
  </w:endnote>
  <w:endnote w:id="344">
    <w:p w14:paraId="08F1B95C" w14:textId="2153C5ED" w:rsidR="005A3930" w:rsidRPr="00740FD0" w:rsidRDefault="005A3930" w:rsidP="005A3930">
      <w:pPr>
        <w:pStyle w:val="EndnoteText"/>
        <w:rPr>
          <w:sz w:val="18"/>
          <w:szCs w:val="18"/>
        </w:rPr>
      </w:pPr>
      <w:r w:rsidRPr="00740FD0">
        <w:rPr>
          <w:rStyle w:val="EndnoteReference"/>
          <w:sz w:val="18"/>
          <w:szCs w:val="18"/>
        </w:rPr>
        <w:endnoteRef/>
      </w:r>
      <w:r w:rsidRPr="00740FD0">
        <w:rPr>
          <w:sz w:val="18"/>
          <w:szCs w:val="18"/>
        </w:rPr>
        <w:t xml:space="preserve"> </w:t>
      </w:r>
      <w:r w:rsidRPr="00740FD0">
        <w:rPr>
          <w:i/>
          <w:iCs/>
          <w:sz w:val="18"/>
          <w:szCs w:val="18"/>
        </w:rPr>
        <w:t>Douez v Facebook</w:t>
      </w:r>
      <w:r w:rsidRPr="00740FD0">
        <w:rPr>
          <w:sz w:val="18"/>
          <w:szCs w:val="18"/>
        </w:rPr>
        <w:t>, 2017 SCC 33 at para 50</w:t>
      </w:r>
      <w:r w:rsidR="000251E5" w:rsidRPr="00740FD0">
        <w:rPr>
          <w:sz w:val="18"/>
          <w:szCs w:val="18"/>
        </w:rPr>
        <w:t>.</w:t>
      </w:r>
    </w:p>
  </w:endnote>
  <w:endnote w:id="345">
    <w:p w14:paraId="015229D2" w14:textId="7746B0C1" w:rsidR="00405253" w:rsidRPr="00740FD0" w:rsidRDefault="00405253" w:rsidP="00405253">
      <w:pPr>
        <w:pStyle w:val="EndnoteText"/>
        <w:rPr>
          <w:sz w:val="18"/>
          <w:szCs w:val="18"/>
          <w:lang w:val="fr-FR"/>
        </w:rPr>
      </w:pPr>
      <w:r w:rsidRPr="00740FD0">
        <w:rPr>
          <w:rStyle w:val="EndnoteReference"/>
          <w:sz w:val="18"/>
          <w:szCs w:val="18"/>
        </w:rPr>
        <w:endnoteRef/>
      </w:r>
      <w:r w:rsidRPr="00740FD0">
        <w:rPr>
          <w:sz w:val="18"/>
          <w:szCs w:val="18"/>
          <w:lang w:val="fr-FR"/>
        </w:rPr>
        <w:t xml:space="preserve"> </w:t>
      </w:r>
      <w:r w:rsidR="000251E5" w:rsidRPr="00740FD0">
        <w:rPr>
          <w:i/>
          <w:iCs/>
          <w:sz w:val="18"/>
          <w:szCs w:val="18"/>
        </w:rPr>
        <w:t>Douez v Facebook</w:t>
      </w:r>
      <w:r w:rsidR="000251E5" w:rsidRPr="00740FD0">
        <w:rPr>
          <w:sz w:val="18"/>
          <w:szCs w:val="18"/>
        </w:rPr>
        <w:t xml:space="preserve">, 2017 SCC 33 </w:t>
      </w:r>
      <w:r w:rsidRPr="00740FD0">
        <w:rPr>
          <w:sz w:val="18"/>
          <w:szCs w:val="18"/>
          <w:lang w:val="fr-FR"/>
        </w:rPr>
        <w:t xml:space="preserve">at paras 52, 58, 72. </w:t>
      </w:r>
    </w:p>
  </w:endnote>
  <w:endnote w:id="346">
    <w:p w14:paraId="26D7E17D" w14:textId="580869F7" w:rsidR="00961746" w:rsidRPr="00740FD0" w:rsidRDefault="00961746" w:rsidP="00961746">
      <w:pPr>
        <w:pStyle w:val="EndnoteText"/>
        <w:rPr>
          <w:sz w:val="18"/>
          <w:szCs w:val="18"/>
          <w:lang w:val="fr-FR"/>
        </w:rPr>
      </w:pPr>
      <w:r w:rsidRPr="00740FD0">
        <w:rPr>
          <w:rStyle w:val="EndnoteReference"/>
          <w:sz w:val="18"/>
          <w:szCs w:val="18"/>
        </w:rPr>
        <w:endnoteRef/>
      </w:r>
      <w:r w:rsidRPr="00740FD0">
        <w:rPr>
          <w:sz w:val="18"/>
          <w:szCs w:val="18"/>
          <w:lang w:val="fr-FR"/>
        </w:rPr>
        <w:t xml:space="preserve"> </w:t>
      </w:r>
      <w:r w:rsidR="000251E5" w:rsidRPr="00740FD0">
        <w:rPr>
          <w:i/>
          <w:iCs/>
          <w:sz w:val="18"/>
          <w:szCs w:val="18"/>
        </w:rPr>
        <w:t>Douez v Facebook</w:t>
      </w:r>
      <w:r w:rsidR="000251E5" w:rsidRPr="00740FD0">
        <w:rPr>
          <w:sz w:val="18"/>
          <w:szCs w:val="18"/>
        </w:rPr>
        <w:t xml:space="preserve">, 2017 SCC 33 </w:t>
      </w:r>
      <w:r w:rsidRPr="00740FD0">
        <w:rPr>
          <w:sz w:val="18"/>
          <w:szCs w:val="18"/>
          <w:lang w:val="fr-FR"/>
        </w:rPr>
        <w:t xml:space="preserve">at paras 56. </w:t>
      </w:r>
    </w:p>
  </w:endnote>
  <w:endnote w:id="347">
    <w:p w14:paraId="3F3281D7" w14:textId="4269D663" w:rsidR="00D34A02" w:rsidRPr="00740FD0" w:rsidRDefault="00D34A02" w:rsidP="00D34A02">
      <w:pPr>
        <w:pStyle w:val="EndnoteText"/>
        <w:rPr>
          <w:sz w:val="18"/>
          <w:szCs w:val="18"/>
        </w:rPr>
      </w:pPr>
      <w:r w:rsidRPr="00740FD0">
        <w:rPr>
          <w:rStyle w:val="EndnoteReference"/>
          <w:sz w:val="18"/>
          <w:szCs w:val="18"/>
        </w:rPr>
        <w:endnoteRef/>
      </w:r>
      <w:r w:rsidRPr="00740FD0">
        <w:rPr>
          <w:sz w:val="18"/>
          <w:szCs w:val="18"/>
        </w:rPr>
        <w:t xml:space="preserve"> </w:t>
      </w:r>
      <w:r w:rsidR="007060CA" w:rsidRPr="00740FD0">
        <w:rPr>
          <w:sz w:val="18"/>
          <w:szCs w:val="18"/>
        </w:rPr>
        <w:t xml:space="preserve">See both: US Federal Trade Commission, “FTC Finalizes Order Requiring Fortnite maker Epic Games to Pay $245 Million for Tricking Users into Making Unwanted Charges” (March 14, 2023), online: </w:t>
      </w:r>
      <w:hyperlink r:id="rId296" w:history="1">
        <w:r w:rsidR="007060CA" w:rsidRPr="00740FD0">
          <w:rPr>
            <w:rStyle w:val="Hyperlink"/>
            <w:sz w:val="18"/>
            <w:szCs w:val="18"/>
          </w:rPr>
          <w:t>https://www.ftc.gov/news-events/news/press-releases/2023/03/ftc-finalizes-order-requiring-fortnite-maker-epic-games-pay-245-million-tricking-users-making</w:t>
        </w:r>
      </w:hyperlink>
      <w:r w:rsidR="007060CA" w:rsidRPr="00740FD0">
        <w:rPr>
          <w:sz w:val="18"/>
          <w:szCs w:val="18"/>
        </w:rPr>
        <w:t xml:space="preserve">; and US Federal Trade Commission, “Fortnite Video Game Maker Epic Games to Pay More Than Half a Billion Dollars over FTC Allegations of Privacy Violations and Unwanted Charges” (December 19, 2022), online: </w:t>
      </w:r>
      <w:hyperlink r:id="rId297" w:history="1">
        <w:r w:rsidR="007060CA" w:rsidRPr="00740FD0">
          <w:rPr>
            <w:rStyle w:val="Hyperlink"/>
            <w:sz w:val="18"/>
            <w:szCs w:val="18"/>
          </w:rPr>
          <w:t>https://www.ftc.gov/news-events/news/press-releases/2022/12/fortnite-video-game-maker-epic-games-pay-more-half-billion-dollars-over-ftc-allegations</w:t>
        </w:r>
      </w:hyperlink>
      <w:r w:rsidR="007060CA" w:rsidRPr="00740FD0">
        <w:rPr>
          <w:sz w:val="18"/>
          <w:szCs w:val="18"/>
        </w:rPr>
        <w:t>.</w:t>
      </w:r>
    </w:p>
  </w:endnote>
  <w:endnote w:id="348">
    <w:p w14:paraId="5489ECB8" w14:textId="136B201C" w:rsidR="007060CA" w:rsidRPr="00740FD0" w:rsidRDefault="007060CA" w:rsidP="007060CA">
      <w:pPr>
        <w:pStyle w:val="EndnoteText"/>
        <w:rPr>
          <w:sz w:val="18"/>
          <w:szCs w:val="18"/>
        </w:rPr>
      </w:pPr>
      <w:r w:rsidRPr="00740FD0">
        <w:rPr>
          <w:rStyle w:val="EndnoteReference"/>
          <w:sz w:val="18"/>
          <w:szCs w:val="18"/>
        </w:rPr>
        <w:endnoteRef/>
      </w:r>
      <w:r w:rsidRPr="00740FD0">
        <w:rPr>
          <w:sz w:val="18"/>
          <w:szCs w:val="18"/>
        </w:rPr>
        <w:t xml:space="preserve"> See both: US Federal Trade Commission, “FTC Finalizes Order Requiring Fortnite maker Epic Games to Pay $245 Million for Tricking Users into Making Unwanted Charges” (March 14, 2023), online: </w:t>
      </w:r>
      <w:hyperlink r:id="rId298" w:history="1">
        <w:r w:rsidRPr="00740FD0">
          <w:rPr>
            <w:rStyle w:val="Hyperlink"/>
            <w:sz w:val="18"/>
            <w:szCs w:val="18"/>
          </w:rPr>
          <w:t>https://www.ftc.gov/news-events/news/press-releases/2023/03/ftc-finalizes-order-requiring-fortnite-maker-epic-games-pay-245-million-tricking-users-making</w:t>
        </w:r>
      </w:hyperlink>
      <w:r w:rsidRPr="00740FD0">
        <w:rPr>
          <w:sz w:val="18"/>
          <w:szCs w:val="18"/>
        </w:rPr>
        <w:t xml:space="preserve">; and US Federal Trade Commission, “Fortnite Video Game Maker Epic Games to Pay More Than Half a Billion Dollars over FTC Allegations of Privacy Violations and Unwanted Charges” (December 19, 2022), online: </w:t>
      </w:r>
      <w:hyperlink r:id="rId299" w:history="1">
        <w:r w:rsidRPr="00740FD0">
          <w:rPr>
            <w:rStyle w:val="Hyperlink"/>
            <w:sz w:val="18"/>
            <w:szCs w:val="18"/>
          </w:rPr>
          <w:t>https://www.ftc.gov/news-events/news/press-releases/2022/12/fortnite-video-game-maker-epic-games-pay-more-half-billion-dollars-over-ftc-allegations</w:t>
        </w:r>
      </w:hyperlink>
      <w:r w:rsidRPr="00740FD0">
        <w:rPr>
          <w:sz w:val="18"/>
          <w:szCs w:val="18"/>
        </w:rPr>
        <w:t xml:space="preserve">. </w:t>
      </w:r>
    </w:p>
  </w:endnote>
  <w:endnote w:id="349">
    <w:p w14:paraId="060CBB4C" w14:textId="4D1F5708" w:rsidR="00D247FB" w:rsidRPr="00740FD0" w:rsidRDefault="00D247FB" w:rsidP="00D247FB">
      <w:pPr>
        <w:pStyle w:val="EndnoteText"/>
        <w:rPr>
          <w:sz w:val="18"/>
          <w:szCs w:val="18"/>
        </w:rPr>
      </w:pPr>
      <w:r w:rsidRPr="00740FD0">
        <w:rPr>
          <w:rStyle w:val="EndnoteReference"/>
          <w:sz w:val="18"/>
          <w:szCs w:val="18"/>
        </w:rPr>
        <w:endnoteRef/>
      </w:r>
      <w:r w:rsidRPr="00740FD0">
        <w:rPr>
          <w:sz w:val="18"/>
          <w:szCs w:val="18"/>
        </w:rPr>
        <w:t xml:space="preserve"> </w:t>
      </w:r>
      <w:r w:rsidR="000B4888" w:rsidRPr="00740FD0">
        <w:rPr>
          <w:sz w:val="18"/>
          <w:szCs w:val="18"/>
        </w:rPr>
        <w:t xml:space="preserve">Ontario, </w:t>
      </w:r>
      <w:r w:rsidR="000B4888" w:rsidRPr="00740FD0">
        <w:rPr>
          <w:i/>
          <w:iCs/>
          <w:sz w:val="18"/>
          <w:szCs w:val="18"/>
        </w:rPr>
        <w:t xml:space="preserve">Modernizing Consumer Protection in Ontario Strengthening the Consumer Protection Act </w:t>
      </w:r>
      <w:r w:rsidR="000B4888" w:rsidRPr="00740FD0">
        <w:rPr>
          <w:sz w:val="18"/>
          <w:szCs w:val="18"/>
        </w:rPr>
        <w:t xml:space="preserve">(Ministry of Public and Business Service Delivery, February 2023) at 10, online: </w:t>
      </w:r>
      <w:hyperlink r:id="rId300" w:history="1">
        <w:r w:rsidR="000B4888" w:rsidRPr="00740FD0">
          <w:rPr>
            <w:rStyle w:val="Hyperlink"/>
            <w:sz w:val="18"/>
            <w:szCs w:val="18"/>
          </w:rPr>
          <w:t>https://www.ontariocanada.com/registry/view.do?postingId=43452&amp;language=en</w:t>
        </w:r>
      </w:hyperlink>
      <w:r w:rsidR="000B4888" w:rsidRPr="00740FD0">
        <w:rPr>
          <w:sz w:val="18"/>
          <w:szCs w:val="18"/>
        </w:rPr>
        <w:t>.</w:t>
      </w:r>
    </w:p>
  </w:endnote>
  <w:endnote w:id="350">
    <w:p w14:paraId="317A154C" w14:textId="05AC2EAB" w:rsidR="00D247FB" w:rsidRPr="00740FD0" w:rsidRDefault="00D247FB" w:rsidP="00D247FB">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Ontario, </w:t>
      </w:r>
      <w:r w:rsidR="006C183D" w:rsidRPr="00740FD0">
        <w:rPr>
          <w:i/>
          <w:iCs/>
          <w:sz w:val="18"/>
          <w:szCs w:val="18"/>
        </w:rPr>
        <w:t xml:space="preserve">Modernizing Consumer Protection in Ontario Strengthening the Consumer Protection Act </w:t>
      </w:r>
      <w:r w:rsidR="006C183D" w:rsidRPr="00740FD0">
        <w:rPr>
          <w:sz w:val="18"/>
          <w:szCs w:val="18"/>
        </w:rPr>
        <w:t xml:space="preserve">(Ministry of Public and Business Service Delivery, February 2023) at 11, online: </w:t>
      </w:r>
      <w:hyperlink r:id="rId301" w:history="1">
        <w:r w:rsidR="006C183D" w:rsidRPr="00740FD0">
          <w:rPr>
            <w:rStyle w:val="Hyperlink"/>
            <w:sz w:val="18"/>
            <w:szCs w:val="18"/>
          </w:rPr>
          <w:t>https://www.ontariocanada.com/registry/view.do?postingId=43452&amp;language=en</w:t>
        </w:r>
      </w:hyperlink>
    </w:p>
  </w:endnote>
  <w:endnote w:id="351">
    <w:p w14:paraId="68CA856E" w14:textId="4BEB9CFD" w:rsidR="004729F5" w:rsidRPr="00740FD0" w:rsidRDefault="004729F5" w:rsidP="004729F5">
      <w:pPr>
        <w:pStyle w:val="EndnoteText"/>
        <w:rPr>
          <w:sz w:val="18"/>
          <w:szCs w:val="18"/>
        </w:rPr>
      </w:pPr>
      <w:r w:rsidRPr="00740FD0">
        <w:rPr>
          <w:rStyle w:val="EndnoteReference"/>
          <w:sz w:val="18"/>
          <w:szCs w:val="18"/>
        </w:rPr>
        <w:endnoteRef/>
      </w:r>
      <w:r w:rsidRPr="00740FD0">
        <w:rPr>
          <w:sz w:val="18"/>
          <w:szCs w:val="18"/>
        </w:rPr>
        <w:t xml:space="preserve"> For an overview see European Commission, “Unfair commercial practices directive,” online: </w:t>
      </w:r>
      <w:hyperlink r:id="rId302" w:history="1">
        <w:r w:rsidRPr="00740FD0">
          <w:rPr>
            <w:rStyle w:val="Hyperlink"/>
            <w:sz w:val="18"/>
            <w:szCs w:val="18"/>
          </w:rPr>
          <w:t>https://ec.europa.eu/info/law/law-topic/consumer-protection-law/unfair-commercial-practices-law/unfair-commercial-practices-directive_en</w:t>
        </w:r>
      </w:hyperlink>
      <w:r w:rsidRPr="00740FD0">
        <w:rPr>
          <w:sz w:val="18"/>
          <w:szCs w:val="18"/>
        </w:rPr>
        <w:t xml:space="preserve">. Specifically see the Journal of the European Union, “Commission Notice: Guidance on the interpretation and application of Directive 2005/29/EC of the European Parliament and of the Council concerning unfair business-to-consumer commercial practices in the internal market (2021/C 526/01)” (December 12, 2021), online: </w:t>
      </w:r>
      <w:hyperlink r:id="rId303" w:history="1">
        <w:r w:rsidRPr="00740FD0">
          <w:rPr>
            <w:rStyle w:val="Hyperlink"/>
            <w:sz w:val="18"/>
            <w:szCs w:val="18"/>
          </w:rPr>
          <w:t>https://eur-lex.europa.eu/legal-content/EN/TXT/HTML/?uri=CELEX:52021XC1229(05)</w:t>
        </w:r>
      </w:hyperlink>
      <w:r w:rsidRPr="00740FD0">
        <w:rPr>
          <w:sz w:val="18"/>
          <w:szCs w:val="18"/>
        </w:rPr>
        <w:t>.</w:t>
      </w:r>
      <w:r w:rsidR="00F74C07" w:rsidRPr="00740FD0">
        <w:rPr>
          <w:sz w:val="18"/>
          <w:szCs w:val="18"/>
        </w:rPr>
        <w:t xml:space="preserve"> Notably, the European Community Directive of 1993 on Unfair Terms in Consumer Contracts provides an Annex of 17 “indicative and non-exhaustive terms which are presumptively unconscionable.” This list is </w:t>
      </w:r>
      <w:r w:rsidR="00F74C07" w:rsidRPr="00740FD0">
        <w:rPr>
          <w:sz w:val="18"/>
          <w:szCs w:val="18"/>
        </w:rPr>
        <w:t xml:space="preserve">similar to Ontario’s CPA. In the EU, however, the terms resulted in development of various black, white and grey lists in individual EU countries. Over time, more consistency was achieved between jurisdictions. Ultimately these efforts resulted in development of the EU’s 2021 Unfair Commercial Practices Directive. See Official Journal of the European Communities, L 95/29 Council Directive 93/13/EEC “on unfair terms in consumer contracts” (April 5 1993), online: </w:t>
      </w:r>
      <w:hyperlink r:id="rId304" w:history="1">
        <w:r w:rsidR="00F74C07" w:rsidRPr="00740FD0">
          <w:rPr>
            <w:rStyle w:val="Hyperlink"/>
            <w:sz w:val="18"/>
            <w:szCs w:val="18"/>
          </w:rPr>
          <w:t>https://eur-lex.europa.eu/legal-content/EN/TXT/?uri=celex%3A31993L0013</w:t>
        </w:r>
      </w:hyperlink>
      <w:r w:rsidR="00F74C07" w:rsidRPr="00740FD0">
        <w:rPr>
          <w:sz w:val="18"/>
          <w:szCs w:val="18"/>
        </w:rPr>
        <w:t>.</w:t>
      </w:r>
    </w:p>
  </w:endnote>
  <w:endnote w:id="352">
    <w:p w14:paraId="753A3589" w14:textId="5DF3964C" w:rsidR="003232F7" w:rsidRPr="00740FD0" w:rsidRDefault="003232F7" w:rsidP="003232F7">
      <w:pPr>
        <w:pStyle w:val="EndnoteText"/>
        <w:rPr>
          <w:sz w:val="18"/>
          <w:szCs w:val="18"/>
        </w:rPr>
      </w:pPr>
      <w:r w:rsidRPr="00740FD0">
        <w:rPr>
          <w:rStyle w:val="EndnoteReference"/>
          <w:sz w:val="18"/>
          <w:szCs w:val="18"/>
        </w:rPr>
        <w:endnoteRef/>
      </w:r>
      <w:r w:rsidRPr="00740FD0">
        <w:rPr>
          <w:sz w:val="18"/>
          <w:szCs w:val="18"/>
        </w:rPr>
        <w:t xml:space="preserve"> </w:t>
      </w:r>
      <w:r w:rsidR="00886C32" w:rsidRPr="00740FD0">
        <w:rPr>
          <w:sz w:val="18"/>
          <w:szCs w:val="18"/>
        </w:rPr>
        <w:t xml:space="preserve">Margaret Jane </w:t>
      </w:r>
      <w:r w:rsidR="00886C32" w:rsidRPr="00740FD0">
        <w:rPr>
          <w:sz w:val="18"/>
          <w:szCs w:val="18"/>
        </w:rPr>
        <w:t xml:space="preserve">Radin, </w:t>
      </w:r>
      <w:r w:rsidR="00886C32" w:rsidRPr="00740FD0">
        <w:rPr>
          <w:i/>
          <w:iCs/>
          <w:sz w:val="18"/>
          <w:szCs w:val="18"/>
        </w:rPr>
        <w:t xml:space="preserve">Boilerplate: The Fine Print, Vanishing Rights, and the Rule of Law </w:t>
      </w:r>
      <w:r w:rsidR="00886C32" w:rsidRPr="00740FD0">
        <w:rPr>
          <w:sz w:val="18"/>
          <w:szCs w:val="18"/>
        </w:rPr>
        <w:t xml:space="preserve">(Princeton University Press, 2013) at </w:t>
      </w:r>
      <w:r w:rsidRPr="00740FD0">
        <w:rPr>
          <w:sz w:val="18"/>
          <w:szCs w:val="18"/>
        </w:rPr>
        <w:t xml:space="preserve">4. </w:t>
      </w:r>
    </w:p>
  </w:endnote>
  <w:endnote w:id="353">
    <w:p w14:paraId="7013F202" w14:textId="436EA25B" w:rsidR="00626496" w:rsidRPr="00740FD0" w:rsidRDefault="00626496" w:rsidP="00626496">
      <w:pPr>
        <w:pStyle w:val="EndnoteText"/>
        <w:rPr>
          <w:sz w:val="18"/>
          <w:szCs w:val="18"/>
        </w:rPr>
      </w:pPr>
      <w:r w:rsidRPr="00740FD0">
        <w:rPr>
          <w:rStyle w:val="EndnoteReference"/>
          <w:sz w:val="18"/>
          <w:szCs w:val="18"/>
        </w:rPr>
        <w:endnoteRef/>
      </w:r>
      <w:r w:rsidRPr="00740FD0">
        <w:rPr>
          <w:sz w:val="18"/>
          <w:szCs w:val="18"/>
        </w:rPr>
        <w:t xml:space="preserve"> </w:t>
      </w:r>
      <w:r w:rsidR="005D5BFA" w:rsidRPr="00740FD0">
        <w:rPr>
          <w:sz w:val="18"/>
          <w:szCs w:val="18"/>
        </w:rPr>
        <w:t>Organization for Economic Cooperation and Development,</w:t>
      </w:r>
      <w:r w:rsidRPr="00740FD0">
        <w:rPr>
          <w:sz w:val="18"/>
          <w:szCs w:val="18"/>
        </w:rPr>
        <w:t xml:space="preserve"> Committee on Consumer Policy, </w:t>
      </w:r>
      <w:r w:rsidRPr="00740FD0">
        <w:rPr>
          <w:i/>
          <w:iCs/>
          <w:sz w:val="18"/>
          <w:szCs w:val="18"/>
        </w:rPr>
        <w:t>Recommendation on Consumer Dispute Resolution and Redress</w:t>
      </w:r>
      <w:r w:rsidR="005D5BFA" w:rsidRPr="00740FD0">
        <w:rPr>
          <w:sz w:val="18"/>
          <w:szCs w:val="18"/>
        </w:rPr>
        <w:t xml:space="preserve"> </w:t>
      </w:r>
      <w:r w:rsidRPr="00740FD0">
        <w:rPr>
          <w:sz w:val="18"/>
          <w:szCs w:val="18"/>
        </w:rPr>
        <w:t>(2007)</w:t>
      </w:r>
      <w:r w:rsidR="005D5BFA" w:rsidRPr="00740FD0">
        <w:rPr>
          <w:sz w:val="18"/>
          <w:szCs w:val="18"/>
        </w:rPr>
        <w:t xml:space="preserve">, online: </w:t>
      </w:r>
      <w:hyperlink r:id="rId305" w:history="1">
        <w:r w:rsidR="005D5BFA" w:rsidRPr="00740FD0">
          <w:rPr>
            <w:rStyle w:val="Hyperlink"/>
            <w:sz w:val="18"/>
            <w:szCs w:val="18"/>
          </w:rPr>
          <w:t>https://www.oecd.org/sti/consumer/38960101.pdf</w:t>
        </w:r>
      </w:hyperlink>
      <w:r w:rsidR="005D5BFA" w:rsidRPr="00740FD0">
        <w:rPr>
          <w:sz w:val="18"/>
          <w:szCs w:val="18"/>
        </w:rPr>
        <w:t>.</w:t>
      </w:r>
      <w:r w:rsidRPr="00740FD0">
        <w:rPr>
          <w:sz w:val="18"/>
          <w:szCs w:val="18"/>
        </w:rPr>
        <w:t xml:space="preserve"> </w:t>
      </w:r>
    </w:p>
  </w:endnote>
  <w:endnote w:id="354">
    <w:p w14:paraId="07D36DE5" w14:textId="7894ED95" w:rsidR="008C45BD" w:rsidRPr="00740FD0" w:rsidRDefault="008C45BD">
      <w:pPr>
        <w:pStyle w:val="EndnoteText"/>
        <w:rPr>
          <w:sz w:val="18"/>
          <w:szCs w:val="18"/>
        </w:rPr>
      </w:pPr>
      <w:r w:rsidRPr="00740FD0">
        <w:rPr>
          <w:rStyle w:val="EndnoteReference"/>
          <w:sz w:val="18"/>
          <w:szCs w:val="18"/>
        </w:rPr>
        <w:endnoteRef/>
      </w:r>
      <w:r w:rsidRPr="00740FD0">
        <w:rPr>
          <w:sz w:val="18"/>
          <w:szCs w:val="18"/>
        </w:rPr>
        <w:t xml:space="preserve"> </w:t>
      </w:r>
      <w:r w:rsidR="005D5BFA" w:rsidRPr="00740FD0">
        <w:rPr>
          <w:sz w:val="18"/>
          <w:szCs w:val="18"/>
        </w:rPr>
        <w:t>S</w:t>
      </w:r>
      <w:r w:rsidRPr="00740FD0">
        <w:rPr>
          <w:sz w:val="18"/>
          <w:szCs w:val="18"/>
        </w:rPr>
        <w:t xml:space="preserve">ee </w:t>
      </w:r>
      <w:r w:rsidR="005D5BFA" w:rsidRPr="00740FD0">
        <w:rPr>
          <w:sz w:val="18"/>
          <w:szCs w:val="18"/>
        </w:rPr>
        <w:t xml:space="preserve">Les Jacobs, David </w:t>
      </w:r>
      <w:r w:rsidR="005D5BFA" w:rsidRPr="00740FD0">
        <w:rPr>
          <w:sz w:val="18"/>
          <w:szCs w:val="18"/>
        </w:rPr>
        <w:t xml:space="preserve">Kryszajtys &amp; Matthew McManus, </w:t>
      </w:r>
      <w:r w:rsidR="005D5BFA" w:rsidRPr="00740FD0">
        <w:rPr>
          <w:i/>
          <w:iCs/>
          <w:sz w:val="18"/>
          <w:szCs w:val="18"/>
        </w:rPr>
        <w:t xml:space="preserve">Paths to Justice and the Resolution of Consumer Problems: Findings from the 2014 Everyday Legal Problems and the Costs of Civil Justice in Canada National Survey </w:t>
      </w:r>
      <w:r w:rsidR="005D5BFA" w:rsidRPr="00740FD0">
        <w:rPr>
          <w:sz w:val="18"/>
          <w:szCs w:val="18"/>
        </w:rPr>
        <w:t xml:space="preserve">(CFCJ 2015), online: </w:t>
      </w:r>
      <w:hyperlink r:id="rId306" w:history="1">
        <w:r w:rsidR="005D5BFA" w:rsidRPr="00740FD0">
          <w:rPr>
            <w:rStyle w:val="Hyperlink"/>
            <w:sz w:val="18"/>
            <w:szCs w:val="18"/>
          </w:rPr>
          <w:t>http://www.cfcj-fcjc.org/sites/default/files/Paths%20to%20Justice%20and%20the%20Resolution%20of%20Consumer%20Problems.pdf</w:t>
        </w:r>
      </w:hyperlink>
      <w:r w:rsidR="005D5BFA" w:rsidRPr="00740FD0">
        <w:rPr>
          <w:sz w:val="18"/>
          <w:szCs w:val="18"/>
        </w:rPr>
        <w:t>.</w:t>
      </w:r>
    </w:p>
  </w:endnote>
  <w:endnote w:id="355">
    <w:p w14:paraId="3F6DE965" w14:textId="23E851B9" w:rsidR="0047259D" w:rsidRPr="00740FD0" w:rsidRDefault="0047259D">
      <w:pPr>
        <w:pStyle w:val="EndnoteText"/>
        <w:rPr>
          <w:sz w:val="18"/>
          <w:szCs w:val="18"/>
        </w:rPr>
      </w:pPr>
      <w:r w:rsidRPr="00740FD0">
        <w:rPr>
          <w:rStyle w:val="EndnoteReference"/>
          <w:sz w:val="18"/>
          <w:szCs w:val="18"/>
        </w:rPr>
        <w:endnoteRef/>
      </w:r>
      <w:r w:rsidRPr="00740FD0">
        <w:rPr>
          <w:sz w:val="18"/>
          <w:szCs w:val="18"/>
        </w:rPr>
        <w:t xml:space="preserve"> </w:t>
      </w:r>
      <w:r w:rsidR="005D5BFA" w:rsidRPr="00740FD0">
        <w:rPr>
          <w:sz w:val="18"/>
          <w:szCs w:val="18"/>
        </w:rPr>
        <w:t xml:space="preserve">Les Jacobs, David </w:t>
      </w:r>
      <w:r w:rsidR="005D5BFA" w:rsidRPr="00740FD0">
        <w:rPr>
          <w:sz w:val="18"/>
          <w:szCs w:val="18"/>
        </w:rPr>
        <w:t xml:space="preserve">Kryszajtys &amp; Matthew McManus, </w:t>
      </w:r>
      <w:r w:rsidR="005D5BFA" w:rsidRPr="00740FD0">
        <w:rPr>
          <w:i/>
          <w:iCs/>
          <w:sz w:val="18"/>
          <w:szCs w:val="18"/>
        </w:rPr>
        <w:t xml:space="preserve">Paths to Justice and the Resolution of Consumer Problems: Findings from the 2014 Everyday Legal Problems and the Costs of Civil Justice in Canada National Survey </w:t>
      </w:r>
      <w:r w:rsidR="005D5BFA" w:rsidRPr="00740FD0">
        <w:rPr>
          <w:sz w:val="18"/>
          <w:szCs w:val="18"/>
        </w:rPr>
        <w:t xml:space="preserve">(CFCJ 2015), online: </w:t>
      </w:r>
      <w:hyperlink r:id="rId307" w:history="1">
        <w:r w:rsidR="005D5BFA" w:rsidRPr="00740FD0">
          <w:rPr>
            <w:rStyle w:val="Hyperlink"/>
            <w:sz w:val="18"/>
            <w:szCs w:val="18"/>
          </w:rPr>
          <w:t>http://www.cfcj-fcjc.org/sites/default/files/Paths%20to%20Justice%20and%20the%20Resolution%20of%20Consumer%20Problems.pdf</w:t>
        </w:r>
      </w:hyperlink>
      <w:r w:rsidR="005D5BFA" w:rsidRPr="00740FD0">
        <w:rPr>
          <w:sz w:val="18"/>
          <w:szCs w:val="18"/>
        </w:rPr>
        <w:t>.</w:t>
      </w:r>
    </w:p>
  </w:endnote>
  <w:endnote w:id="356">
    <w:p w14:paraId="2CC65E32" w14:textId="0157E6A9" w:rsidR="004E7E8A" w:rsidRPr="00740FD0" w:rsidRDefault="004E7E8A" w:rsidP="004E7E8A">
      <w:pPr>
        <w:pStyle w:val="EndnoteText"/>
        <w:rPr>
          <w:i/>
          <w:iCs/>
          <w:sz w:val="18"/>
          <w:szCs w:val="18"/>
          <w:lang w:val="en-US"/>
        </w:rPr>
      </w:pPr>
      <w:r w:rsidRPr="00740FD0">
        <w:rPr>
          <w:rStyle w:val="EndnoteReference"/>
          <w:sz w:val="18"/>
          <w:szCs w:val="18"/>
        </w:rPr>
        <w:endnoteRef/>
      </w:r>
      <w:r w:rsidRPr="00740FD0">
        <w:rPr>
          <w:sz w:val="18"/>
          <w:szCs w:val="18"/>
        </w:rPr>
        <w:t xml:space="preserve"> </w:t>
      </w:r>
      <w:r w:rsidRPr="00740FD0">
        <w:rPr>
          <w:sz w:val="18"/>
          <w:szCs w:val="18"/>
          <w:lang w:val="en-US"/>
        </w:rPr>
        <w:t xml:space="preserve">See </w:t>
      </w:r>
      <w:r w:rsidR="008A042A" w:rsidRPr="00740FD0">
        <w:rPr>
          <w:sz w:val="18"/>
          <w:szCs w:val="18"/>
        </w:rPr>
        <w:t xml:space="preserve">Organization for Economic Cooperation and Development, </w:t>
      </w:r>
      <w:r w:rsidR="008A042A" w:rsidRPr="00740FD0">
        <w:rPr>
          <w:i/>
          <w:iCs/>
          <w:sz w:val="18"/>
          <w:szCs w:val="18"/>
        </w:rPr>
        <w:t>The Role of Online Marketplaces in Protecting and Empowering Consumers</w:t>
      </w:r>
      <w:r w:rsidR="008A042A" w:rsidRPr="00740FD0">
        <w:rPr>
          <w:sz w:val="18"/>
          <w:szCs w:val="18"/>
        </w:rPr>
        <w:t xml:space="preserve"> (July 2022), at 6, online: </w:t>
      </w:r>
      <w:hyperlink r:id="rId308" w:history="1">
        <w:r w:rsidR="008A042A" w:rsidRPr="00740FD0">
          <w:rPr>
            <w:rStyle w:val="Hyperlink"/>
            <w:sz w:val="18"/>
            <w:szCs w:val="18"/>
          </w:rPr>
          <w:t>https://www.oecd.org/publications/the-role-of-online-marketplaces-in-protecting-and-empowering-consumers-9d8cc586-en.htm</w:t>
        </w:r>
      </w:hyperlink>
      <w:r w:rsidRPr="00740FD0">
        <w:rPr>
          <w:sz w:val="18"/>
          <w:szCs w:val="18"/>
          <w:lang w:val="en-US"/>
        </w:rPr>
        <w:t>.</w:t>
      </w:r>
    </w:p>
  </w:endnote>
  <w:endnote w:id="357">
    <w:p w14:paraId="06E385AD" w14:textId="2968FE37" w:rsidR="00EF337A" w:rsidRPr="00740FD0" w:rsidRDefault="00EF337A" w:rsidP="00EF337A">
      <w:pPr>
        <w:pStyle w:val="EndnoteText"/>
        <w:rPr>
          <w:sz w:val="18"/>
          <w:szCs w:val="18"/>
        </w:rPr>
      </w:pPr>
      <w:r w:rsidRPr="00740FD0">
        <w:rPr>
          <w:rStyle w:val="EndnoteReference"/>
          <w:sz w:val="18"/>
          <w:szCs w:val="18"/>
        </w:rPr>
        <w:endnoteRef/>
      </w:r>
      <w:r w:rsidRPr="00740FD0">
        <w:rPr>
          <w:sz w:val="18"/>
          <w:szCs w:val="18"/>
        </w:rPr>
        <w:t xml:space="preserve"> </w:t>
      </w:r>
      <w:r w:rsidR="00794F1F" w:rsidRPr="00740FD0">
        <w:rPr>
          <w:sz w:val="18"/>
          <w:szCs w:val="18"/>
        </w:rPr>
        <w:t xml:space="preserve">Organization for Economic Cooperation and Development, </w:t>
      </w:r>
      <w:r w:rsidR="00794F1F" w:rsidRPr="00740FD0">
        <w:rPr>
          <w:i/>
          <w:iCs/>
          <w:sz w:val="18"/>
          <w:szCs w:val="18"/>
        </w:rPr>
        <w:t>Challenges to Consumer Policy in the Digital Age</w:t>
      </w:r>
      <w:r w:rsidR="00794F1F" w:rsidRPr="00740FD0">
        <w:rPr>
          <w:sz w:val="18"/>
          <w:szCs w:val="18"/>
        </w:rPr>
        <w:t xml:space="preserve"> (September 2019) at 23, online: </w:t>
      </w:r>
      <w:hyperlink r:id="rId309" w:history="1">
        <w:r w:rsidR="00794F1F" w:rsidRPr="00740FD0">
          <w:rPr>
            <w:rStyle w:val="Hyperlink"/>
            <w:sz w:val="18"/>
            <w:szCs w:val="18"/>
          </w:rPr>
          <w:t>https://www.oecd.org/digital/challenges-to-consumer-policy-in-the-digital-age.pdf</w:t>
        </w:r>
      </w:hyperlink>
      <w:r w:rsidRPr="00740FD0">
        <w:rPr>
          <w:sz w:val="18"/>
          <w:szCs w:val="18"/>
        </w:rPr>
        <w:t xml:space="preserve">. </w:t>
      </w:r>
    </w:p>
  </w:endnote>
  <w:endnote w:id="358">
    <w:p w14:paraId="5334A56F" w14:textId="77777777" w:rsidR="000B5AC8" w:rsidRPr="00740FD0" w:rsidRDefault="000B5AC8" w:rsidP="000B5AC8">
      <w:pPr>
        <w:pStyle w:val="EndnoteText"/>
        <w:rPr>
          <w:sz w:val="18"/>
          <w:szCs w:val="18"/>
        </w:rPr>
      </w:pPr>
      <w:r w:rsidRPr="00740FD0">
        <w:rPr>
          <w:rStyle w:val="EndnoteReference"/>
          <w:sz w:val="18"/>
          <w:szCs w:val="18"/>
        </w:rPr>
        <w:endnoteRef/>
      </w:r>
      <w:r w:rsidRPr="00740FD0">
        <w:rPr>
          <w:sz w:val="18"/>
          <w:szCs w:val="18"/>
        </w:rPr>
        <w:t xml:space="preserve"> A summary of these procedures and powers is available at Ministry of Public and Business Service Delivery, Consumer Protection Ontario, “How we address consumer complaints” (December 2, 2022), online: </w:t>
      </w:r>
      <w:hyperlink r:id="rId310" w:history="1">
        <w:r w:rsidRPr="00740FD0">
          <w:rPr>
            <w:rStyle w:val="Hyperlink"/>
            <w:sz w:val="18"/>
            <w:szCs w:val="18"/>
          </w:rPr>
          <w:t>https://www.ontario.ca/page/how-we-address-consumer-complaints</w:t>
        </w:r>
      </w:hyperlink>
      <w:r w:rsidRPr="00740FD0">
        <w:rPr>
          <w:sz w:val="18"/>
          <w:szCs w:val="18"/>
        </w:rPr>
        <w:t xml:space="preserve"> and Ministry of Public and Business Service Delivery, Consumer Protection Ontario, “Consumer complaints and enforcement” (March 21, 2023), online: </w:t>
      </w:r>
      <w:hyperlink r:id="rId311" w:history="1">
        <w:r w:rsidRPr="00740FD0">
          <w:rPr>
            <w:rStyle w:val="Hyperlink"/>
            <w:sz w:val="18"/>
            <w:szCs w:val="18"/>
          </w:rPr>
          <w:t>https://www.ontario.ca/page/consumer-complaints-and-enforcement</w:t>
        </w:r>
      </w:hyperlink>
      <w:r w:rsidRPr="00740FD0">
        <w:rPr>
          <w:sz w:val="18"/>
          <w:szCs w:val="18"/>
        </w:rPr>
        <w:t xml:space="preserve">. </w:t>
      </w:r>
    </w:p>
  </w:endnote>
  <w:endnote w:id="359">
    <w:p w14:paraId="04E1E094" w14:textId="514BF308" w:rsidR="00885BEC" w:rsidRPr="00740FD0" w:rsidRDefault="00885BEC">
      <w:pPr>
        <w:pStyle w:val="EndnoteText"/>
        <w:rPr>
          <w:sz w:val="18"/>
          <w:szCs w:val="18"/>
        </w:rPr>
      </w:pPr>
      <w:r w:rsidRPr="00740FD0">
        <w:rPr>
          <w:rStyle w:val="EndnoteReference"/>
          <w:sz w:val="18"/>
          <w:szCs w:val="18"/>
        </w:rPr>
        <w:endnoteRef/>
      </w:r>
      <w:r w:rsidRPr="00740FD0">
        <w:rPr>
          <w:sz w:val="18"/>
          <w:szCs w:val="18"/>
        </w:rPr>
        <w:t xml:space="preserve"> </w:t>
      </w:r>
      <w:r w:rsidR="00091294" w:rsidRPr="00740FD0">
        <w:rPr>
          <w:sz w:val="18"/>
          <w:szCs w:val="18"/>
        </w:rPr>
        <w:t>A search of cases found through Canlii.org containing “Consumer Protection Act” and reported from the Superior Court of Justice between the dates of Jan 1</w:t>
      </w:r>
      <w:r w:rsidR="00091294" w:rsidRPr="00740FD0">
        <w:rPr>
          <w:sz w:val="18"/>
          <w:szCs w:val="18"/>
        </w:rPr>
        <w:t xml:space="preserve"> 2019 and May 17, 2023 yielded 87 results, of which fewer than 75 were unique.</w:t>
      </w:r>
    </w:p>
  </w:endnote>
  <w:endnote w:id="360">
    <w:p w14:paraId="6AA50C9B" w14:textId="6288405F" w:rsidR="008E3AF0" w:rsidRPr="00740FD0" w:rsidRDefault="008E3AF0" w:rsidP="008E3AF0">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Ontario, </w:t>
      </w:r>
      <w:r w:rsidR="006C183D" w:rsidRPr="00740FD0">
        <w:rPr>
          <w:i/>
          <w:iCs/>
          <w:sz w:val="18"/>
          <w:szCs w:val="18"/>
        </w:rPr>
        <w:t xml:space="preserve">Modernizing Consumer Protection in Ontario Strengthening the Consumer Protection Act </w:t>
      </w:r>
      <w:r w:rsidR="006C183D" w:rsidRPr="00740FD0">
        <w:rPr>
          <w:sz w:val="18"/>
          <w:szCs w:val="18"/>
        </w:rPr>
        <w:t xml:space="preserve">(Ministry of Public and Business Service Delivery, February 2023) at12, online: </w:t>
      </w:r>
      <w:hyperlink r:id="rId312" w:history="1">
        <w:r w:rsidR="006C183D" w:rsidRPr="00740FD0">
          <w:rPr>
            <w:rStyle w:val="Hyperlink"/>
            <w:sz w:val="18"/>
            <w:szCs w:val="18"/>
          </w:rPr>
          <w:t>https://www.ontariocanada.com/registry/view.do?postingId=43452&amp;language=en</w:t>
        </w:r>
      </w:hyperlink>
      <w:r w:rsidRPr="00740FD0">
        <w:rPr>
          <w:sz w:val="18"/>
          <w:szCs w:val="18"/>
        </w:rPr>
        <w:t>.</w:t>
      </w:r>
    </w:p>
  </w:endnote>
  <w:endnote w:id="361">
    <w:p w14:paraId="18560702" w14:textId="563412F1" w:rsidR="008E3AF0" w:rsidRPr="00740FD0" w:rsidRDefault="008E3AF0" w:rsidP="008E3AF0">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Ontario, </w:t>
      </w:r>
      <w:r w:rsidR="006C183D" w:rsidRPr="00740FD0">
        <w:rPr>
          <w:i/>
          <w:iCs/>
          <w:sz w:val="18"/>
          <w:szCs w:val="18"/>
        </w:rPr>
        <w:t xml:space="preserve">Modernizing Consumer Protection in Ontario Strengthening the Consumer Protection Act </w:t>
      </w:r>
      <w:r w:rsidR="006C183D" w:rsidRPr="00740FD0">
        <w:rPr>
          <w:sz w:val="18"/>
          <w:szCs w:val="18"/>
        </w:rPr>
        <w:t xml:space="preserve">(Ministry of Public and Business Service Delivery, February 2023) at 13-14, online: </w:t>
      </w:r>
      <w:hyperlink r:id="rId313" w:history="1">
        <w:r w:rsidR="006C183D" w:rsidRPr="00740FD0">
          <w:rPr>
            <w:rStyle w:val="Hyperlink"/>
            <w:sz w:val="18"/>
            <w:szCs w:val="18"/>
          </w:rPr>
          <w:t>https://www.ontariocanada.com/registry/view.do?postingId=43452&amp;language=en</w:t>
        </w:r>
      </w:hyperlink>
      <w:r w:rsidRPr="00740FD0">
        <w:rPr>
          <w:sz w:val="18"/>
          <w:szCs w:val="18"/>
        </w:rPr>
        <w:t>.</w:t>
      </w:r>
    </w:p>
  </w:endnote>
  <w:endnote w:id="362">
    <w:p w14:paraId="60EE6D58" w14:textId="420292FB" w:rsidR="008E3AF0" w:rsidRPr="00740FD0" w:rsidRDefault="008E3AF0" w:rsidP="008E3AF0">
      <w:pPr>
        <w:pStyle w:val="EndnoteText"/>
        <w:rPr>
          <w:sz w:val="18"/>
          <w:szCs w:val="18"/>
        </w:rPr>
      </w:pPr>
      <w:r w:rsidRPr="00740FD0">
        <w:rPr>
          <w:rStyle w:val="EndnoteReference"/>
          <w:sz w:val="18"/>
          <w:szCs w:val="18"/>
        </w:rPr>
        <w:endnoteRef/>
      </w:r>
      <w:r w:rsidRPr="00740FD0">
        <w:rPr>
          <w:sz w:val="18"/>
          <w:szCs w:val="18"/>
        </w:rPr>
        <w:t xml:space="preserve"> </w:t>
      </w:r>
      <w:r w:rsidR="006C183D" w:rsidRPr="00740FD0">
        <w:rPr>
          <w:sz w:val="18"/>
          <w:szCs w:val="18"/>
        </w:rPr>
        <w:t xml:space="preserve">Ontario, </w:t>
      </w:r>
      <w:r w:rsidR="006C183D" w:rsidRPr="00740FD0">
        <w:rPr>
          <w:i/>
          <w:iCs/>
          <w:sz w:val="18"/>
          <w:szCs w:val="18"/>
        </w:rPr>
        <w:t xml:space="preserve">Modernizing Consumer Protection in Ontario Strengthening the Consumer Protection Act </w:t>
      </w:r>
      <w:r w:rsidR="006C183D" w:rsidRPr="00740FD0">
        <w:rPr>
          <w:sz w:val="18"/>
          <w:szCs w:val="18"/>
        </w:rPr>
        <w:t xml:space="preserve">(Ministry of Public and Business Service Delivery, February 2023) at 18, online: </w:t>
      </w:r>
      <w:hyperlink r:id="rId314" w:history="1">
        <w:r w:rsidR="006C183D" w:rsidRPr="00740FD0">
          <w:rPr>
            <w:rStyle w:val="Hyperlink"/>
            <w:sz w:val="18"/>
            <w:szCs w:val="18"/>
          </w:rPr>
          <w:t>https://www.ontariocanada.com/registry/view.do?postingId=43452&amp;language=en</w:t>
        </w:r>
      </w:hyperlink>
      <w:r w:rsidRPr="00740FD0">
        <w:rPr>
          <w:sz w:val="18"/>
          <w:szCs w:val="18"/>
        </w:rPr>
        <w:t>.</w:t>
      </w:r>
    </w:p>
  </w:endnote>
  <w:endnote w:id="363">
    <w:p w14:paraId="513614FF" w14:textId="69B753AB" w:rsidR="00C47D9A" w:rsidRPr="00740FD0" w:rsidRDefault="00C47D9A" w:rsidP="00C47D9A">
      <w:pPr>
        <w:pStyle w:val="EndnoteText"/>
        <w:rPr>
          <w:sz w:val="18"/>
          <w:szCs w:val="18"/>
        </w:rPr>
      </w:pPr>
      <w:r w:rsidRPr="00740FD0">
        <w:rPr>
          <w:rStyle w:val="EndnoteReference"/>
          <w:sz w:val="18"/>
          <w:szCs w:val="18"/>
        </w:rPr>
        <w:endnoteRef/>
      </w:r>
      <w:r w:rsidRPr="00740FD0">
        <w:rPr>
          <w:sz w:val="18"/>
          <w:szCs w:val="18"/>
        </w:rPr>
        <w:t xml:space="preserve"> Margaret Jane </w:t>
      </w:r>
      <w:r w:rsidRPr="00740FD0">
        <w:rPr>
          <w:sz w:val="18"/>
          <w:szCs w:val="18"/>
        </w:rPr>
        <w:t xml:space="preserve">Radin, </w:t>
      </w:r>
      <w:r w:rsidRPr="00740FD0">
        <w:rPr>
          <w:i/>
          <w:iCs/>
          <w:sz w:val="18"/>
          <w:szCs w:val="18"/>
        </w:rPr>
        <w:t xml:space="preserve">Boilerplate: The Fine Print, Vanishing Rights, and the Rule of Law </w:t>
      </w:r>
      <w:r w:rsidRPr="00740FD0">
        <w:rPr>
          <w:sz w:val="18"/>
          <w:szCs w:val="18"/>
        </w:rPr>
        <w:t>(Princeton University Press, 2013) at 123-142.</w:t>
      </w:r>
    </w:p>
  </w:endnote>
  <w:endnote w:id="364">
    <w:p w14:paraId="43C1486E" w14:textId="3911B830" w:rsidR="001305E1" w:rsidRPr="00740FD0" w:rsidRDefault="001305E1" w:rsidP="001305E1">
      <w:pPr>
        <w:pStyle w:val="EndnoteText"/>
        <w:rPr>
          <w:sz w:val="18"/>
          <w:szCs w:val="18"/>
        </w:rPr>
      </w:pPr>
      <w:r w:rsidRPr="00740FD0">
        <w:rPr>
          <w:rStyle w:val="EndnoteReference"/>
          <w:sz w:val="18"/>
          <w:szCs w:val="18"/>
        </w:rPr>
        <w:endnoteRef/>
      </w:r>
      <w:r w:rsidRPr="00740FD0">
        <w:rPr>
          <w:sz w:val="18"/>
          <w:szCs w:val="18"/>
        </w:rPr>
        <w:t xml:space="preserve"> Margaret Jane </w:t>
      </w:r>
      <w:r w:rsidRPr="00740FD0">
        <w:rPr>
          <w:sz w:val="18"/>
          <w:szCs w:val="18"/>
        </w:rPr>
        <w:t xml:space="preserve">Radin, </w:t>
      </w:r>
      <w:r w:rsidRPr="00740FD0">
        <w:rPr>
          <w:i/>
          <w:iCs/>
          <w:sz w:val="18"/>
          <w:szCs w:val="18"/>
        </w:rPr>
        <w:t xml:space="preserve">Boilerplate: The Fine Print, Vanishing Rights, and the Rule of Law </w:t>
      </w:r>
      <w:r w:rsidRPr="00740FD0">
        <w:rPr>
          <w:sz w:val="18"/>
          <w:szCs w:val="18"/>
        </w:rPr>
        <w:t>(Princeton University Press, 2013) at 143-153.</w:t>
      </w:r>
    </w:p>
  </w:endnote>
  <w:endnote w:id="365">
    <w:p w14:paraId="690484C4" w14:textId="77D3E6F2" w:rsidR="001305E1" w:rsidRPr="00740FD0" w:rsidRDefault="001305E1" w:rsidP="001305E1">
      <w:pPr>
        <w:pStyle w:val="EndnoteText"/>
        <w:rPr>
          <w:sz w:val="18"/>
          <w:szCs w:val="18"/>
        </w:rPr>
      </w:pPr>
      <w:r w:rsidRPr="00740FD0">
        <w:rPr>
          <w:rStyle w:val="EndnoteReference"/>
          <w:sz w:val="18"/>
          <w:szCs w:val="18"/>
        </w:rPr>
        <w:endnoteRef/>
      </w:r>
      <w:r w:rsidRPr="00740FD0">
        <w:rPr>
          <w:sz w:val="18"/>
          <w:szCs w:val="18"/>
        </w:rPr>
        <w:t xml:space="preserve"> Margaret Jane </w:t>
      </w:r>
      <w:r w:rsidRPr="00740FD0">
        <w:rPr>
          <w:sz w:val="18"/>
          <w:szCs w:val="18"/>
        </w:rPr>
        <w:t xml:space="preserve">Radin, </w:t>
      </w:r>
      <w:r w:rsidRPr="00740FD0">
        <w:rPr>
          <w:i/>
          <w:iCs/>
          <w:sz w:val="18"/>
          <w:szCs w:val="18"/>
        </w:rPr>
        <w:t xml:space="preserve">Boilerplate: The Fine Print, Vanishing Rights, and the Rule of Law </w:t>
      </w:r>
      <w:r w:rsidRPr="00740FD0">
        <w:rPr>
          <w:sz w:val="18"/>
          <w:szCs w:val="18"/>
        </w:rPr>
        <w:t>(Princeton University Press, 2013) at 123-142.</w:t>
      </w:r>
    </w:p>
  </w:endnote>
  <w:endnote w:id="366">
    <w:p w14:paraId="62A25D46" w14:textId="77777777" w:rsidR="004143C8" w:rsidRPr="00740FD0" w:rsidRDefault="004143C8" w:rsidP="004143C8">
      <w:pPr>
        <w:pStyle w:val="EndnoteText"/>
        <w:rPr>
          <w:sz w:val="18"/>
          <w:szCs w:val="18"/>
        </w:rPr>
      </w:pPr>
      <w:r w:rsidRPr="00740FD0">
        <w:rPr>
          <w:rStyle w:val="EndnoteReference"/>
          <w:sz w:val="18"/>
          <w:szCs w:val="18"/>
        </w:rPr>
        <w:endnoteRef/>
      </w:r>
      <w:r w:rsidRPr="00740FD0">
        <w:rPr>
          <w:sz w:val="18"/>
          <w:szCs w:val="18"/>
        </w:rPr>
        <w:t xml:space="preserve"> </w:t>
      </w:r>
      <w:r w:rsidRPr="00740FD0">
        <w:rPr>
          <w:i/>
          <w:iCs/>
          <w:sz w:val="18"/>
          <w:szCs w:val="18"/>
        </w:rPr>
        <w:t>Consumer Protection Act, 2002</w:t>
      </w:r>
      <w:r w:rsidRPr="00740FD0">
        <w:rPr>
          <w:sz w:val="18"/>
          <w:szCs w:val="18"/>
        </w:rPr>
        <w:t xml:space="preserve">, S.O. 2002, c. 30, Sch. A; (ON) General Regulation, </w:t>
      </w:r>
      <w:r w:rsidRPr="00740FD0">
        <w:rPr>
          <w:i/>
          <w:iCs/>
          <w:sz w:val="18"/>
          <w:szCs w:val="18"/>
        </w:rPr>
        <w:t>O. Reg. 17/05, ss. 32</w:t>
      </w:r>
      <w:r w:rsidRPr="00740FD0">
        <w:rPr>
          <w:sz w:val="18"/>
          <w:szCs w:val="18"/>
        </w:rPr>
        <w:t>, 33, 37 </w:t>
      </w:r>
    </w:p>
  </w:endnote>
  <w:endnote w:id="367">
    <w:p w14:paraId="7B6D222B" w14:textId="174FC621" w:rsidR="00764A2A" w:rsidRPr="00740FD0" w:rsidRDefault="00764A2A" w:rsidP="00764A2A">
      <w:pPr>
        <w:pStyle w:val="EndnoteText"/>
        <w:rPr>
          <w:sz w:val="18"/>
          <w:szCs w:val="18"/>
        </w:rPr>
      </w:pPr>
      <w:r w:rsidRPr="00740FD0">
        <w:rPr>
          <w:rStyle w:val="EndnoteReference"/>
          <w:sz w:val="18"/>
          <w:szCs w:val="18"/>
        </w:rPr>
        <w:endnoteRef/>
      </w:r>
      <w:r w:rsidRPr="00740FD0">
        <w:rPr>
          <w:sz w:val="18"/>
          <w:szCs w:val="18"/>
        </w:rPr>
        <w:t xml:space="preserve"> Margaret Jane </w:t>
      </w:r>
      <w:r w:rsidRPr="00740FD0">
        <w:rPr>
          <w:sz w:val="18"/>
          <w:szCs w:val="18"/>
        </w:rPr>
        <w:t xml:space="preserve">Radin, </w:t>
      </w:r>
      <w:r w:rsidRPr="00740FD0">
        <w:rPr>
          <w:i/>
          <w:iCs/>
          <w:sz w:val="18"/>
          <w:szCs w:val="18"/>
        </w:rPr>
        <w:t xml:space="preserve">Boilerplate: The Fine Print, Vanishing Rights, and the Rule of Law </w:t>
      </w:r>
      <w:r w:rsidRPr="00740FD0">
        <w:rPr>
          <w:sz w:val="18"/>
          <w:szCs w:val="18"/>
        </w:rPr>
        <w:t>(Princeton University Press, 2013) at 143-153.</w:t>
      </w:r>
    </w:p>
  </w:endnote>
  <w:endnote w:id="368">
    <w:p w14:paraId="24C4C635" w14:textId="6A70AF56" w:rsidR="00764A2A" w:rsidRPr="00740FD0" w:rsidRDefault="00764A2A" w:rsidP="00764A2A">
      <w:pPr>
        <w:pStyle w:val="EndnoteText"/>
        <w:rPr>
          <w:sz w:val="18"/>
          <w:szCs w:val="18"/>
        </w:rPr>
      </w:pPr>
      <w:r w:rsidRPr="00740FD0">
        <w:rPr>
          <w:rStyle w:val="EndnoteReference"/>
          <w:sz w:val="18"/>
          <w:szCs w:val="18"/>
        </w:rPr>
        <w:endnoteRef/>
      </w:r>
      <w:r w:rsidRPr="00740FD0">
        <w:rPr>
          <w:sz w:val="18"/>
          <w:szCs w:val="18"/>
        </w:rPr>
        <w:t xml:space="preserve"> Margaret Jane </w:t>
      </w:r>
      <w:r w:rsidRPr="00740FD0">
        <w:rPr>
          <w:sz w:val="18"/>
          <w:szCs w:val="18"/>
        </w:rPr>
        <w:t xml:space="preserve">Radin, </w:t>
      </w:r>
      <w:r w:rsidRPr="00740FD0">
        <w:rPr>
          <w:i/>
          <w:iCs/>
          <w:sz w:val="18"/>
          <w:szCs w:val="18"/>
        </w:rPr>
        <w:t xml:space="preserve">Boilerplate: The Fine Print, Vanishing Rights, and the Rule of Law </w:t>
      </w:r>
      <w:r w:rsidRPr="00740FD0">
        <w:rPr>
          <w:sz w:val="18"/>
          <w:szCs w:val="18"/>
        </w:rPr>
        <w:t>(Princeton University Press, 2013) at 123-142.</w:t>
      </w:r>
    </w:p>
  </w:endnote>
  <w:endnote w:id="369">
    <w:p w14:paraId="53B0015C" w14:textId="4333D532" w:rsidR="00764A2A" w:rsidRPr="00740FD0" w:rsidRDefault="00764A2A" w:rsidP="00764A2A">
      <w:pPr>
        <w:pStyle w:val="EndnoteText"/>
        <w:rPr>
          <w:sz w:val="18"/>
          <w:szCs w:val="18"/>
        </w:rPr>
      </w:pPr>
      <w:r w:rsidRPr="00740FD0">
        <w:rPr>
          <w:rStyle w:val="EndnoteReference"/>
          <w:sz w:val="18"/>
          <w:szCs w:val="18"/>
        </w:rPr>
        <w:endnoteRef/>
      </w:r>
      <w:r w:rsidRPr="00740FD0">
        <w:rPr>
          <w:sz w:val="18"/>
          <w:szCs w:val="18"/>
        </w:rPr>
        <w:t xml:space="preserve"> </w:t>
      </w:r>
      <w:r w:rsidRPr="00740FD0">
        <w:rPr>
          <w:i/>
          <w:iCs/>
          <w:sz w:val="18"/>
          <w:szCs w:val="18"/>
        </w:rPr>
        <w:t>Morguard Investments Ltd. v De Savoye</w:t>
      </w:r>
      <w:r w:rsidRPr="00740FD0">
        <w:rPr>
          <w:sz w:val="18"/>
          <w:szCs w:val="18"/>
        </w:rPr>
        <w:t xml:space="preserve">, [1990] 3 SCR 1077. The framework for analyzing whether a real and substantial connection exists was recently modified in </w:t>
      </w:r>
      <w:r w:rsidRPr="00740FD0">
        <w:rPr>
          <w:i/>
          <w:iCs/>
          <w:sz w:val="18"/>
          <w:szCs w:val="18"/>
        </w:rPr>
        <w:t>Club Resorts Ltd. v Van Breda</w:t>
      </w:r>
      <w:r w:rsidR="008856D6" w:rsidRPr="00740FD0">
        <w:rPr>
          <w:sz w:val="18"/>
          <w:szCs w:val="18"/>
        </w:rPr>
        <w:t xml:space="preserve"> (</w:t>
      </w:r>
      <w:r w:rsidRPr="00740FD0">
        <w:rPr>
          <w:sz w:val="18"/>
          <w:szCs w:val="18"/>
        </w:rPr>
        <w:t>2012 SCC 17</w:t>
      </w:r>
      <w:r w:rsidR="008856D6" w:rsidRPr="00740FD0">
        <w:rPr>
          <w:sz w:val="18"/>
          <w:szCs w:val="18"/>
        </w:rPr>
        <w:t>)</w:t>
      </w:r>
      <w:r w:rsidRPr="00740FD0">
        <w:rPr>
          <w:sz w:val="18"/>
          <w:szCs w:val="18"/>
        </w:rPr>
        <w:t>.</w:t>
      </w:r>
    </w:p>
  </w:endnote>
  <w:endnote w:id="370">
    <w:p w14:paraId="22311445" w14:textId="2728C4B4" w:rsidR="00764A2A" w:rsidRPr="00740FD0" w:rsidRDefault="00764A2A" w:rsidP="00764A2A">
      <w:pPr>
        <w:pStyle w:val="EndnoteText"/>
        <w:rPr>
          <w:sz w:val="18"/>
          <w:szCs w:val="18"/>
        </w:rPr>
      </w:pPr>
      <w:r w:rsidRPr="00740FD0">
        <w:rPr>
          <w:rStyle w:val="EndnoteReference"/>
          <w:sz w:val="18"/>
          <w:szCs w:val="18"/>
        </w:rPr>
        <w:endnoteRef/>
      </w:r>
      <w:r w:rsidRPr="00740FD0">
        <w:rPr>
          <w:sz w:val="18"/>
          <w:szCs w:val="18"/>
        </w:rPr>
        <w:t xml:space="preserve"> See for example </w:t>
      </w:r>
      <w:r w:rsidRPr="00740FD0">
        <w:rPr>
          <w:i/>
          <w:iCs/>
          <w:sz w:val="18"/>
          <w:szCs w:val="18"/>
        </w:rPr>
        <w:t>Club Resorts Ltd. v. Van Breda</w:t>
      </w:r>
      <w:r w:rsidRPr="00740FD0">
        <w:rPr>
          <w:sz w:val="18"/>
          <w:szCs w:val="18"/>
        </w:rPr>
        <w:t xml:space="preserve"> </w:t>
      </w:r>
      <w:r w:rsidR="008856D6" w:rsidRPr="00740FD0">
        <w:rPr>
          <w:sz w:val="18"/>
          <w:szCs w:val="18"/>
        </w:rPr>
        <w:t>(</w:t>
      </w:r>
      <w:r w:rsidRPr="00740FD0">
        <w:rPr>
          <w:sz w:val="18"/>
          <w:szCs w:val="18"/>
        </w:rPr>
        <w:t>2012 SCC 17, [2012] 1 S.C.R. 572</w:t>
      </w:r>
      <w:r w:rsidR="008856D6" w:rsidRPr="00740FD0">
        <w:rPr>
          <w:sz w:val="18"/>
          <w:szCs w:val="18"/>
        </w:rPr>
        <w:t>)</w:t>
      </w:r>
      <w:r w:rsidRPr="00740FD0">
        <w:rPr>
          <w:sz w:val="18"/>
          <w:szCs w:val="18"/>
        </w:rPr>
        <w:t xml:space="preserve">. </w:t>
      </w:r>
    </w:p>
  </w:endnote>
  <w:endnote w:id="371">
    <w:p w14:paraId="2614AB44" w14:textId="77777777" w:rsidR="00AE368D" w:rsidRPr="00740FD0" w:rsidRDefault="002D3B3E" w:rsidP="00AE368D">
      <w:pPr>
        <w:pStyle w:val="EndnoteText"/>
        <w:rPr>
          <w:i/>
          <w:iCs/>
          <w:sz w:val="18"/>
          <w:szCs w:val="18"/>
        </w:rPr>
      </w:pPr>
      <w:r w:rsidRPr="00740FD0">
        <w:rPr>
          <w:rStyle w:val="EndnoteReference"/>
          <w:sz w:val="18"/>
          <w:szCs w:val="18"/>
        </w:rPr>
        <w:endnoteRef/>
      </w:r>
      <w:r w:rsidRPr="00740FD0">
        <w:rPr>
          <w:sz w:val="18"/>
          <w:szCs w:val="18"/>
        </w:rPr>
        <w:t xml:space="preserve"> Organization for Economic Cooperation and Development, </w:t>
      </w:r>
      <w:r w:rsidR="00AE368D" w:rsidRPr="00740FD0">
        <w:rPr>
          <w:i/>
          <w:iCs/>
          <w:sz w:val="18"/>
          <w:szCs w:val="18"/>
        </w:rPr>
        <w:t>The role of online marketplaces in protecting and empowering</w:t>
      </w:r>
    </w:p>
    <w:p w14:paraId="3CF2621D" w14:textId="3E403CC4" w:rsidR="002D3B3E" w:rsidRPr="00740FD0" w:rsidRDefault="00AE368D" w:rsidP="00AE368D">
      <w:pPr>
        <w:pStyle w:val="EndnoteText"/>
        <w:rPr>
          <w:sz w:val="18"/>
          <w:szCs w:val="18"/>
          <w:lang w:val="en-US"/>
        </w:rPr>
      </w:pPr>
      <w:r w:rsidRPr="00740FD0">
        <w:rPr>
          <w:i/>
          <w:iCs/>
          <w:sz w:val="18"/>
          <w:szCs w:val="18"/>
        </w:rPr>
        <w:t>consumers: Country and marketplace survey findings</w:t>
      </w:r>
      <w:r w:rsidR="002D3B3E" w:rsidRPr="00740FD0">
        <w:rPr>
          <w:sz w:val="18"/>
          <w:szCs w:val="18"/>
        </w:rPr>
        <w:t xml:space="preserve"> (</w:t>
      </w:r>
      <w:r w:rsidRPr="00740FD0">
        <w:rPr>
          <w:sz w:val="18"/>
          <w:szCs w:val="18"/>
        </w:rPr>
        <w:t xml:space="preserve">July </w:t>
      </w:r>
      <w:r w:rsidR="002D3B3E" w:rsidRPr="00740FD0">
        <w:rPr>
          <w:sz w:val="18"/>
          <w:szCs w:val="18"/>
        </w:rPr>
        <w:t xml:space="preserve">2022) at </w:t>
      </w:r>
      <w:r w:rsidRPr="00740FD0">
        <w:rPr>
          <w:sz w:val="18"/>
          <w:szCs w:val="18"/>
        </w:rPr>
        <w:t>23-25</w:t>
      </w:r>
      <w:r w:rsidR="002D3B3E" w:rsidRPr="00740FD0">
        <w:rPr>
          <w:sz w:val="18"/>
          <w:szCs w:val="18"/>
        </w:rPr>
        <w:t xml:space="preserve">, online: </w:t>
      </w:r>
      <w:r w:rsidRPr="00740FD0">
        <w:rPr>
          <w:sz w:val="18"/>
          <w:szCs w:val="18"/>
        </w:rPr>
        <w:t>https://www.oecd.org/publications/the-role-of-online-marketplaces-in-protecting-and-empowering-consumers-9d8cc586-en.htm</w:t>
      </w:r>
      <w:r w:rsidR="002D3B3E" w:rsidRPr="00740FD0">
        <w:rPr>
          <w:sz w:val="18"/>
          <w:szCs w:val="18"/>
        </w:rPr>
        <w:t>.</w:t>
      </w:r>
    </w:p>
  </w:endnote>
  <w:endnote w:id="372">
    <w:p w14:paraId="5F8069BC" w14:textId="2C2900D2" w:rsidR="002920E6" w:rsidRPr="00740FD0" w:rsidRDefault="002920E6">
      <w:pPr>
        <w:pStyle w:val="EndnoteText"/>
        <w:rPr>
          <w:sz w:val="18"/>
          <w:szCs w:val="18"/>
        </w:rPr>
      </w:pPr>
      <w:r w:rsidRPr="00740FD0">
        <w:rPr>
          <w:rStyle w:val="EndnoteReference"/>
          <w:sz w:val="18"/>
          <w:szCs w:val="18"/>
        </w:rPr>
        <w:endnoteRef/>
      </w:r>
      <w:r w:rsidRPr="00740FD0">
        <w:rPr>
          <w:sz w:val="18"/>
          <w:szCs w:val="18"/>
        </w:rPr>
        <w:t xml:space="preserve"> </w:t>
      </w:r>
      <w:r w:rsidR="00F34DB7" w:rsidRPr="00740FD0">
        <w:rPr>
          <w:sz w:val="18"/>
          <w:szCs w:val="18"/>
        </w:rPr>
        <w:t xml:space="preserve">See </w:t>
      </w:r>
      <w:r w:rsidR="00F34DB7" w:rsidRPr="00740FD0">
        <w:rPr>
          <w:i/>
          <w:iCs/>
          <w:sz w:val="18"/>
          <w:szCs w:val="18"/>
        </w:rPr>
        <w:t>Douez v. Facebook, Inc</w:t>
      </w:r>
      <w:r w:rsidR="00F34DB7" w:rsidRPr="00740FD0">
        <w:rPr>
          <w:sz w:val="18"/>
          <w:szCs w:val="18"/>
        </w:rPr>
        <w:t xml:space="preserve">. (2022 BCSC 914), which found in part that the court could adjudicate claims under consumer protection and privacy statutes enacted outside British Columbia. See Law360.ca, “Facebook privacy decision highlights need for tech companies to get consent from users, lawyers say” (June 21, 2022), online: </w:t>
      </w:r>
      <w:hyperlink r:id="rId315" w:history="1">
        <w:r w:rsidR="00F34DB7" w:rsidRPr="00740FD0">
          <w:rPr>
            <w:rStyle w:val="Hyperlink"/>
            <w:sz w:val="18"/>
            <w:szCs w:val="18"/>
          </w:rPr>
          <w:t>https://www.law360.ca/articles/37394/facebook-privacy-decision-highlights-need-for-tech-companies-to-get-consent-from-users-lawyers-say</w:t>
        </w:r>
      </w:hyperlink>
      <w:r w:rsidR="00F34DB7" w:rsidRPr="00740FD0">
        <w:rPr>
          <w:sz w:val="18"/>
          <w:szCs w:val="18"/>
        </w:rPr>
        <w:t>.</w:t>
      </w:r>
    </w:p>
  </w:endnote>
  <w:endnote w:id="373">
    <w:p w14:paraId="3265D49F" w14:textId="77777777" w:rsidR="00C45692" w:rsidRPr="00740FD0" w:rsidRDefault="00C45692" w:rsidP="00C45692">
      <w:pPr>
        <w:pStyle w:val="EndnoteText"/>
        <w:rPr>
          <w:sz w:val="18"/>
          <w:szCs w:val="18"/>
        </w:rPr>
      </w:pPr>
      <w:r w:rsidRPr="00740FD0">
        <w:rPr>
          <w:rStyle w:val="EndnoteReference"/>
          <w:sz w:val="18"/>
          <w:szCs w:val="18"/>
        </w:rPr>
        <w:endnoteRef/>
      </w:r>
      <w:r w:rsidRPr="00740FD0">
        <w:rPr>
          <w:sz w:val="18"/>
          <w:szCs w:val="18"/>
        </w:rPr>
        <w:t xml:space="preserve"> CPA s. 16. </w:t>
      </w:r>
    </w:p>
  </w:endnote>
  <w:endnote w:id="374">
    <w:p w14:paraId="68F943C7" w14:textId="6716E711" w:rsidR="0035748D" w:rsidRPr="00740FD0" w:rsidRDefault="0035748D">
      <w:pPr>
        <w:pStyle w:val="EndnoteText"/>
        <w:rPr>
          <w:sz w:val="18"/>
          <w:szCs w:val="18"/>
        </w:rPr>
      </w:pPr>
      <w:r w:rsidRPr="00740FD0">
        <w:rPr>
          <w:rStyle w:val="EndnoteReference"/>
          <w:sz w:val="18"/>
          <w:szCs w:val="18"/>
        </w:rPr>
        <w:endnoteRef/>
      </w:r>
      <w:r w:rsidRPr="00740FD0">
        <w:rPr>
          <w:sz w:val="18"/>
          <w:szCs w:val="18"/>
        </w:rPr>
        <w:t xml:space="preserve"> </w:t>
      </w:r>
      <w:r w:rsidR="008A035A" w:rsidRPr="00740FD0">
        <w:rPr>
          <w:sz w:val="18"/>
          <w:szCs w:val="18"/>
        </w:rPr>
        <w:t xml:space="preserve">See section 7.5, citing the European Commission, “A Europe fit for the digital age: new online rules for users”  </w:t>
      </w:r>
      <w:hyperlink r:id="rId316" w:history="1">
        <w:r w:rsidR="008A035A" w:rsidRPr="00740FD0">
          <w:rPr>
            <w:rStyle w:val="Hyperlink"/>
            <w:sz w:val="18"/>
            <w:szCs w:val="18"/>
          </w:rPr>
          <w:t>https://ec.europa.eu/info/strategy/priorities-2019-2024/europe-fit-digital-age/digital-services-act-ensuring-safe-and-accountable-online-environment/europe-fit-digital-age-new-online-rules-users_en</w:t>
        </w:r>
      </w:hyperlink>
      <w:r w:rsidR="008A035A" w:rsidRPr="00740FD0">
        <w:rPr>
          <w:sz w:val="18"/>
          <w:szCs w:val="18"/>
        </w:rPr>
        <w:t>.</w:t>
      </w:r>
    </w:p>
  </w:endnote>
  <w:endnote w:id="375">
    <w:p w14:paraId="5248120B" w14:textId="1D28BF22" w:rsidR="006E67EB" w:rsidRPr="00740FD0" w:rsidRDefault="006E67EB">
      <w:pPr>
        <w:pStyle w:val="EndnoteText"/>
        <w:rPr>
          <w:sz w:val="18"/>
          <w:szCs w:val="18"/>
        </w:rPr>
      </w:pPr>
      <w:r w:rsidRPr="00740FD0">
        <w:rPr>
          <w:rStyle w:val="EndnoteReference"/>
          <w:sz w:val="18"/>
          <w:szCs w:val="18"/>
        </w:rPr>
        <w:endnoteRef/>
      </w:r>
      <w:r w:rsidRPr="00740FD0">
        <w:rPr>
          <w:sz w:val="18"/>
          <w:szCs w:val="18"/>
        </w:rPr>
        <w:t xml:space="preserve"> See Megan Marrs, UGC 101: A Guide to User Generated Marketing (2022), online: </w:t>
      </w:r>
      <w:hyperlink r:id="rId317" w:history="1">
        <w:r w:rsidRPr="00740FD0">
          <w:rPr>
            <w:rStyle w:val="Hyperlink"/>
            <w:sz w:val="18"/>
            <w:szCs w:val="18"/>
          </w:rPr>
          <w:t>https://www.wordstream.com/blog/ws/2014/04/28/user-generated-content</w:t>
        </w:r>
      </w:hyperlink>
      <w:r w:rsidRPr="00740FD0">
        <w:rPr>
          <w:sz w:val="18"/>
          <w:szCs w:val="18"/>
        </w:rPr>
        <w:t>.</w:t>
      </w:r>
    </w:p>
  </w:endnote>
  <w:endnote w:id="376">
    <w:p w14:paraId="32A1B20C" w14:textId="08513860" w:rsidR="00862473" w:rsidRPr="00740FD0" w:rsidRDefault="00862473">
      <w:pPr>
        <w:pStyle w:val="EndnoteText"/>
        <w:rPr>
          <w:sz w:val="18"/>
          <w:szCs w:val="18"/>
        </w:rPr>
      </w:pPr>
      <w:r w:rsidRPr="00740FD0">
        <w:rPr>
          <w:rStyle w:val="EndnoteReference"/>
          <w:sz w:val="18"/>
          <w:szCs w:val="18"/>
        </w:rPr>
        <w:endnoteRef/>
      </w:r>
      <w:r w:rsidRPr="00740FD0">
        <w:rPr>
          <w:sz w:val="18"/>
          <w:szCs w:val="18"/>
        </w:rPr>
        <w:t xml:space="preserve"> Matthias Funk, “How many YouTube channels are there?” (2022), online: </w:t>
      </w:r>
      <w:hyperlink r:id="rId318" w:history="1">
        <w:r w:rsidRPr="00740FD0">
          <w:rPr>
            <w:rStyle w:val="Hyperlink"/>
            <w:sz w:val="18"/>
            <w:szCs w:val="18"/>
          </w:rPr>
          <w:t>https://www.tubics.com/blog/number-of-youtube-channels</w:t>
        </w:r>
      </w:hyperlink>
      <w:r w:rsidRPr="00740FD0">
        <w:rPr>
          <w:sz w:val="18"/>
          <w:szCs w:val="18"/>
        </w:rPr>
        <w:t>.</w:t>
      </w:r>
    </w:p>
  </w:endnote>
  <w:endnote w:id="377">
    <w:p w14:paraId="635E05F0" w14:textId="20CF74FB" w:rsidR="00D728C2" w:rsidRPr="00740FD0" w:rsidRDefault="00D728C2" w:rsidP="00D728C2">
      <w:pPr>
        <w:pStyle w:val="EndnoteText"/>
        <w:rPr>
          <w:sz w:val="18"/>
          <w:szCs w:val="18"/>
        </w:rPr>
      </w:pPr>
      <w:r w:rsidRPr="00740FD0">
        <w:rPr>
          <w:rStyle w:val="EndnoteReference"/>
          <w:sz w:val="18"/>
          <w:szCs w:val="18"/>
        </w:rPr>
        <w:endnoteRef/>
      </w:r>
      <w:r w:rsidRPr="00740FD0">
        <w:rPr>
          <w:sz w:val="18"/>
          <w:szCs w:val="18"/>
        </w:rPr>
        <w:t xml:space="preserve"> </w:t>
      </w:r>
      <w:r w:rsidRPr="00740FD0">
        <w:rPr>
          <w:sz w:val="18"/>
          <w:szCs w:val="18"/>
        </w:rPr>
        <w:t xml:space="preserve">TwitchTracker, Twitch Statistics and Charts (2022), online: </w:t>
      </w:r>
      <w:hyperlink r:id="rId319" w:history="1">
        <w:r w:rsidRPr="00740FD0">
          <w:rPr>
            <w:rStyle w:val="Hyperlink"/>
            <w:sz w:val="18"/>
            <w:szCs w:val="18"/>
          </w:rPr>
          <w:t>https://twitchtracker.com/statistics</w:t>
        </w:r>
      </w:hyperlink>
      <w:r w:rsidRPr="00740FD0">
        <w:rPr>
          <w:sz w:val="18"/>
          <w:szCs w:val="18"/>
        </w:rPr>
        <w:t xml:space="preserve">. See also Brandon Doyle, </w:t>
      </w:r>
      <w:r w:rsidR="00613F36" w:rsidRPr="00740FD0">
        <w:rPr>
          <w:sz w:val="18"/>
          <w:szCs w:val="18"/>
        </w:rPr>
        <w:t>“</w:t>
      </w:r>
      <w:r w:rsidRPr="00740FD0">
        <w:rPr>
          <w:sz w:val="18"/>
          <w:szCs w:val="18"/>
        </w:rPr>
        <w:t>TikTok Statistics - Updated July 2022</w:t>
      </w:r>
      <w:r w:rsidR="00613F36" w:rsidRPr="00740FD0">
        <w:rPr>
          <w:sz w:val="18"/>
          <w:szCs w:val="18"/>
        </w:rPr>
        <w:t>”</w:t>
      </w:r>
      <w:r w:rsidRPr="00740FD0">
        <w:rPr>
          <w:sz w:val="18"/>
          <w:szCs w:val="18"/>
        </w:rPr>
        <w:t xml:space="preserve"> (2022), online:</w:t>
      </w:r>
      <w:r w:rsidR="00613F36" w:rsidRPr="00740FD0">
        <w:rPr>
          <w:sz w:val="18"/>
          <w:szCs w:val="18"/>
        </w:rPr>
        <w:t xml:space="preserve"> </w:t>
      </w:r>
      <w:hyperlink r:id="rId320" w:history="1">
        <w:r w:rsidR="00613F36" w:rsidRPr="00740FD0">
          <w:rPr>
            <w:rStyle w:val="Hyperlink"/>
            <w:sz w:val="18"/>
            <w:szCs w:val="18"/>
          </w:rPr>
          <w:t>https://wallaroomedia.com/blog/social-media/tiktok-statistics/</w:t>
        </w:r>
      </w:hyperlink>
      <w:r w:rsidR="00613F36" w:rsidRPr="00740FD0">
        <w:rPr>
          <w:sz w:val="18"/>
          <w:szCs w:val="18"/>
        </w:rPr>
        <w:t>.</w:t>
      </w:r>
    </w:p>
  </w:endnote>
  <w:endnote w:id="378">
    <w:p w14:paraId="2ED63F38" w14:textId="21EAC8D3" w:rsidR="005E5166" w:rsidRPr="00740FD0" w:rsidRDefault="005E5166">
      <w:pPr>
        <w:pStyle w:val="EndnoteText"/>
        <w:rPr>
          <w:sz w:val="18"/>
          <w:szCs w:val="18"/>
        </w:rPr>
      </w:pPr>
      <w:r w:rsidRPr="00740FD0">
        <w:rPr>
          <w:rStyle w:val="EndnoteReference"/>
          <w:sz w:val="18"/>
          <w:szCs w:val="18"/>
        </w:rPr>
        <w:endnoteRef/>
      </w:r>
      <w:r w:rsidRPr="00740FD0">
        <w:rPr>
          <w:sz w:val="18"/>
          <w:szCs w:val="18"/>
        </w:rPr>
        <w:t xml:space="preserve"> YouTube, “</w:t>
      </w:r>
      <w:r w:rsidRPr="00740FD0">
        <w:rPr>
          <w:sz w:val="18"/>
          <w:szCs w:val="18"/>
        </w:rPr>
        <w:t xml:space="preserve">Youtube Terms of Service” (2022), online: </w:t>
      </w:r>
      <w:hyperlink r:id="rId321" w:history="1">
        <w:r w:rsidRPr="00740FD0">
          <w:rPr>
            <w:rStyle w:val="Hyperlink"/>
            <w:sz w:val="18"/>
            <w:szCs w:val="18"/>
          </w:rPr>
          <w:t>https://www.youtube.com/static?template=terms</w:t>
        </w:r>
      </w:hyperlink>
      <w:r w:rsidRPr="00740FD0">
        <w:rPr>
          <w:sz w:val="18"/>
          <w:szCs w:val="18"/>
        </w:rPr>
        <w:t xml:space="preserve">. </w:t>
      </w:r>
    </w:p>
  </w:endnote>
  <w:endnote w:id="379">
    <w:p w14:paraId="23F19F75" w14:textId="5DF23719" w:rsidR="00934816" w:rsidRPr="00740FD0" w:rsidRDefault="00934816">
      <w:pPr>
        <w:pStyle w:val="EndnoteText"/>
        <w:rPr>
          <w:sz w:val="18"/>
          <w:szCs w:val="18"/>
        </w:rPr>
      </w:pPr>
      <w:r w:rsidRPr="00740FD0">
        <w:rPr>
          <w:rStyle w:val="EndnoteReference"/>
          <w:sz w:val="18"/>
          <w:szCs w:val="18"/>
        </w:rPr>
        <w:endnoteRef/>
      </w:r>
      <w:r w:rsidRPr="00740FD0">
        <w:rPr>
          <w:sz w:val="18"/>
          <w:szCs w:val="18"/>
        </w:rPr>
        <w:t xml:space="preserve"> YouTube, “YouTube Policies” (2022), online: </w:t>
      </w:r>
      <w:hyperlink r:id="rId322" w:history="1">
        <w:r w:rsidRPr="00740FD0">
          <w:rPr>
            <w:rStyle w:val="Hyperlink"/>
            <w:sz w:val="18"/>
            <w:szCs w:val="18"/>
          </w:rPr>
          <w:t>https://support.google.com/youtube/topic/2803176?hl=en&amp;ref_topic=6151248</w:t>
        </w:r>
      </w:hyperlink>
      <w:r w:rsidRPr="00740FD0">
        <w:rPr>
          <w:sz w:val="18"/>
          <w:szCs w:val="18"/>
        </w:rPr>
        <w:t xml:space="preserve">. </w:t>
      </w:r>
    </w:p>
  </w:endnote>
  <w:endnote w:id="380">
    <w:p w14:paraId="2C7BF514" w14:textId="4E24A1A7" w:rsidR="001143C3" w:rsidRPr="00740FD0" w:rsidRDefault="001143C3">
      <w:pPr>
        <w:pStyle w:val="EndnoteText"/>
        <w:rPr>
          <w:sz w:val="18"/>
          <w:szCs w:val="18"/>
        </w:rPr>
      </w:pPr>
      <w:r w:rsidRPr="00740FD0">
        <w:rPr>
          <w:rStyle w:val="EndnoteReference"/>
          <w:sz w:val="18"/>
          <w:szCs w:val="18"/>
        </w:rPr>
        <w:endnoteRef/>
      </w:r>
      <w:r w:rsidRPr="00740FD0">
        <w:rPr>
          <w:sz w:val="18"/>
          <w:szCs w:val="18"/>
        </w:rPr>
        <w:t xml:space="preserve"> See for instance Ars </w:t>
      </w:r>
      <w:r w:rsidRPr="00740FD0">
        <w:rPr>
          <w:sz w:val="18"/>
          <w:szCs w:val="18"/>
        </w:rPr>
        <w:t xml:space="preserve">Technica, “Terraria developer cancels Google Stadia port after YouTube account ban” (February 8, 2021), online: </w:t>
      </w:r>
      <w:hyperlink r:id="rId323" w:history="1">
        <w:r w:rsidRPr="00740FD0">
          <w:rPr>
            <w:rStyle w:val="Hyperlink"/>
            <w:sz w:val="18"/>
            <w:szCs w:val="18"/>
          </w:rPr>
          <w:t>https://arstechnica.com/gadgets/2021/02/terraria-developer-cancels-google-stadia-port-after-youtube-account-ban/</w:t>
        </w:r>
      </w:hyperlink>
      <w:r w:rsidRPr="00740FD0">
        <w:rPr>
          <w:sz w:val="18"/>
          <w:szCs w:val="18"/>
        </w:rPr>
        <w:t xml:space="preserve">. See also Will Mitchell, “YouTube Instantly Deleted Our Entire Channel… What We Learned &amp; How You Can Help” (2020), online: </w:t>
      </w:r>
      <w:hyperlink r:id="rId324" w:history="1">
        <w:r w:rsidRPr="00740FD0">
          <w:rPr>
            <w:rStyle w:val="Hyperlink"/>
            <w:sz w:val="18"/>
            <w:szCs w:val="18"/>
          </w:rPr>
          <w:t>https://startupbros.com/youtube-channel-terminated</w:t>
        </w:r>
      </w:hyperlink>
      <w:r w:rsidRPr="00740FD0">
        <w:rPr>
          <w:sz w:val="18"/>
          <w:szCs w:val="18"/>
        </w:rPr>
        <w:t xml:space="preserve">.  </w:t>
      </w:r>
    </w:p>
  </w:endnote>
  <w:endnote w:id="381">
    <w:p w14:paraId="42434F6A" w14:textId="7190183C" w:rsidR="008D3941" w:rsidRPr="00740FD0" w:rsidRDefault="008D3941" w:rsidP="008D3941">
      <w:pPr>
        <w:pStyle w:val="EndnoteText"/>
        <w:rPr>
          <w:sz w:val="18"/>
          <w:szCs w:val="18"/>
        </w:rPr>
      </w:pPr>
      <w:r w:rsidRPr="00740FD0">
        <w:rPr>
          <w:rStyle w:val="EndnoteReference"/>
          <w:sz w:val="18"/>
          <w:szCs w:val="18"/>
        </w:rPr>
        <w:endnoteRef/>
      </w:r>
      <w:r w:rsidRPr="00740FD0">
        <w:rPr>
          <w:sz w:val="18"/>
          <w:szCs w:val="18"/>
        </w:rPr>
        <w:t xml:space="preserve"> </w:t>
      </w:r>
      <w:r w:rsidR="008A035A" w:rsidRPr="00740FD0">
        <w:rPr>
          <w:sz w:val="18"/>
          <w:szCs w:val="18"/>
        </w:rPr>
        <w:t xml:space="preserve">A summary of these procedures and powers is available at Ministry of Public and Business Service Delivery, Consumer Protection Ontario, “How we address consumer complaints” (December 2, 2022), online: </w:t>
      </w:r>
      <w:hyperlink r:id="rId325" w:history="1">
        <w:r w:rsidR="008A035A" w:rsidRPr="00740FD0">
          <w:rPr>
            <w:rStyle w:val="Hyperlink"/>
            <w:sz w:val="18"/>
            <w:szCs w:val="18"/>
          </w:rPr>
          <w:t>https://www.ontario.ca/page/how-we-address-consumer-complaints</w:t>
        </w:r>
      </w:hyperlink>
      <w:r w:rsidR="008A035A" w:rsidRPr="00740FD0">
        <w:rPr>
          <w:sz w:val="18"/>
          <w:szCs w:val="18"/>
        </w:rPr>
        <w:t xml:space="preserve"> and Ministry of Public and Business Service Delivery, Consumer Protection Ontario, “Consumer complaints and enforcement” (March 21, 2023), online: </w:t>
      </w:r>
      <w:hyperlink r:id="rId326" w:history="1">
        <w:r w:rsidR="008A035A" w:rsidRPr="00740FD0">
          <w:rPr>
            <w:rStyle w:val="Hyperlink"/>
            <w:sz w:val="18"/>
            <w:szCs w:val="18"/>
          </w:rPr>
          <w:t>https://www.ontario.ca/page/consumer-complaints-and-enforcement</w:t>
        </w:r>
      </w:hyperlink>
      <w:r w:rsidR="008A035A" w:rsidRPr="00740FD0">
        <w:rPr>
          <w:sz w:val="18"/>
          <w:szCs w:val="18"/>
        </w:rPr>
        <w:t>.</w:t>
      </w:r>
    </w:p>
  </w:endnote>
  <w:endnote w:id="382">
    <w:p w14:paraId="2B4A792A" w14:textId="69F6B84C" w:rsidR="008D3941" w:rsidRPr="00740FD0" w:rsidRDefault="008D3941" w:rsidP="008D3941">
      <w:pPr>
        <w:pStyle w:val="EndnoteText"/>
        <w:rPr>
          <w:sz w:val="18"/>
          <w:szCs w:val="18"/>
        </w:rPr>
      </w:pPr>
      <w:r w:rsidRPr="00740FD0">
        <w:rPr>
          <w:rStyle w:val="EndnoteReference"/>
          <w:sz w:val="18"/>
          <w:szCs w:val="18"/>
        </w:rPr>
        <w:endnoteRef/>
      </w:r>
      <w:r w:rsidRPr="00740FD0">
        <w:rPr>
          <w:sz w:val="18"/>
          <w:szCs w:val="18"/>
        </w:rPr>
        <w:t xml:space="preserve"> </w:t>
      </w:r>
      <w:r w:rsidR="008A042A" w:rsidRPr="00740FD0">
        <w:rPr>
          <w:sz w:val="18"/>
          <w:szCs w:val="18"/>
        </w:rPr>
        <w:t xml:space="preserve">Organization for Economic Cooperation and Development, </w:t>
      </w:r>
      <w:r w:rsidR="008A042A" w:rsidRPr="00740FD0">
        <w:rPr>
          <w:i/>
          <w:iCs/>
          <w:sz w:val="18"/>
          <w:szCs w:val="18"/>
        </w:rPr>
        <w:t>The Role of Online Marketplaces in Protecting and Empowering Consumers</w:t>
      </w:r>
      <w:r w:rsidR="008A042A" w:rsidRPr="00740FD0">
        <w:rPr>
          <w:sz w:val="18"/>
          <w:szCs w:val="18"/>
        </w:rPr>
        <w:t xml:space="preserve"> (July 2022), at 17-23, online: </w:t>
      </w:r>
      <w:hyperlink r:id="rId327" w:history="1">
        <w:r w:rsidR="008A042A" w:rsidRPr="00740FD0">
          <w:rPr>
            <w:rStyle w:val="Hyperlink"/>
            <w:sz w:val="18"/>
            <w:szCs w:val="18"/>
          </w:rPr>
          <w:t>https://www.oecd.org/publications/the-role-of-online-marketplaces-in-protecting-and-empowering-consumers-9d8cc586-en.htm</w:t>
        </w:r>
      </w:hyperlink>
      <w:r w:rsidRPr="00740FD0">
        <w:rPr>
          <w:sz w:val="18"/>
          <w:szCs w:val="18"/>
        </w:rPr>
        <w:t>.</w:t>
      </w:r>
    </w:p>
  </w:endnote>
  <w:endnote w:id="383">
    <w:p w14:paraId="63171586" w14:textId="3E731F6F" w:rsidR="008D3941" w:rsidRPr="00740FD0" w:rsidRDefault="008D3941" w:rsidP="008D3941">
      <w:pPr>
        <w:pStyle w:val="EndnoteText"/>
        <w:rPr>
          <w:sz w:val="18"/>
          <w:szCs w:val="18"/>
        </w:rPr>
      </w:pPr>
      <w:r w:rsidRPr="00740FD0">
        <w:rPr>
          <w:rStyle w:val="EndnoteReference"/>
          <w:sz w:val="18"/>
          <w:szCs w:val="18"/>
        </w:rPr>
        <w:endnoteRef/>
      </w:r>
      <w:r w:rsidRPr="00740FD0">
        <w:rPr>
          <w:sz w:val="18"/>
          <w:szCs w:val="18"/>
        </w:rPr>
        <w:t xml:space="preserve"> </w:t>
      </w:r>
      <w:r w:rsidR="008A042A" w:rsidRPr="00740FD0">
        <w:rPr>
          <w:sz w:val="18"/>
          <w:szCs w:val="18"/>
        </w:rPr>
        <w:t xml:space="preserve">Organization for Economic Cooperation and Development, </w:t>
      </w:r>
      <w:r w:rsidR="008A042A" w:rsidRPr="00740FD0">
        <w:rPr>
          <w:i/>
          <w:iCs/>
          <w:sz w:val="18"/>
          <w:szCs w:val="18"/>
        </w:rPr>
        <w:t>The Role of Online Marketplaces in Protecting and Empowering Consumers</w:t>
      </w:r>
      <w:r w:rsidR="008A042A" w:rsidRPr="00740FD0">
        <w:rPr>
          <w:sz w:val="18"/>
          <w:szCs w:val="18"/>
        </w:rPr>
        <w:t xml:space="preserve"> (July 2022), at 17-23, online: </w:t>
      </w:r>
      <w:hyperlink r:id="rId328" w:history="1">
        <w:r w:rsidR="008A042A" w:rsidRPr="00740FD0">
          <w:rPr>
            <w:rStyle w:val="Hyperlink"/>
            <w:sz w:val="18"/>
            <w:szCs w:val="18"/>
          </w:rPr>
          <w:t>https://www.oecd.org/publications/the-role-of-online-marketplaces-in-protecting-and-empowering-consumers-9d8cc586-en.htm</w:t>
        </w:r>
      </w:hyperlink>
      <w:r w:rsidRPr="00740FD0">
        <w:rPr>
          <w:sz w:val="18"/>
          <w:szCs w:val="18"/>
        </w:rPr>
        <w:t>.</w:t>
      </w:r>
    </w:p>
  </w:endnote>
  <w:endnote w:id="384">
    <w:p w14:paraId="07A1AAA6" w14:textId="3CF59F5F" w:rsidR="008D3941" w:rsidRPr="00740FD0" w:rsidRDefault="008D3941" w:rsidP="008D3941">
      <w:pPr>
        <w:pStyle w:val="EndnoteText"/>
        <w:rPr>
          <w:sz w:val="18"/>
          <w:szCs w:val="18"/>
        </w:rPr>
      </w:pPr>
      <w:r w:rsidRPr="00740FD0">
        <w:rPr>
          <w:rStyle w:val="EndnoteReference"/>
          <w:sz w:val="18"/>
          <w:szCs w:val="18"/>
        </w:rPr>
        <w:endnoteRef/>
      </w:r>
      <w:r w:rsidRPr="00740FD0">
        <w:rPr>
          <w:sz w:val="18"/>
          <w:szCs w:val="18"/>
        </w:rPr>
        <w:t xml:space="preserve"> </w:t>
      </w:r>
      <w:r w:rsidR="008A042A" w:rsidRPr="00740FD0">
        <w:rPr>
          <w:sz w:val="18"/>
          <w:szCs w:val="18"/>
        </w:rPr>
        <w:t xml:space="preserve">Organization for Economic Cooperation and Development, </w:t>
      </w:r>
      <w:r w:rsidR="008A042A" w:rsidRPr="00740FD0">
        <w:rPr>
          <w:i/>
          <w:iCs/>
          <w:sz w:val="18"/>
          <w:szCs w:val="18"/>
        </w:rPr>
        <w:t>The Role of Online Marketplaces in Protecting and Empowering Consumers</w:t>
      </w:r>
      <w:r w:rsidR="008A042A" w:rsidRPr="00740FD0">
        <w:rPr>
          <w:sz w:val="18"/>
          <w:szCs w:val="18"/>
        </w:rPr>
        <w:t xml:space="preserve"> (July 2022), at 17-23, online: </w:t>
      </w:r>
      <w:hyperlink r:id="rId329" w:history="1">
        <w:r w:rsidR="008A042A" w:rsidRPr="00740FD0">
          <w:rPr>
            <w:rStyle w:val="Hyperlink"/>
            <w:sz w:val="18"/>
            <w:szCs w:val="18"/>
          </w:rPr>
          <w:t>https://www.oecd.org/publications/the-role-of-online-marketplaces-in-protecting-and-empowering-consumers-9d8cc586-en.htm</w:t>
        </w:r>
      </w:hyperlink>
      <w:r w:rsidRPr="00740FD0">
        <w:rPr>
          <w:sz w:val="18"/>
          <w:szCs w:val="18"/>
        </w:rPr>
        <w:t>.</w:t>
      </w:r>
    </w:p>
  </w:endnote>
  <w:endnote w:id="385">
    <w:p w14:paraId="601C442C" w14:textId="4807514D" w:rsidR="008D3941" w:rsidRPr="00740FD0" w:rsidRDefault="008D3941" w:rsidP="008D3941">
      <w:pPr>
        <w:pStyle w:val="EndnoteText"/>
        <w:rPr>
          <w:sz w:val="18"/>
          <w:szCs w:val="18"/>
          <w:highlight w:val="yellow"/>
        </w:rPr>
      </w:pPr>
      <w:r w:rsidRPr="00740FD0">
        <w:rPr>
          <w:rStyle w:val="EndnoteReference"/>
          <w:sz w:val="18"/>
          <w:szCs w:val="18"/>
        </w:rPr>
        <w:endnoteRef/>
      </w:r>
      <w:r w:rsidRPr="00740FD0">
        <w:rPr>
          <w:sz w:val="18"/>
          <w:szCs w:val="18"/>
        </w:rPr>
        <w:t xml:space="preserve"> </w:t>
      </w:r>
      <w:r w:rsidR="008544AE" w:rsidRPr="00740FD0">
        <w:rPr>
          <w:sz w:val="18"/>
          <w:szCs w:val="18"/>
        </w:rPr>
        <w:t xml:space="preserve">See Bloomberg, “Facebook Is Building a Customer-Service Group to Field Content Complaints” (August 25, 2022) , online: </w:t>
      </w:r>
      <w:hyperlink r:id="rId330" w:anchor="xj4y7vzkg" w:history="1">
        <w:r w:rsidR="008544AE" w:rsidRPr="00740FD0">
          <w:rPr>
            <w:rStyle w:val="Hyperlink"/>
            <w:sz w:val="18"/>
            <w:szCs w:val="18"/>
          </w:rPr>
          <w:t>https://www.bloomberg.com/news/articles/2022-08-25/facebook-meta-is-building-a-customer-service-group-for-content-complaints?sref=dZ65CIng#xj4y7vzkg</w:t>
        </w:r>
      </w:hyperlink>
      <w:r w:rsidR="008544AE" w:rsidRPr="00740FD0">
        <w:rPr>
          <w:sz w:val="18"/>
          <w:szCs w:val="18"/>
        </w:rPr>
        <w:t xml:space="preserve">. </w:t>
      </w:r>
    </w:p>
  </w:endnote>
  <w:endnote w:id="386">
    <w:p w14:paraId="377029B8" w14:textId="41B70F7F" w:rsidR="008D3941" w:rsidRPr="00740FD0" w:rsidRDefault="008D3941" w:rsidP="00E832D3">
      <w:pPr>
        <w:pStyle w:val="EndnoteText"/>
        <w:rPr>
          <w:sz w:val="18"/>
          <w:szCs w:val="18"/>
        </w:rPr>
      </w:pPr>
      <w:r w:rsidRPr="00740FD0">
        <w:rPr>
          <w:rStyle w:val="EndnoteReference"/>
          <w:sz w:val="18"/>
          <w:szCs w:val="18"/>
        </w:rPr>
        <w:endnoteRef/>
      </w:r>
      <w:r w:rsidRPr="00740FD0">
        <w:rPr>
          <w:sz w:val="18"/>
          <w:szCs w:val="18"/>
        </w:rPr>
        <w:t xml:space="preserve"> </w:t>
      </w:r>
      <w:r w:rsidR="00250832" w:rsidRPr="00740FD0">
        <w:rPr>
          <w:sz w:val="18"/>
          <w:szCs w:val="18"/>
        </w:rPr>
        <w:t xml:space="preserve">See for example, </w:t>
      </w:r>
      <w:r w:rsidR="00E832D3" w:rsidRPr="00740FD0">
        <w:rPr>
          <w:sz w:val="18"/>
          <w:szCs w:val="18"/>
        </w:rPr>
        <w:t>“The Promise and Pitfalls of the Facebook Oversight Board A Human Rights Perspective” (</w:t>
      </w:r>
      <w:r w:rsidR="00E832D3" w:rsidRPr="00740FD0">
        <w:rPr>
          <w:sz w:val="18"/>
          <w:szCs w:val="18"/>
        </w:rPr>
        <w:t xml:space="preserve">Carr Center for Human Rights Policy, Harvard Kennedy School, May 6, 2021), online: </w:t>
      </w:r>
      <w:hyperlink r:id="rId331" w:history="1">
        <w:r w:rsidR="00E832D3" w:rsidRPr="00740FD0">
          <w:rPr>
            <w:rStyle w:val="Hyperlink"/>
            <w:sz w:val="18"/>
            <w:szCs w:val="18"/>
          </w:rPr>
          <w:t>https://carrcenter.hks.harvard.edu/files/cchr/files/facebook_oversight_board.pdf</w:t>
        </w:r>
      </w:hyperlink>
      <w:r w:rsidR="00E832D3" w:rsidRPr="00740FD0">
        <w:rPr>
          <w:sz w:val="18"/>
          <w:szCs w:val="18"/>
        </w:rPr>
        <w:t xml:space="preserve">; </w:t>
      </w:r>
      <w:r w:rsidR="00250832" w:rsidRPr="00740FD0">
        <w:rPr>
          <w:sz w:val="18"/>
          <w:szCs w:val="18"/>
        </w:rPr>
        <w:t xml:space="preserve">Jeremy Lewin, “Facebook's long-awaited content 'supreme court' has arrived. It's a clever sham” (The Guardian, March 17, 2021), online: </w:t>
      </w:r>
      <w:hyperlink r:id="rId332" w:history="1">
        <w:r w:rsidR="00250832" w:rsidRPr="00740FD0">
          <w:rPr>
            <w:rStyle w:val="Hyperlink"/>
            <w:sz w:val="18"/>
            <w:szCs w:val="18"/>
          </w:rPr>
          <w:t>https://www.theguardian.com/commentisfree/2021/mar/17/facebook-content-supreme-court-network</w:t>
        </w:r>
      </w:hyperlink>
      <w:r w:rsidR="00250832" w:rsidRPr="00740FD0">
        <w:rPr>
          <w:sz w:val="18"/>
          <w:szCs w:val="18"/>
        </w:rPr>
        <w:t xml:space="preserve">; </w:t>
      </w:r>
      <w:r w:rsidR="00E832D3" w:rsidRPr="00740FD0">
        <w:rPr>
          <w:sz w:val="18"/>
          <w:szCs w:val="18"/>
        </w:rPr>
        <w:t xml:space="preserve">Emily Bell, “Facebook has beefed up its ‘oversight board’, but any new powers are illusory” (The Guardian, April 14, 2021), online: </w:t>
      </w:r>
      <w:hyperlink r:id="rId333" w:history="1">
        <w:r w:rsidR="00E832D3" w:rsidRPr="00740FD0">
          <w:rPr>
            <w:rStyle w:val="Hyperlink"/>
            <w:sz w:val="18"/>
            <w:szCs w:val="18"/>
          </w:rPr>
          <w:t>https://www.theguardian.com/commentisfree/2021/apr/14/facebook-has-beefed-up-its-oversight-board-but-any-new-powers-are-illusory</w:t>
        </w:r>
      </w:hyperlink>
      <w:r w:rsidR="00E832D3" w:rsidRPr="00740FD0">
        <w:rPr>
          <w:sz w:val="18"/>
          <w:szCs w:val="18"/>
        </w:rPr>
        <w:t xml:space="preserve">. </w:t>
      </w:r>
    </w:p>
  </w:endnote>
  <w:endnote w:id="387">
    <w:p w14:paraId="64FD5A99" w14:textId="5F535FDF" w:rsidR="008D3941" w:rsidRPr="00740FD0" w:rsidRDefault="008D3941" w:rsidP="008D3941">
      <w:pPr>
        <w:pStyle w:val="EndnoteText"/>
        <w:rPr>
          <w:sz w:val="18"/>
          <w:szCs w:val="18"/>
          <w:highlight w:val="yellow"/>
        </w:rPr>
      </w:pPr>
      <w:r w:rsidRPr="00740FD0">
        <w:rPr>
          <w:rStyle w:val="EndnoteReference"/>
          <w:sz w:val="18"/>
          <w:szCs w:val="18"/>
        </w:rPr>
        <w:endnoteRef/>
      </w:r>
      <w:r w:rsidRPr="00740FD0">
        <w:rPr>
          <w:sz w:val="18"/>
          <w:szCs w:val="18"/>
        </w:rPr>
        <w:t xml:space="preserve"> </w:t>
      </w:r>
      <w:r w:rsidR="00E832D3" w:rsidRPr="00740FD0">
        <w:rPr>
          <w:sz w:val="18"/>
          <w:szCs w:val="18"/>
        </w:rPr>
        <w:t>See for example, “The Promise and Pitfalls of the Facebook Oversight Board A Human Rights Perspective” (</w:t>
      </w:r>
      <w:r w:rsidR="00E832D3" w:rsidRPr="00740FD0">
        <w:rPr>
          <w:sz w:val="18"/>
          <w:szCs w:val="18"/>
        </w:rPr>
        <w:t xml:space="preserve">Carr Center for Human Rights Policy, Harvard Kennedy School, May 6, 2021), online: </w:t>
      </w:r>
      <w:hyperlink r:id="rId334" w:history="1">
        <w:r w:rsidR="00E832D3" w:rsidRPr="00740FD0">
          <w:rPr>
            <w:rStyle w:val="Hyperlink"/>
            <w:sz w:val="18"/>
            <w:szCs w:val="18"/>
          </w:rPr>
          <w:t>https://carrcenter.hks.harvard.edu/files/cchr/files/facebook_oversight_board.pdf</w:t>
        </w:r>
      </w:hyperlink>
      <w:r w:rsidR="00E832D3" w:rsidRPr="00740FD0">
        <w:rPr>
          <w:sz w:val="18"/>
          <w:szCs w:val="18"/>
        </w:rPr>
        <w:t xml:space="preserve">; Jeremy Lewin, “Facebook's long-awaited content 'supreme court' has arrived. It's a clever sham” (The Guardian, March 17, 2021), online: </w:t>
      </w:r>
      <w:hyperlink r:id="rId335" w:history="1">
        <w:r w:rsidR="00E832D3" w:rsidRPr="00740FD0">
          <w:rPr>
            <w:rStyle w:val="Hyperlink"/>
            <w:sz w:val="18"/>
            <w:szCs w:val="18"/>
          </w:rPr>
          <w:t>https://www.theguardian.com/commentisfree/2021/mar/17/facebook-content-supreme-court-network</w:t>
        </w:r>
      </w:hyperlink>
      <w:r w:rsidR="00E832D3" w:rsidRPr="00740FD0">
        <w:rPr>
          <w:sz w:val="18"/>
          <w:szCs w:val="18"/>
        </w:rPr>
        <w:t xml:space="preserve">; Emily Bell, “Facebook has beefed up its ‘oversight board’, but any new powers are illusory” (The Guardian, April 14, 2021), online: </w:t>
      </w:r>
      <w:hyperlink r:id="rId336" w:history="1">
        <w:r w:rsidR="00E832D3" w:rsidRPr="00740FD0">
          <w:rPr>
            <w:rStyle w:val="Hyperlink"/>
            <w:sz w:val="18"/>
            <w:szCs w:val="18"/>
          </w:rPr>
          <w:t>https://www.theguardian.com/commentisfree/2021/apr/14/facebook-has-beefed-up-its-oversight-board-but-any-new-powers-are-illusory</w:t>
        </w:r>
      </w:hyperlink>
      <w:r w:rsidR="00E832D3" w:rsidRPr="00740FD0">
        <w:rPr>
          <w:sz w:val="18"/>
          <w:szCs w:val="18"/>
        </w:rPr>
        <w:t>.</w:t>
      </w:r>
    </w:p>
  </w:endnote>
  <w:endnote w:id="388">
    <w:p w14:paraId="668988DB" w14:textId="22F59CC1" w:rsidR="008D3941" w:rsidRPr="00740FD0" w:rsidRDefault="008D3941" w:rsidP="008D3941">
      <w:pPr>
        <w:pStyle w:val="EndnoteText"/>
        <w:rPr>
          <w:sz w:val="18"/>
          <w:szCs w:val="18"/>
        </w:rPr>
      </w:pPr>
      <w:r w:rsidRPr="00740FD0">
        <w:rPr>
          <w:rStyle w:val="EndnoteReference"/>
          <w:sz w:val="18"/>
          <w:szCs w:val="18"/>
        </w:rPr>
        <w:endnoteRef/>
      </w:r>
      <w:r w:rsidRPr="00740FD0">
        <w:rPr>
          <w:sz w:val="18"/>
          <w:szCs w:val="18"/>
        </w:rPr>
        <w:t xml:space="preserve"> </w:t>
      </w:r>
      <w:r w:rsidR="006727D3" w:rsidRPr="00740FD0">
        <w:rPr>
          <w:sz w:val="18"/>
          <w:szCs w:val="18"/>
        </w:rPr>
        <w:t xml:space="preserve">Wikipedia helpfully summarizes the “Star Chamber” as “originally established to ensure the fair enforcement of laws against socially and politically prominent people” but quickly “became synonymous with social and political oppression through the arbitrary use and abuse of the power it wielded” and today is a metaphorical reference to “legal or administrative bodies with strict, arbitrary rulings, no "due process" rights to those accused. See Wikipedia, “Star Chamber,” online: </w:t>
      </w:r>
      <w:hyperlink r:id="rId337" w:history="1">
        <w:r w:rsidR="006727D3" w:rsidRPr="00740FD0">
          <w:rPr>
            <w:rStyle w:val="Hyperlink"/>
            <w:sz w:val="18"/>
            <w:szCs w:val="18"/>
          </w:rPr>
          <w:t>https://en.wikipedia.org/wiki/Star_Chamber</w:t>
        </w:r>
      </w:hyperlink>
      <w:r w:rsidR="006727D3" w:rsidRPr="00740FD0">
        <w:rPr>
          <w:sz w:val="18"/>
          <w:szCs w:val="18"/>
        </w:rPr>
        <w:t xml:space="preserve">. </w:t>
      </w:r>
    </w:p>
  </w:endnote>
  <w:endnote w:id="389">
    <w:p w14:paraId="45541B44" w14:textId="15EDC6D1" w:rsidR="008D3941" w:rsidRPr="00740FD0" w:rsidRDefault="008D3941" w:rsidP="008D3941">
      <w:pPr>
        <w:pStyle w:val="EndnoteText"/>
        <w:rPr>
          <w:sz w:val="18"/>
          <w:szCs w:val="18"/>
        </w:rPr>
      </w:pPr>
      <w:r w:rsidRPr="00740FD0">
        <w:rPr>
          <w:rStyle w:val="EndnoteReference"/>
          <w:sz w:val="18"/>
          <w:szCs w:val="18"/>
        </w:rPr>
        <w:endnoteRef/>
      </w:r>
      <w:r w:rsidRPr="00740FD0">
        <w:rPr>
          <w:sz w:val="18"/>
          <w:szCs w:val="18"/>
        </w:rPr>
        <w:t xml:space="preserve"> </w:t>
      </w:r>
      <w:r w:rsidR="008A042A" w:rsidRPr="00740FD0">
        <w:rPr>
          <w:sz w:val="18"/>
          <w:szCs w:val="18"/>
        </w:rPr>
        <w:t xml:space="preserve">Organization for Economic Cooperation and Development, </w:t>
      </w:r>
      <w:r w:rsidR="008A042A" w:rsidRPr="00740FD0">
        <w:rPr>
          <w:i/>
          <w:iCs/>
          <w:sz w:val="18"/>
          <w:szCs w:val="18"/>
        </w:rPr>
        <w:t>The Role of Online Marketplaces in Protecting and Empowering Consumers</w:t>
      </w:r>
      <w:r w:rsidR="008A042A" w:rsidRPr="00740FD0">
        <w:rPr>
          <w:sz w:val="18"/>
          <w:szCs w:val="18"/>
        </w:rPr>
        <w:t xml:space="preserve"> (July 2022), at 38, online: </w:t>
      </w:r>
      <w:hyperlink r:id="rId338" w:history="1">
        <w:r w:rsidR="008A042A" w:rsidRPr="00740FD0">
          <w:rPr>
            <w:rStyle w:val="Hyperlink"/>
            <w:sz w:val="18"/>
            <w:szCs w:val="18"/>
          </w:rPr>
          <w:t>https://www.oecd.org/publications/the-role-of-online-marketplaces-in-protecting-and-empowering-consumers-9d8cc586-en.htm</w:t>
        </w:r>
      </w:hyperlink>
      <w:r w:rsidRPr="00740FD0">
        <w:rPr>
          <w:sz w:val="18"/>
          <w:szCs w:val="18"/>
        </w:rPr>
        <w:t>.</w:t>
      </w:r>
    </w:p>
  </w:endnote>
  <w:endnote w:id="390">
    <w:p w14:paraId="48D3DD0A" w14:textId="72FF6E2A" w:rsidR="001E4AD7" w:rsidRPr="00740FD0" w:rsidRDefault="001E4AD7">
      <w:pPr>
        <w:pStyle w:val="EndnoteText"/>
        <w:rPr>
          <w:sz w:val="18"/>
          <w:szCs w:val="18"/>
        </w:rPr>
      </w:pPr>
      <w:r w:rsidRPr="00740FD0">
        <w:rPr>
          <w:rStyle w:val="EndnoteReference"/>
          <w:sz w:val="18"/>
          <w:szCs w:val="18"/>
        </w:rPr>
        <w:endnoteRef/>
      </w:r>
      <w:r w:rsidRPr="00740FD0">
        <w:rPr>
          <w:sz w:val="18"/>
          <w:szCs w:val="18"/>
        </w:rPr>
        <w:t xml:space="preserve"> </w:t>
      </w:r>
      <w:r w:rsidR="00223D8D" w:rsidRPr="00740FD0">
        <w:rPr>
          <w:sz w:val="18"/>
          <w:szCs w:val="18"/>
        </w:rPr>
        <w:t xml:space="preserve">John Enman-Beech, </w:t>
      </w:r>
      <w:r w:rsidR="00223D8D" w:rsidRPr="00740FD0">
        <w:rPr>
          <w:i/>
          <w:iCs/>
          <w:sz w:val="18"/>
          <w:szCs w:val="18"/>
        </w:rPr>
        <w:t>Contract Life: A Rhetoric on Law, Tech and Power in Everyday Work, Consumer and User Agreements</w:t>
      </w:r>
      <w:r w:rsidR="00223D8D" w:rsidRPr="00740FD0">
        <w:rPr>
          <w:sz w:val="18"/>
          <w:szCs w:val="18"/>
        </w:rPr>
        <w:t xml:space="preserve"> (Doctoral dissertation, University of Toronto, 2023) at 249.</w:t>
      </w:r>
    </w:p>
  </w:endnote>
  <w:endnote w:id="391">
    <w:p w14:paraId="7AE3DACC" w14:textId="090821C3" w:rsidR="00223D8D" w:rsidRPr="00740FD0" w:rsidRDefault="00223D8D">
      <w:pPr>
        <w:pStyle w:val="EndnoteText"/>
        <w:rPr>
          <w:sz w:val="18"/>
          <w:szCs w:val="18"/>
        </w:rPr>
      </w:pPr>
      <w:r w:rsidRPr="00740FD0">
        <w:rPr>
          <w:rStyle w:val="EndnoteReference"/>
          <w:sz w:val="18"/>
          <w:szCs w:val="18"/>
        </w:rPr>
        <w:endnoteRef/>
      </w:r>
      <w:r w:rsidRPr="00740FD0">
        <w:rPr>
          <w:sz w:val="18"/>
          <w:szCs w:val="18"/>
        </w:rPr>
        <w:t xml:space="preserve"> John Enman-Beech, </w:t>
      </w:r>
      <w:r w:rsidRPr="00740FD0">
        <w:rPr>
          <w:i/>
          <w:iCs/>
          <w:sz w:val="18"/>
          <w:szCs w:val="18"/>
        </w:rPr>
        <w:t>Contract Life: A Rhetoric on Law, Tech and Power in Everyday Work, Consumer and User Agreements</w:t>
      </w:r>
      <w:r w:rsidRPr="00740FD0">
        <w:rPr>
          <w:sz w:val="18"/>
          <w:szCs w:val="18"/>
        </w:rPr>
        <w:t xml:space="preserve"> (Doctoral dissertation, University of Toronto, 2023) at 249-250.</w:t>
      </w:r>
    </w:p>
  </w:endnote>
  <w:endnote w:id="392">
    <w:p w14:paraId="49E70375" w14:textId="600E7A7A" w:rsidR="008D3941" w:rsidRPr="00740FD0" w:rsidRDefault="008D3941" w:rsidP="008D3941">
      <w:pPr>
        <w:pStyle w:val="EndnoteText"/>
        <w:rPr>
          <w:sz w:val="18"/>
          <w:szCs w:val="18"/>
          <w:highlight w:val="yellow"/>
        </w:rPr>
      </w:pPr>
      <w:r w:rsidRPr="00740FD0">
        <w:rPr>
          <w:rStyle w:val="EndnoteReference"/>
          <w:sz w:val="18"/>
          <w:szCs w:val="18"/>
        </w:rPr>
        <w:endnoteRef/>
      </w:r>
      <w:r w:rsidRPr="00740FD0">
        <w:rPr>
          <w:sz w:val="18"/>
          <w:szCs w:val="18"/>
        </w:rPr>
        <w:t xml:space="preserve"> </w:t>
      </w:r>
      <w:r w:rsidR="006727D3" w:rsidRPr="00740FD0">
        <w:rPr>
          <w:sz w:val="18"/>
          <w:szCs w:val="18"/>
        </w:rPr>
        <w:t xml:space="preserve">See </w:t>
      </w:r>
      <w:r w:rsidR="006727D3" w:rsidRPr="00740FD0">
        <w:rPr>
          <w:i/>
          <w:iCs/>
          <w:sz w:val="18"/>
          <w:szCs w:val="18"/>
        </w:rPr>
        <w:t>Legal Aid Services Act</w:t>
      </w:r>
      <w:r w:rsidR="006727D3" w:rsidRPr="00740FD0">
        <w:rPr>
          <w:sz w:val="18"/>
          <w:szCs w:val="18"/>
        </w:rPr>
        <w:t xml:space="preserve"> (2020, S.O. 2020, c. 11, Sched. 15) at s. 4, “Areas of law in which legal aid services provided,” online: </w:t>
      </w:r>
      <w:hyperlink r:id="rId339" w:anchor="BK5" w:history="1">
        <w:r w:rsidR="006727D3" w:rsidRPr="00740FD0">
          <w:rPr>
            <w:rStyle w:val="Hyperlink"/>
            <w:sz w:val="18"/>
            <w:szCs w:val="18"/>
          </w:rPr>
          <w:t>https://www.ontario.ca/laws/statute/20l11#BK5</w:t>
        </w:r>
      </w:hyperlink>
      <w:r w:rsidR="006727D3" w:rsidRPr="00740FD0">
        <w:rPr>
          <w:sz w:val="18"/>
          <w:szCs w:val="18"/>
        </w:rPr>
        <w:t xml:space="preserve">. </w:t>
      </w:r>
    </w:p>
  </w:endnote>
  <w:endnote w:id="393">
    <w:p w14:paraId="3E7C7D51" w14:textId="5D2A5361" w:rsidR="008D3941" w:rsidRPr="00740FD0" w:rsidRDefault="008D3941" w:rsidP="008D3941">
      <w:pPr>
        <w:pStyle w:val="EndnoteText"/>
        <w:rPr>
          <w:sz w:val="18"/>
          <w:szCs w:val="18"/>
        </w:rPr>
      </w:pPr>
      <w:r w:rsidRPr="00740FD0">
        <w:rPr>
          <w:rStyle w:val="EndnoteReference"/>
          <w:sz w:val="18"/>
          <w:szCs w:val="18"/>
        </w:rPr>
        <w:endnoteRef/>
      </w:r>
      <w:r w:rsidRPr="00740FD0">
        <w:rPr>
          <w:sz w:val="18"/>
          <w:szCs w:val="18"/>
        </w:rPr>
        <w:t xml:space="preserve"> </w:t>
      </w:r>
      <w:r w:rsidR="006727D3" w:rsidRPr="00740FD0">
        <w:rPr>
          <w:sz w:val="18"/>
          <w:szCs w:val="18"/>
        </w:rPr>
        <w:t xml:space="preserve">See </w:t>
      </w:r>
      <w:r w:rsidR="006727D3" w:rsidRPr="00740FD0">
        <w:rPr>
          <w:i/>
          <w:iCs/>
          <w:sz w:val="18"/>
          <w:szCs w:val="18"/>
        </w:rPr>
        <w:t>Legal Aid Services Act</w:t>
      </w:r>
      <w:r w:rsidR="006727D3" w:rsidRPr="00740FD0">
        <w:rPr>
          <w:sz w:val="18"/>
          <w:szCs w:val="18"/>
        </w:rPr>
        <w:t xml:space="preserve"> (2020, S.O. 2020, c. 11, Sched. 15) at s. 4, “Areas of law in which legal aid services provided,” online: </w:t>
      </w:r>
      <w:hyperlink r:id="rId340" w:anchor="BK5" w:history="1">
        <w:r w:rsidR="006727D3" w:rsidRPr="00740FD0">
          <w:rPr>
            <w:rStyle w:val="Hyperlink"/>
            <w:sz w:val="18"/>
            <w:szCs w:val="18"/>
          </w:rPr>
          <w:t>https://www.ontario.ca/laws/statute/20l11#BK5</w:t>
        </w:r>
      </w:hyperlink>
      <w:r w:rsidR="006727D3" w:rsidRPr="00740FD0">
        <w:rPr>
          <w:sz w:val="18"/>
          <w:szCs w:val="18"/>
        </w:rPr>
        <w:t>.</w:t>
      </w:r>
    </w:p>
  </w:endnote>
  <w:endnote w:id="394">
    <w:p w14:paraId="48E04FC9" w14:textId="226731FE" w:rsidR="008D3941" w:rsidRPr="00740FD0" w:rsidRDefault="008D3941" w:rsidP="001E6423">
      <w:pPr>
        <w:pStyle w:val="EndnoteText"/>
        <w:rPr>
          <w:sz w:val="18"/>
          <w:szCs w:val="18"/>
        </w:rPr>
      </w:pPr>
      <w:r w:rsidRPr="00740FD0">
        <w:rPr>
          <w:rStyle w:val="EndnoteReference"/>
          <w:sz w:val="18"/>
          <w:szCs w:val="18"/>
        </w:rPr>
        <w:endnoteRef/>
      </w:r>
      <w:r w:rsidRPr="00740FD0">
        <w:rPr>
          <w:sz w:val="18"/>
          <w:szCs w:val="18"/>
        </w:rPr>
        <w:t xml:space="preserve"> </w:t>
      </w:r>
      <w:r w:rsidR="001E6423" w:rsidRPr="00740FD0">
        <w:rPr>
          <w:sz w:val="18"/>
          <w:szCs w:val="18"/>
        </w:rPr>
        <w:t xml:space="preserve">See Carol </w:t>
      </w:r>
      <w:r w:rsidR="001E6423" w:rsidRPr="00740FD0">
        <w:rPr>
          <w:sz w:val="18"/>
          <w:szCs w:val="18"/>
        </w:rPr>
        <w:t xml:space="preserve">McEown, </w:t>
      </w:r>
      <w:r w:rsidR="001E6423" w:rsidRPr="00740FD0">
        <w:rPr>
          <w:i/>
          <w:iCs/>
          <w:sz w:val="18"/>
          <w:szCs w:val="18"/>
        </w:rPr>
        <w:t>Civil Legal Needs Research Report, 2</w:t>
      </w:r>
      <w:r w:rsidR="001E6423" w:rsidRPr="00740FD0">
        <w:rPr>
          <w:i/>
          <w:iCs/>
          <w:sz w:val="18"/>
          <w:szCs w:val="18"/>
          <w:vertAlign w:val="superscript"/>
        </w:rPr>
        <w:t>nd</w:t>
      </w:r>
      <w:r w:rsidR="001E6423" w:rsidRPr="00740FD0">
        <w:rPr>
          <w:i/>
          <w:iCs/>
          <w:sz w:val="18"/>
          <w:szCs w:val="18"/>
        </w:rPr>
        <w:t xml:space="preserve"> Edition</w:t>
      </w:r>
      <w:r w:rsidR="001E6423" w:rsidRPr="00740FD0">
        <w:rPr>
          <w:sz w:val="18"/>
          <w:szCs w:val="18"/>
        </w:rPr>
        <w:t xml:space="preserve"> (Law Foundation of BC, March 2009), online: </w:t>
      </w:r>
      <w:hyperlink r:id="rId341" w:history="1">
        <w:r w:rsidR="001E6423" w:rsidRPr="00740FD0">
          <w:rPr>
            <w:rStyle w:val="Hyperlink"/>
            <w:sz w:val="18"/>
            <w:szCs w:val="18"/>
          </w:rPr>
          <w:t>https://www.lawfoundationbc.org/wp-content/uploads/Civil-Legal-Needs-Research-FINAL.pdf</w:t>
        </w:r>
      </w:hyperlink>
      <w:r w:rsidR="001E6423" w:rsidRPr="00740FD0">
        <w:rPr>
          <w:sz w:val="18"/>
          <w:szCs w:val="18"/>
        </w:rPr>
        <w:t xml:space="preserve">. </w:t>
      </w:r>
    </w:p>
  </w:endnote>
  <w:endnote w:id="395">
    <w:p w14:paraId="6061B72C" w14:textId="12DC5BB5" w:rsidR="008D3941" w:rsidRPr="00740FD0" w:rsidRDefault="008D3941" w:rsidP="008D3941">
      <w:pPr>
        <w:pStyle w:val="EndnoteText"/>
        <w:rPr>
          <w:sz w:val="18"/>
          <w:szCs w:val="18"/>
        </w:rPr>
      </w:pPr>
      <w:r w:rsidRPr="00740FD0">
        <w:rPr>
          <w:rStyle w:val="EndnoteReference"/>
          <w:sz w:val="18"/>
          <w:szCs w:val="18"/>
        </w:rPr>
        <w:endnoteRef/>
      </w:r>
      <w:r w:rsidRPr="00740FD0">
        <w:rPr>
          <w:sz w:val="18"/>
          <w:szCs w:val="18"/>
        </w:rPr>
        <w:t xml:space="preserve"> </w:t>
      </w:r>
      <w:r w:rsidR="00985652" w:rsidRPr="00740FD0">
        <w:rPr>
          <w:sz w:val="18"/>
          <w:szCs w:val="18"/>
        </w:rPr>
        <w:t>Ministry of Public and Business Service Delivery, “Consultation on Modernizing Consumer Protection in Ontario: Strengthening the Consumer Protection Act” Session 2 Business Leaders (March 8, 2023), notes on file with the LCO</w:t>
      </w:r>
      <w:r w:rsidRPr="00740FD0">
        <w:rPr>
          <w:sz w:val="18"/>
          <w:szCs w:val="18"/>
        </w:rPr>
        <w:t>.</w:t>
      </w:r>
    </w:p>
  </w:endnote>
  <w:endnote w:id="396">
    <w:p w14:paraId="409E435D" w14:textId="2CDC70DD" w:rsidR="00E71B41" w:rsidRPr="00740FD0" w:rsidRDefault="00E71B41">
      <w:pPr>
        <w:pStyle w:val="EndnoteText"/>
        <w:rPr>
          <w:sz w:val="18"/>
          <w:szCs w:val="18"/>
        </w:rPr>
      </w:pPr>
      <w:r w:rsidRPr="00740FD0">
        <w:rPr>
          <w:rStyle w:val="EndnoteReference"/>
          <w:sz w:val="18"/>
          <w:szCs w:val="18"/>
        </w:rPr>
        <w:endnoteRef/>
      </w:r>
      <w:r w:rsidRPr="00740FD0">
        <w:rPr>
          <w:sz w:val="18"/>
          <w:szCs w:val="18"/>
        </w:rPr>
        <w:t xml:space="preserve"> Organization for Economic Cooperation and Development, The Role of Online Marketplaces in Protecting and Empowering Consumers (July 2022), at 4, online: </w:t>
      </w:r>
      <w:hyperlink r:id="rId342" w:history="1">
        <w:r w:rsidRPr="00740FD0">
          <w:rPr>
            <w:rStyle w:val="Hyperlink"/>
            <w:sz w:val="18"/>
            <w:szCs w:val="18"/>
          </w:rPr>
          <w:t>https://www.oecd.org/publications/the-role-of-online-marketplaces-in-protecting-and-empowering-consumers-9d8cc586-en.htm</w:t>
        </w:r>
      </w:hyperlink>
      <w:r w:rsidRPr="00740FD0">
        <w:rPr>
          <w:sz w:val="18"/>
          <w:szCs w:val="18"/>
        </w:rPr>
        <w:t>.</w:t>
      </w:r>
    </w:p>
  </w:endnote>
  <w:endnote w:id="397">
    <w:p w14:paraId="3353DF8A" w14:textId="610BA823" w:rsidR="00E71B41" w:rsidRPr="00740FD0" w:rsidRDefault="00E71B41">
      <w:pPr>
        <w:pStyle w:val="EndnoteText"/>
        <w:rPr>
          <w:sz w:val="18"/>
          <w:szCs w:val="18"/>
        </w:rPr>
      </w:pPr>
      <w:r w:rsidRPr="00740FD0">
        <w:rPr>
          <w:rStyle w:val="EndnoteReference"/>
          <w:sz w:val="18"/>
          <w:szCs w:val="18"/>
        </w:rPr>
        <w:endnoteRef/>
      </w:r>
      <w:r w:rsidRPr="00740FD0">
        <w:rPr>
          <w:sz w:val="18"/>
          <w:szCs w:val="18"/>
        </w:rPr>
        <w:t xml:space="preserve"> Organization for Economic Cooperation and Development, The Role of Online Marketplaces in Protecting and Empowering Consumers (July 2022), at 4, online: </w:t>
      </w:r>
      <w:hyperlink r:id="rId343" w:history="1">
        <w:r w:rsidRPr="00740FD0">
          <w:rPr>
            <w:rStyle w:val="Hyperlink"/>
            <w:sz w:val="18"/>
            <w:szCs w:val="18"/>
          </w:rPr>
          <w:t>https://www.oecd.org/publications/the-role-of-online-marketplaces-in-protecting-and-empowering-consumers-9d8cc586-en.htm</w:t>
        </w:r>
      </w:hyperlink>
      <w:r w:rsidRPr="00740FD0">
        <w:rPr>
          <w:sz w:val="18"/>
          <w:szCs w:val="18"/>
        </w:rPr>
        <w:t>.</w:t>
      </w:r>
    </w:p>
  </w:endnote>
  <w:endnote w:id="398">
    <w:p w14:paraId="50B195B6" w14:textId="42D73414" w:rsidR="00E71B41" w:rsidRPr="00740FD0" w:rsidRDefault="00E71B41">
      <w:pPr>
        <w:pStyle w:val="EndnoteText"/>
        <w:rPr>
          <w:sz w:val="18"/>
          <w:szCs w:val="18"/>
        </w:rPr>
      </w:pPr>
      <w:r w:rsidRPr="00740FD0">
        <w:rPr>
          <w:rStyle w:val="EndnoteReference"/>
          <w:sz w:val="18"/>
          <w:szCs w:val="18"/>
        </w:rPr>
        <w:endnoteRef/>
      </w:r>
      <w:r w:rsidRPr="00740FD0">
        <w:rPr>
          <w:sz w:val="18"/>
          <w:szCs w:val="18"/>
        </w:rPr>
        <w:t xml:space="preserve"> Organization for Economic Cooperation and Development, The Role of Online Marketplaces in Protecting and Empowering Consumers (July 2022), at 4, online: </w:t>
      </w:r>
      <w:hyperlink r:id="rId344" w:history="1">
        <w:r w:rsidRPr="00740FD0">
          <w:rPr>
            <w:rStyle w:val="Hyperlink"/>
            <w:sz w:val="18"/>
            <w:szCs w:val="18"/>
          </w:rPr>
          <w:t>https://www.oecd.org/publications/the-role-of-online-marketplaces-in-protecting-and-empowering-consumers-9d8cc586-en.htm</w:t>
        </w:r>
      </w:hyperlink>
      <w:r w:rsidRPr="00740FD0">
        <w:rPr>
          <w:sz w:val="18"/>
          <w:szCs w:val="18"/>
        </w:rPr>
        <w:t>.</w:t>
      </w:r>
    </w:p>
  </w:endnote>
  <w:endnote w:id="399">
    <w:p w14:paraId="73437648" w14:textId="6AB3E085" w:rsidR="003E6E3F" w:rsidRPr="00740FD0" w:rsidRDefault="003E6E3F" w:rsidP="003E6E3F">
      <w:pPr>
        <w:pStyle w:val="EndnoteText"/>
        <w:rPr>
          <w:i/>
          <w:iCs/>
          <w:sz w:val="18"/>
          <w:szCs w:val="18"/>
          <w:lang w:val="en-US"/>
        </w:rPr>
      </w:pPr>
      <w:r w:rsidRPr="00740FD0">
        <w:rPr>
          <w:rStyle w:val="EndnoteReference"/>
          <w:sz w:val="18"/>
          <w:szCs w:val="18"/>
        </w:rPr>
        <w:endnoteRef/>
      </w:r>
      <w:r w:rsidRPr="00740FD0">
        <w:rPr>
          <w:sz w:val="18"/>
          <w:szCs w:val="18"/>
        </w:rPr>
        <w:t xml:space="preserve"> The UK consumer </w:t>
      </w:r>
      <w:r w:rsidRPr="00740FD0">
        <w:rPr>
          <w:sz w:val="18"/>
          <w:szCs w:val="18"/>
          <w:lang w:val="en-US"/>
        </w:rPr>
        <w:t xml:space="preserve">opt-out collective action regime was introduced by the </w:t>
      </w:r>
      <w:r w:rsidRPr="00740FD0">
        <w:rPr>
          <w:i/>
          <w:iCs/>
          <w:sz w:val="18"/>
          <w:szCs w:val="18"/>
          <w:lang w:val="en-US"/>
        </w:rPr>
        <w:t>Consumer Rights Act, 2015</w:t>
      </w:r>
    </w:p>
    <w:p w14:paraId="13058CCF" w14:textId="053DDA21" w:rsidR="003E6E3F" w:rsidRPr="00740FD0" w:rsidRDefault="003E6E3F" w:rsidP="003E6E3F">
      <w:pPr>
        <w:pStyle w:val="EndnoteText"/>
        <w:rPr>
          <w:sz w:val="18"/>
          <w:szCs w:val="18"/>
          <w:lang w:val="en-US"/>
        </w:rPr>
      </w:pPr>
      <w:r w:rsidRPr="00740FD0">
        <w:rPr>
          <w:sz w:val="18"/>
          <w:szCs w:val="18"/>
          <w:lang w:val="en-US"/>
        </w:rPr>
        <w:t>(UK Public General Acts, 2015 c. 15), online:</w:t>
      </w:r>
      <w:r w:rsidR="0063717F">
        <w:rPr>
          <w:sz w:val="18"/>
          <w:szCs w:val="18"/>
          <w:lang w:val="en-US"/>
        </w:rPr>
        <w:t xml:space="preserve"> </w:t>
      </w:r>
      <w:hyperlink r:id="rId345" w:history="1">
        <w:r w:rsidR="0063717F" w:rsidRPr="00740FD0">
          <w:rPr>
            <w:rStyle w:val="Hyperlink"/>
            <w:color w:val="auto"/>
            <w:sz w:val="18"/>
            <w:szCs w:val="18"/>
            <w:lang w:val="en-US"/>
          </w:rPr>
          <w:t>https://www.legislation.gov.uk/ukpga/2015/15/contents/enacted</w:t>
        </w:r>
      </w:hyperlink>
      <w:r w:rsidR="0063717F">
        <w:rPr>
          <w:rStyle w:val="Hyperlink"/>
          <w:color w:val="auto"/>
          <w:sz w:val="18"/>
          <w:szCs w:val="18"/>
          <w:lang w:val="en-US"/>
        </w:rPr>
        <w:t xml:space="preserve">. </w:t>
      </w:r>
    </w:p>
  </w:endnote>
  <w:endnote w:id="400">
    <w:p w14:paraId="01489BDF" w14:textId="37D8C641" w:rsidR="00687298" w:rsidRPr="00740FD0" w:rsidRDefault="00687298">
      <w:pPr>
        <w:pStyle w:val="EndnoteText"/>
        <w:rPr>
          <w:sz w:val="18"/>
          <w:szCs w:val="18"/>
          <w:lang w:val="en-US"/>
        </w:rPr>
      </w:pPr>
      <w:r w:rsidRPr="00740FD0">
        <w:rPr>
          <w:rStyle w:val="EndnoteReference"/>
          <w:sz w:val="18"/>
          <w:szCs w:val="18"/>
        </w:rPr>
        <w:endnoteRef/>
      </w:r>
      <w:r w:rsidRPr="00740FD0">
        <w:rPr>
          <w:sz w:val="18"/>
          <w:szCs w:val="18"/>
        </w:rPr>
        <w:t xml:space="preserve"> </w:t>
      </w:r>
      <w:r w:rsidRPr="00740FD0">
        <w:rPr>
          <w:sz w:val="18"/>
          <w:szCs w:val="18"/>
          <w:lang w:val="en-US"/>
        </w:rPr>
        <w:t xml:space="preserve">See Consumer Rights Act, 2015, “Explanatory Note: Collective actions and opt-out collective settlements”, online: </w:t>
      </w:r>
      <w:hyperlink r:id="rId346" w:history="1">
        <w:r w:rsidRPr="00740FD0">
          <w:rPr>
            <w:rStyle w:val="Hyperlink"/>
            <w:sz w:val="18"/>
            <w:szCs w:val="18"/>
            <w:lang w:val="en-US"/>
          </w:rPr>
          <w:t>https://www.legislation.gov.uk/ukpga/2015/15/notes/division/3/3/2/2/2</w:t>
        </w:r>
      </w:hyperlink>
      <w:r w:rsidRPr="00740FD0">
        <w:rPr>
          <w:sz w:val="18"/>
          <w:szCs w:val="18"/>
          <w:lang w:val="en-US"/>
        </w:rPr>
        <w:t xml:space="preserve">. </w:t>
      </w:r>
    </w:p>
  </w:endnote>
  <w:endnote w:id="401">
    <w:p w14:paraId="58200BEA" w14:textId="0E62F9F6" w:rsidR="00687298" w:rsidRPr="00740FD0" w:rsidRDefault="00687298">
      <w:pPr>
        <w:pStyle w:val="EndnoteText"/>
        <w:rPr>
          <w:sz w:val="18"/>
          <w:szCs w:val="18"/>
          <w:lang w:val="en-US"/>
        </w:rPr>
      </w:pPr>
      <w:r w:rsidRPr="00740FD0">
        <w:rPr>
          <w:rStyle w:val="EndnoteReference"/>
          <w:sz w:val="18"/>
          <w:szCs w:val="18"/>
        </w:rPr>
        <w:endnoteRef/>
      </w:r>
      <w:r w:rsidRPr="00740FD0">
        <w:rPr>
          <w:sz w:val="18"/>
          <w:szCs w:val="18"/>
        </w:rPr>
        <w:t xml:space="preserve"> </w:t>
      </w:r>
      <w:r w:rsidRPr="00740FD0">
        <w:rPr>
          <w:sz w:val="18"/>
          <w:szCs w:val="18"/>
          <w:lang w:val="en-US"/>
        </w:rPr>
        <w:t xml:space="preserve">See Consumer Rights Act, 2015, “Explanatory note: Voluntary redress schemes” online: </w:t>
      </w:r>
      <w:hyperlink r:id="rId347" w:history="1">
        <w:r w:rsidRPr="00740FD0">
          <w:rPr>
            <w:rStyle w:val="Hyperlink"/>
            <w:sz w:val="18"/>
            <w:szCs w:val="18"/>
            <w:lang w:val="en-US"/>
          </w:rPr>
          <w:t>https://www.legislation.gov.uk/ukpga/2015/15/notes/division/3/3/2/2/3</w:t>
        </w:r>
      </w:hyperlink>
      <w:r w:rsidRPr="00740FD0">
        <w:rPr>
          <w:sz w:val="18"/>
          <w:szCs w:val="18"/>
          <w:lang w:val="en-US"/>
        </w:rPr>
        <w:t xml:space="preserve">.  </w:t>
      </w:r>
    </w:p>
  </w:endnote>
  <w:endnote w:id="402">
    <w:p w14:paraId="14EDF816" w14:textId="3BA83829" w:rsidR="00F60F54" w:rsidRPr="00740FD0" w:rsidRDefault="00F60F54" w:rsidP="00F60F54">
      <w:pPr>
        <w:pStyle w:val="EndnoteText"/>
        <w:rPr>
          <w:sz w:val="18"/>
          <w:szCs w:val="18"/>
        </w:rPr>
      </w:pPr>
      <w:r w:rsidRPr="00740FD0">
        <w:rPr>
          <w:rStyle w:val="EndnoteReference"/>
          <w:sz w:val="18"/>
          <w:szCs w:val="18"/>
        </w:rPr>
        <w:endnoteRef/>
      </w:r>
      <w:r w:rsidRPr="00740FD0">
        <w:rPr>
          <w:sz w:val="18"/>
          <w:szCs w:val="18"/>
        </w:rPr>
        <w:t xml:space="preserve"> </w:t>
      </w:r>
      <w:r w:rsidR="00985652" w:rsidRPr="00740FD0">
        <w:rPr>
          <w:sz w:val="18"/>
          <w:szCs w:val="18"/>
        </w:rPr>
        <w:t xml:space="preserve">The Guardian, “Sony could face £5bn in legal claims over PlayStation game charges” (August 22, 2022), online: </w:t>
      </w:r>
      <w:hyperlink r:id="rId348" w:history="1">
        <w:r w:rsidR="00985652" w:rsidRPr="00740FD0">
          <w:rPr>
            <w:rStyle w:val="Hyperlink"/>
            <w:sz w:val="18"/>
            <w:szCs w:val="18"/>
          </w:rPr>
          <w:t>https://www.theguardian.com/technology/2022/aug/22/sony-could-face-5bn-in-legal-claims-over-playstation-game-charges?CMP=Share_iOSApp_Other</w:t>
        </w:r>
      </w:hyperlink>
      <w:r w:rsidRPr="00740FD0">
        <w:rPr>
          <w:rStyle w:val="Hyperlink"/>
          <w:sz w:val="18"/>
          <w:szCs w:val="18"/>
        </w:rPr>
        <w:t xml:space="preserve">. </w:t>
      </w:r>
      <w:r w:rsidR="000B6CB1" w:rsidRPr="00740FD0">
        <w:rPr>
          <w:rStyle w:val="Hyperlink"/>
          <w:sz w:val="18"/>
          <w:szCs w:val="18"/>
        </w:rPr>
        <w:t>A summary of the proceeding is available on their website “</w:t>
      </w:r>
      <w:r w:rsidR="000B6CB1" w:rsidRPr="00740FD0">
        <w:rPr>
          <w:rStyle w:val="Hyperlink"/>
          <w:sz w:val="18"/>
          <w:szCs w:val="18"/>
        </w:rPr>
        <w:t xml:space="preserve">Playstation, You Owe Us”, online: </w:t>
      </w:r>
      <w:hyperlink r:id="rId349" w:history="1">
        <w:r w:rsidR="000B6CB1" w:rsidRPr="00740FD0">
          <w:rPr>
            <w:rStyle w:val="Hyperlink"/>
            <w:sz w:val="18"/>
            <w:szCs w:val="18"/>
          </w:rPr>
          <w:t>https://playstationyouoweus.co.uk/</w:t>
        </w:r>
      </w:hyperlink>
      <w:r w:rsidR="000B6CB1" w:rsidRPr="00740FD0">
        <w:rPr>
          <w:rStyle w:val="Hyperlink"/>
          <w:sz w:val="18"/>
          <w:szCs w:val="18"/>
        </w:rPr>
        <w:t xml:space="preserve">. </w:t>
      </w:r>
    </w:p>
  </w:endnote>
  <w:endnote w:id="403">
    <w:p w14:paraId="085327A8" w14:textId="77777777" w:rsidR="00F60F54" w:rsidRPr="00740FD0" w:rsidRDefault="00F60F54" w:rsidP="00F60F54">
      <w:pPr>
        <w:pStyle w:val="EndnoteText"/>
        <w:rPr>
          <w:sz w:val="18"/>
          <w:szCs w:val="18"/>
        </w:rPr>
      </w:pPr>
      <w:r w:rsidRPr="00740FD0">
        <w:rPr>
          <w:rStyle w:val="EndnoteReference"/>
          <w:sz w:val="18"/>
          <w:szCs w:val="18"/>
        </w:rPr>
        <w:endnoteRef/>
      </w:r>
      <w:r w:rsidRPr="00740FD0">
        <w:rPr>
          <w:sz w:val="18"/>
          <w:szCs w:val="18"/>
        </w:rPr>
        <w:t xml:space="preserve"> For an overview see for example, Catherine </w:t>
      </w:r>
      <w:r w:rsidRPr="00740FD0">
        <w:rPr>
          <w:sz w:val="18"/>
          <w:szCs w:val="18"/>
        </w:rPr>
        <w:t xml:space="preserve">Piché &amp; Geneviève Saumier, Consumer Collective Redress in Canada (Japanese Yearbook of International Law Vol. 61 (2018) p.231-259 (February 2019), online: </w:t>
      </w:r>
      <w:hyperlink r:id="rId350" w:history="1">
        <w:r w:rsidRPr="00740FD0">
          <w:rPr>
            <w:rStyle w:val="Hyperlink"/>
            <w:sz w:val="18"/>
            <w:szCs w:val="18"/>
          </w:rPr>
          <w:t>https://classactions.openum.ca/files/sites/24/2019/04/JYIL61_Piche%CC%81Saumier_pp231-259.pdf</w:t>
        </w:r>
      </w:hyperlink>
      <w:r w:rsidRPr="00740FD0">
        <w:rPr>
          <w:sz w:val="18"/>
          <w:szCs w:val="18"/>
        </w:rPr>
        <w:t xml:space="preserve">. </w:t>
      </w:r>
    </w:p>
  </w:endnote>
  <w:endnote w:id="404">
    <w:p w14:paraId="79250C54" w14:textId="77777777" w:rsidR="00F60F54" w:rsidRPr="00740FD0" w:rsidRDefault="00F60F54" w:rsidP="00F60F54">
      <w:pPr>
        <w:pStyle w:val="EndnoteText"/>
        <w:rPr>
          <w:sz w:val="18"/>
          <w:szCs w:val="18"/>
        </w:rPr>
      </w:pPr>
      <w:r w:rsidRPr="00740FD0">
        <w:rPr>
          <w:rStyle w:val="EndnoteReference"/>
          <w:sz w:val="18"/>
          <w:szCs w:val="18"/>
        </w:rPr>
        <w:endnoteRef/>
      </w:r>
      <w:r w:rsidRPr="00740FD0">
        <w:rPr>
          <w:sz w:val="18"/>
          <w:szCs w:val="18"/>
        </w:rPr>
        <w:t xml:space="preserve"> For an overview see for example, Catherine </w:t>
      </w:r>
      <w:r w:rsidRPr="00740FD0">
        <w:rPr>
          <w:sz w:val="18"/>
          <w:szCs w:val="18"/>
        </w:rPr>
        <w:t xml:space="preserve">Piché &amp; Geneviève Saumier, Consumer Collective Redress in Canada (Japanese Yearbook of International Law Vol. 61 (2018) p.231-259 (February 2019), online: </w:t>
      </w:r>
      <w:hyperlink r:id="rId351" w:history="1">
        <w:r w:rsidRPr="00740FD0">
          <w:rPr>
            <w:rStyle w:val="Hyperlink"/>
            <w:sz w:val="18"/>
            <w:szCs w:val="18"/>
          </w:rPr>
          <w:t>https://classactions.openum.ca/files/sites/24/2019/04/JYIL61_Piche%CC%81Saumier_pp231-259.pdf</w:t>
        </w:r>
      </w:hyperlink>
      <w:r w:rsidRPr="00740FD0">
        <w:rPr>
          <w:sz w:val="18"/>
          <w:szCs w:val="18"/>
        </w:rPr>
        <w:t xml:space="preserve">. </w:t>
      </w:r>
    </w:p>
  </w:endnote>
  <w:endnote w:id="405">
    <w:p w14:paraId="1D56EA7A" w14:textId="1048F4C2" w:rsidR="00F60F54" w:rsidRPr="00740FD0" w:rsidRDefault="00F60F54" w:rsidP="00F60F54">
      <w:pPr>
        <w:pStyle w:val="EndnoteText"/>
        <w:rPr>
          <w:sz w:val="18"/>
          <w:szCs w:val="18"/>
        </w:rPr>
      </w:pPr>
      <w:r w:rsidRPr="00740FD0">
        <w:rPr>
          <w:rStyle w:val="EndnoteReference"/>
          <w:sz w:val="18"/>
          <w:szCs w:val="18"/>
        </w:rPr>
        <w:endnoteRef/>
      </w:r>
      <w:r w:rsidRPr="00740FD0">
        <w:rPr>
          <w:sz w:val="18"/>
          <w:szCs w:val="18"/>
        </w:rPr>
        <w:t xml:space="preserve"> </w:t>
      </w:r>
      <w:r w:rsidR="00985652" w:rsidRPr="00740FD0">
        <w:rPr>
          <w:sz w:val="18"/>
          <w:szCs w:val="18"/>
        </w:rPr>
        <w:t xml:space="preserve">These issues are extensive discussion in the Law Commission of Ontario, </w:t>
      </w:r>
      <w:r w:rsidR="00985652" w:rsidRPr="00740FD0">
        <w:rPr>
          <w:i/>
          <w:iCs/>
          <w:sz w:val="18"/>
          <w:szCs w:val="18"/>
        </w:rPr>
        <w:t>Class Actions: Objectives, Experiences and Reforms</w:t>
      </w:r>
      <w:r w:rsidR="00985652" w:rsidRPr="00740FD0">
        <w:rPr>
          <w:sz w:val="18"/>
          <w:szCs w:val="18"/>
        </w:rPr>
        <w:t xml:space="preserve"> (July 2019), online: </w:t>
      </w:r>
      <w:hyperlink r:id="rId352" w:history="1">
        <w:r w:rsidR="00985652" w:rsidRPr="00740FD0">
          <w:rPr>
            <w:rStyle w:val="Hyperlink"/>
            <w:sz w:val="18"/>
            <w:szCs w:val="18"/>
          </w:rPr>
          <w:t>https://www.lco-cdo.org/en/our-current-projects/class-actions/final-report/</w:t>
        </w:r>
      </w:hyperlink>
      <w:r w:rsidR="00985652" w:rsidRPr="00740FD0">
        <w:rPr>
          <w:sz w:val="18"/>
          <w:szCs w:val="18"/>
        </w:rPr>
        <w:t>.</w:t>
      </w:r>
      <w:r w:rsidRPr="00740FD0">
        <w:rPr>
          <w:sz w:val="18"/>
          <w:szCs w:val="18"/>
        </w:rPr>
        <w:t xml:space="preserve"> </w:t>
      </w:r>
    </w:p>
  </w:endnote>
  <w:endnote w:id="406">
    <w:p w14:paraId="2A6E1CD1" w14:textId="77777777" w:rsidR="00F60F54" w:rsidRPr="00740FD0" w:rsidRDefault="00F60F54" w:rsidP="00F60F54">
      <w:pPr>
        <w:pStyle w:val="EndnoteText"/>
        <w:rPr>
          <w:sz w:val="18"/>
          <w:szCs w:val="18"/>
        </w:rPr>
      </w:pPr>
      <w:r w:rsidRPr="00740FD0">
        <w:rPr>
          <w:rStyle w:val="EndnoteReference"/>
          <w:sz w:val="18"/>
          <w:szCs w:val="18"/>
        </w:rPr>
        <w:endnoteRef/>
      </w:r>
      <w:r w:rsidRPr="00740FD0">
        <w:rPr>
          <w:sz w:val="18"/>
          <w:szCs w:val="18"/>
        </w:rPr>
        <w:t xml:space="preserve"> See Consumers Council of Canada, </w:t>
      </w:r>
      <w:r w:rsidRPr="00740FD0">
        <w:rPr>
          <w:i/>
          <w:iCs/>
          <w:sz w:val="18"/>
          <w:szCs w:val="18"/>
        </w:rPr>
        <w:t>Super Complainers: Greater Public Inclusiveness in Government Consumer Complaint Handling</w:t>
      </w:r>
      <w:r w:rsidRPr="00740FD0">
        <w:rPr>
          <w:sz w:val="18"/>
          <w:szCs w:val="18"/>
        </w:rPr>
        <w:t xml:space="preserve"> (April 2019), online:  </w:t>
      </w:r>
      <w:hyperlink r:id="rId353" w:history="1">
        <w:r w:rsidRPr="00740FD0">
          <w:rPr>
            <w:rStyle w:val="Hyperlink"/>
            <w:sz w:val="18"/>
            <w:szCs w:val="18"/>
          </w:rPr>
          <w:t>https://cccshop.consumerscouncil.com/ca/Consumer-Representation/c/3214/Super-Complainers-Greater-Public-Inclusiveness-in-Government-Consumer-Complaint-Handling-[EPUB]/p/139702</w:t>
        </w:r>
      </w:hyperlink>
      <w:r w:rsidRPr="00740FD0">
        <w:rPr>
          <w:sz w:val="18"/>
          <w:szCs w:val="18"/>
        </w:rPr>
        <w:t xml:space="preserve">. </w:t>
      </w:r>
    </w:p>
  </w:endnote>
  <w:endnote w:id="407">
    <w:p w14:paraId="1ADC8862" w14:textId="2F737676" w:rsidR="00533B58" w:rsidRPr="00740FD0" w:rsidRDefault="00533B58">
      <w:pPr>
        <w:pStyle w:val="EndnoteText"/>
        <w:rPr>
          <w:sz w:val="18"/>
          <w:szCs w:val="18"/>
          <w:lang w:val="en-US"/>
        </w:rPr>
      </w:pPr>
      <w:r w:rsidRPr="00740FD0">
        <w:rPr>
          <w:rStyle w:val="EndnoteReference"/>
          <w:sz w:val="18"/>
          <w:szCs w:val="18"/>
        </w:rPr>
        <w:endnoteRef/>
      </w:r>
      <w:r w:rsidRPr="00740FD0">
        <w:rPr>
          <w:sz w:val="18"/>
          <w:szCs w:val="18"/>
        </w:rPr>
        <w:t xml:space="preserve"> See Consumers Council of Canada, </w:t>
      </w:r>
      <w:r w:rsidRPr="00740FD0">
        <w:rPr>
          <w:i/>
          <w:iCs/>
          <w:sz w:val="18"/>
          <w:szCs w:val="18"/>
        </w:rPr>
        <w:t>Super Complainers: Greater Public Inclusiveness in Government Consumer Complaint Handling</w:t>
      </w:r>
      <w:r w:rsidRPr="00740FD0">
        <w:rPr>
          <w:sz w:val="18"/>
          <w:szCs w:val="18"/>
        </w:rPr>
        <w:t xml:space="preserve"> (April 2019), at 15, online:  </w:t>
      </w:r>
      <w:hyperlink r:id="rId354" w:history="1">
        <w:r w:rsidRPr="00740FD0">
          <w:rPr>
            <w:rStyle w:val="Hyperlink"/>
            <w:sz w:val="18"/>
            <w:szCs w:val="18"/>
          </w:rPr>
          <w:t>https://cccshop.consumerscouncil.com/ca/Consumer-Representation/c/3214/Super-Complainers-Greater-Public-Inclusiveness-in-Government-Consumer-Complaint-Handling-[EPUB]/p/139702</w:t>
        </w:r>
      </w:hyperlink>
      <w:r w:rsidRPr="00740FD0">
        <w:rPr>
          <w:rStyle w:val="Hyperlink"/>
          <w:sz w:val="18"/>
          <w:szCs w:val="18"/>
        </w:rPr>
        <w:t>.</w:t>
      </w:r>
    </w:p>
  </w:endnote>
  <w:endnote w:id="408">
    <w:p w14:paraId="5D54573D" w14:textId="77777777" w:rsidR="00F60F54" w:rsidRPr="00740FD0" w:rsidRDefault="00F60F54" w:rsidP="00F60F54">
      <w:pPr>
        <w:pStyle w:val="EndnoteText"/>
        <w:rPr>
          <w:sz w:val="18"/>
          <w:szCs w:val="18"/>
        </w:rPr>
      </w:pPr>
      <w:r w:rsidRPr="00740FD0">
        <w:rPr>
          <w:rStyle w:val="EndnoteReference"/>
          <w:sz w:val="18"/>
          <w:szCs w:val="18"/>
        </w:rPr>
        <w:endnoteRef/>
      </w:r>
      <w:r w:rsidRPr="00740FD0">
        <w:rPr>
          <w:sz w:val="18"/>
          <w:szCs w:val="18"/>
        </w:rPr>
        <w:t xml:space="preserve"> See Consumers Council of Canada, </w:t>
      </w:r>
      <w:r w:rsidRPr="00740FD0">
        <w:rPr>
          <w:i/>
          <w:iCs/>
          <w:sz w:val="18"/>
          <w:szCs w:val="18"/>
        </w:rPr>
        <w:t>Super Complainers: Greater Public Inclusiveness in Government Consumer Complaint Handling</w:t>
      </w:r>
      <w:r w:rsidRPr="00740FD0">
        <w:rPr>
          <w:sz w:val="18"/>
          <w:szCs w:val="18"/>
        </w:rPr>
        <w:t xml:space="preserve"> (April 2019), online:  </w:t>
      </w:r>
      <w:hyperlink r:id="rId355" w:history="1">
        <w:r w:rsidRPr="00740FD0">
          <w:rPr>
            <w:rStyle w:val="Hyperlink"/>
            <w:sz w:val="18"/>
            <w:szCs w:val="18"/>
          </w:rPr>
          <w:t>https://cccshop.consumerscouncil.com/ca/Consumer-Representation/c/3214/Super-Complainers-Greater-Public-Inclusiveness-in-Government-Consumer-Complaint-Handling-[EPUB]/p/139702</w:t>
        </w:r>
      </w:hyperlink>
      <w:r w:rsidRPr="00740FD0">
        <w:rPr>
          <w:sz w:val="18"/>
          <w:szCs w:val="18"/>
        </w:rPr>
        <w:t xml:space="preserve"> (np).</w:t>
      </w:r>
    </w:p>
  </w:endnote>
  <w:endnote w:id="409">
    <w:p w14:paraId="148A11D9" w14:textId="078C2356" w:rsidR="003E0071" w:rsidRPr="00740FD0" w:rsidRDefault="003E0071">
      <w:pPr>
        <w:pStyle w:val="EndnoteText"/>
        <w:rPr>
          <w:sz w:val="18"/>
          <w:szCs w:val="18"/>
        </w:rPr>
      </w:pPr>
      <w:r w:rsidRPr="00740FD0">
        <w:rPr>
          <w:rStyle w:val="EndnoteReference"/>
          <w:sz w:val="18"/>
          <w:szCs w:val="18"/>
        </w:rPr>
        <w:endnoteRef/>
      </w:r>
      <w:r w:rsidRPr="00740FD0">
        <w:rPr>
          <w:sz w:val="18"/>
          <w:szCs w:val="18"/>
        </w:rPr>
        <w:t xml:space="preserve"> See Consumers Council of Canada, </w:t>
      </w:r>
      <w:r w:rsidRPr="00740FD0">
        <w:rPr>
          <w:i/>
          <w:iCs/>
          <w:sz w:val="18"/>
          <w:szCs w:val="18"/>
        </w:rPr>
        <w:t>Super Complainers: Greater Public Inclusiveness in Government Consumer Complaint Handling</w:t>
      </w:r>
      <w:r w:rsidRPr="00740FD0">
        <w:rPr>
          <w:sz w:val="18"/>
          <w:szCs w:val="18"/>
        </w:rPr>
        <w:t xml:space="preserve"> (April 2019), online:</w:t>
      </w:r>
      <w:r w:rsidR="009E0094" w:rsidRPr="00740FD0">
        <w:rPr>
          <w:sz w:val="18"/>
          <w:szCs w:val="18"/>
        </w:rPr>
        <w:t xml:space="preserve"> </w:t>
      </w:r>
      <w:hyperlink r:id="rId356" w:history="1">
        <w:r w:rsidRPr="00740FD0">
          <w:rPr>
            <w:rStyle w:val="Hyperlink"/>
            <w:sz w:val="18"/>
            <w:szCs w:val="18"/>
          </w:rPr>
          <w:t>https://cccshop.consumerscouncil.com/ca/Consumer-Representation/c/3214/Super-Complainers-Greater-Public-Inclusiveness-in-Government-Consumer-Complaint-Handling-[EPUB]/p/139702</w:t>
        </w:r>
      </w:hyperlink>
      <w:r w:rsidRPr="00740FD0">
        <w:rPr>
          <w:sz w:val="18"/>
          <w:szCs w:val="18"/>
        </w:rPr>
        <w:t>.</w:t>
      </w:r>
    </w:p>
  </w:endnote>
  <w:endnote w:id="410">
    <w:p w14:paraId="51431B20" w14:textId="77777777" w:rsidR="00FA424D" w:rsidRPr="00740FD0" w:rsidRDefault="00FA424D" w:rsidP="00FA424D">
      <w:pPr>
        <w:pStyle w:val="EndnoteText"/>
        <w:rPr>
          <w:sz w:val="18"/>
          <w:szCs w:val="18"/>
        </w:rPr>
      </w:pPr>
      <w:r w:rsidRPr="00740FD0">
        <w:rPr>
          <w:rStyle w:val="EndnoteReference"/>
          <w:sz w:val="18"/>
          <w:szCs w:val="18"/>
        </w:rPr>
        <w:endnoteRef/>
      </w:r>
      <w:r w:rsidRPr="00740FD0">
        <w:rPr>
          <w:sz w:val="18"/>
          <w:szCs w:val="18"/>
        </w:rPr>
        <w:t xml:space="preserve"> Sept 13</w:t>
      </w:r>
      <w:r w:rsidRPr="00740FD0">
        <w:rPr>
          <w:sz w:val="18"/>
          <w:szCs w:val="18"/>
        </w:rPr>
        <w:t xml:space="preserve"> 2022. </w:t>
      </w:r>
      <w:hyperlink r:id="rId357" w:history="1">
        <w:r w:rsidRPr="00740FD0">
          <w:rPr>
            <w:rStyle w:val="Hyperlink"/>
            <w:sz w:val="18"/>
            <w:szCs w:val="18"/>
          </w:rPr>
          <w:t>https://leginfo.legislature.ca.gov/faces/billTextClient.xhtml?bill_id=202120220AB587</w:t>
        </w:r>
      </w:hyperlink>
      <w:r w:rsidRPr="00740FD0">
        <w:rPr>
          <w:sz w:val="18"/>
          <w:szCs w:val="18"/>
        </w:rPr>
        <w:t xml:space="preserve">. </w:t>
      </w:r>
    </w:p>
  </w:endnote>
  <w:endnote w:id="411">
    <w:p w14:paraId="29725FA4" w14:textId="77777777" w:rsidR="00FA424D" w:rsidRPr="00740FD0" w:rsidRDefault="00FA424D" w:rsidP="00FA424D">
      <w:pPr>
        <w:pStyle w:val="EndnoteText"/>
        <w:rPr>
          <w:sz w:val="18"/>
          <w:szCs w:val="18"/>
        </w:rPr>
      </w:pPr>
      <w:r w:rsidRPr="00740FD0">
        <w:rPr>
          <w:rStyle w:val="EndnoteReference"/>
          <w:sz w:val="18"/>
          <w:szCs w:val="18"/>
        </w:rPr>
        <w:endnoteRef/>
      </w:r>
      <w:r w:rsidRPr="00740FD0">
        <w:rPr>
          <w:sz w:val="18"/>
          <w:szCs w:val="18"/>
        </w:rPr>
        <w:t xml:space="preserve"> Sept 13</w:t>
      </w:r>
      <w:r w:rsidRPr="00740FD0">
        <w:rPr>
          <w:sz w:val="18"/>
          <w:szCs w:val="18"/>
        </w:rPr>
        <w:t xml:space="preserve"> 2022. </w:t>
      </w:r>
      <w:hyperlink r:id="rId358" w:history="1">
        <w:r w:rsidRPr="00740FD0">
          <w:rPr>
            <w:rStyle w:val="Hyperlink"/>
            <w:sz w:val="18"/>
            <w:szCs w:val="18"/>
          </w:rPr>
          <w:t>https://leginfo.legislature.ca.gov/faces/billTextClient.xhtml?bill_id=202120220AB587</w:t>
        </w:r>
      </w:hyperlink>
      <w:r w:rsidRPr="00740FD0">
        <w:rPr>
          <w:sz w:val="18"/>
          <w:szCs w:val="18"/>
        </w:rPr>
        <w:t>.</w:t>
      </w:r>
    </w:p>
  </w:endnote>
  <w:endnote w:id="412">
    <w:p w14:paraId="264183C2" w14:textId="77777777" w:rsidR="0031106D" w:rsidRPr="00740FD0" w:rsidRDefault="0031106D" w:rsidP="0031106D">
      <w:pPr>
        <w:pStyle w:val="EndnoteText"/>
        <w:rPr>
          <w:sz w:val="18"/>
          <w:szCs w:val="18"/>
        </w:rPr>
      </w:pPr>
      <w:r w:rsidRPr="00740FD0">
        <w:rPr>
          <w:rStyle w:val="EndnoteReference"/>
          <w:sz w:val="18"/>
          <w:szCs w:val="18"/>
        </w:rPr>
        <w:endnoteRef/>
      </w:r>
      <w:r w:rsidRPr="00740FD0">
        <w:rPr>
          <w:sz w:val="18"/>
          <w:szCs w:val="18"/>
        </w:rPr>
        <w:t xml:space="preserve"> Sept 13</w:t>
      </w:r>
      <w:r w:rsidRPr="00740FD0">
        <w:rPr>
          <w:sz w:val="18"/>
          <w:szCs w:val="18"/>
        </w:rPr>
        <w:t xml:space="preserve"> 2022. </w:t>
      </w:r>
      <w:hyperlink r:id="rId359" w:history="1">
        <w:r w:rsidRPr="00740FD0">
          <w:rPr>
            <w:rStyle w:val="Hyperlink"/>
            <w:sz w:val="18"/>
            <w:szCs w:val="18"/>
          </w:rPr>
          <w:t>https://leginfo.legislature.ca.gov/faces/billTextClient.xhtml?bill_id=202120220AB587</w:t>
        </w:r>
      </w:hyperlink>
      <w:r w:rsidRPr="00740FD0">
        <w:rPr>
          <w:sz w:val="18"/>
          <w:szCs w:val="18"/>
        </w:rPr>
        <w:t xml:space="preserve">. </w:t>
      </w:r>
    </w:p>
  </w:endnote>
  <w:endnote w:id="413">
    <w:p w14:paraId="52A2954B" w14:textId="77777777" w:rsidR="0051509E" w:rsidRPr="00740FD0" w:rsidRDefault="0051509E" w:rsidP="0051509E">
      <w:pPr>
        <w:pStyle w:val="EndnoteText"/>
        <w:rPr>
          <w:sz w:val="18"/>
          <w:szCs w:val="18"/>
        </w:rPr>
      </w:pPr>
      <w:r w:rsidRPr="00740FD0">
        <w:rPr>
          <w:rStyle w:val="EndnoteReference"/>
          <w:sz w:val="18"/>
          <w:szCs w:val="18"/>
        </w:rPr>
        <w:endnoteRef/>
      </w:r>
      <w:r w:rsidRPr="00740FD0">
        <w:rPr>
          <w:sz w:val="18"/>
          <w:szCs w:val="18"/>
        </w:rPr>
        <w:t xml:space="preserve"> See for instance US Federal Consumer Financial Protection Bureau, “Registry of Supervised Nonbanks that Use Form Contracts to Impose Terms and Conditions That Seek to Waive or Limit Consumer Legal Protections” (January 11, 2023), online: </w:t>
      </w:r>
      <w:hyperlink r:id="rId360" w:history="1">
        <w:r w:rsidRPr="00740FD0">
          <w:rPr>
            <w:rStyle w:val="Hyperlink"/>
            <w:sz w:val="18"/>
            <w:szCs w:val="18"/>
          </w:rPr>
          <w:t>https://www.consumerfinance.gov/rules-policy/notice-opportunities-comment/open-notices/registry-of-supervised-nonbanks-that-use-form-contracts-to-impose-terms-and-conditions-that-seek-to-waive-or-limit-consumer-legal-protections/</w:t>
        </w:r>
      </w:hyperlink>
      <w:r w:rsidRPr="00740FD0">
        <w:rPr>
          <w:sz w:val="18"/>
          <w:szCs w:val="18"/>
        </w:rPr>
        <w:t xml:space="preserve">. See also State of California Department of Justice, California Consumer Privacy Act (updated May 10, 2023), online: </w:t>
      </w:r>
      <w:hyperlink r:id="rId361" w:history="1">
        <w:r w:rsidRPr="00740FD0">
          <w:rPr>
            <w:rStyle w:val="Hyperlink"/>
            <w:sz w:val="18"/>
            <w:szCs w:val="18"/>
          </w:rPr>
          <w:t>https://www.oag.ca.gov/privacy/ccpa</w:t>
        </w:r>
      </w:hyperlink>
      <w:r w:rsidRPr="00740FD0">
        <w:rPr>
          <w:sz w:val="18"/>
          <w:szCs w:val="18"/>
        </w:rPr>
        <w:t xml:space="preserve">.  </w:t>
      </w:r>
    </w:p>
  </w:endnote>
  <w:endnote w:id="414">
    <w:p w14:paraId="07E7308E" w14:textId="42C8DB19" w:rsidR="0031106D" w:rsidRPr="00740FD0" w:rsidRDefault="0031106D" w:rsidP="0031106D">
      <w:pPr>
        <w:pStyle w:val="EndnoteText"/>
        <w:rPr>
          <w:sz w:val="18"/>
          <w:szCs w:val="18"/>
        </w:rPr>
      </w:pPr>
      <w:r w:rsidRPr="00740FD0">
        <w:rPr>
          <w:rStyle w:val="EndnoteReference"/>
          <w:sz w:val="18"/>
          <w:szCs w:val="18"/>
        </w:rPr>
        <w:endnoteRef/>
      </w:r>
      <w:r w:rsidRPr="00740FD0">
        <w:rPr>
          <w:sz w:val="18"/>
          <w:szCs w:val="18"/>
        </w:rPr>
        <w:t xml:space="preserve"> </w:t>
      </w:r>
      <w:r w:rsidR="00985652" w:rsidRPr="00740FD0">
        <w:rPr>
          <w:sz w:val="18"/>
          <w:szCs w:val="18"/>
        </w:rPr>
        <w:t xml:space="preserve">Organization for Economic Cooperation and Development, </w:t>
      </w:r>
      <w:r w:rsidR="00985652" w:rsidRPr="00740FD0">
        <w:rPr>
          <w:i/>
          <w:iCs/>
          <w:sz w:val="18"/>
          <w:szCs w:val="18"/>
        </w:rPr>
        <w:t>Enhancing Online Disclosure Effectiveness</w:t>
      </w:r>
      <w:r w:rsidR="00985652" w:rsidRPr="00740FD0">
        <w:rPr>
          <w:sz w:val="18"/>
          <w:szCs w:val="18"/>
        </w:rPr>
        <w:t xml:space="preserve"> (October 2022) at </w:t>
      </w:r>
      <w:r w:rsidR="00443A65" w:rsidRPr="00740FD0">
        <w:rPr>
          <w:sz w:val="18"/>
          <w:szCs w:val="18"/>
        </w:rPr>
        <w:t>13</w:t>
      </w:r>
      <w:r w:rsidR="00985652" w:rsidRPr="00740FD0">
        <w:rPr>
          <w:sz w:val="18"/>
          <w:szCs w:val="18"/>
        </w:rPr>
        <w:t xml:space="preserve">, online: </w:t>
      </w:r>
      <w:hyperlink r:id="rId362" w:history="1">
        <w:r w:rsidR="00985652" w:rsidRPr="00740FD0">
          <w:rPr>
            <w:rStyle w:val="Hyperlink"/>
            <w:sz w:val="18"/>
            <w:szCs w:val="18"/>
          </w:rPr>
          <w:t>https://www.oecd.org/publications/enhancing-online-disclosure-effectiveness-6d7ea79c-en.htm</w:t>
        </w:r>
      </w:hyperlink>
    </w:p>
  </w:endnote>
  <w:endnote w:id="415">
    <w:p w14:paraId="7C351D8C" w14:textId="300064CF" w:rsidR="00311D4F" w:rsidRPr="00740FD0" w:rsidRDefault="00311D4F">
      <w:pPr>
        <w:pStyle w:val="EndnoteText"/>
        <w:rPr>
          <w:sz w:val="18"/>
          <w:szCs w:val="18"/>
        </w:rPr>
      </w:pPr>
      <w:r w:rsidRPr="00740FD0">
        <w:rPr>
          <w:rStyle w:val="EndnoteReference"/>
          <w:sz w:val="18"/>
          <w:szCs w:val="18"/>
        </w:rPr>
        <w:endnoteRef/>
      </w:r>
      <w:r w:rsidRPr="00740FD0">
        <w:rPr>
          <w:sz w:val="18"/>
          <w:szCs w:val="18"/>
        </w:rPr>
        <w:t xml:space="preserve"> </w:t>
      </w:r>
      <w:r w:rsidR="00985652" w:rsidRPr="00740FD0">
        <w:rPr>
          <w:sz w:val="18"/>
          <w:szCs w:val="18"/>
        </w:rPr>
        <w:t xml:space="preserve">Organization for Economic Cooperation and Development, </w:t>
      </w:r>
      <w:r w:rsidR="00985652" w:rsidRPr="00740FD0">
        <w:rPr>
          <w:i/>
          <w:iCs/>
          <w:sz w:val="18"/>
          <w:szCs w:val="18"/>
        </w:rPr>
        <w:t>Enhancing Online Disclosure Effectiveness</w:t>
      </w:r>
      <w:r w:rsidR="00985652" w:rsidRPr="00740FD0">
        <w:rPr>
          <w:sz w:val="18"/>
          <w:szCs w:val="18"/>
        </w:rPr>
        <w:t xml:space="preserve"> (October 2022) at 39, online: </w:t>
      </w:r>
      <w:hyperlink r:id="rId363" w:history="1">
        <w:r w:rsidR="00985652" w:rsidRPr="00740FD0">
          <w:rPr>
            <w:rStyle w:val="Hyperlink"/>
            <w:sz w:val="18"/>
            <w:szCs w:val="18"/>
          </w:rPr>
          <w:t>https://www.oecd.org/publications/enhancing-online-disclosure-effectiveness-6d7ea79c-en.htm</w:t>
        </w:r>
      </w:hyperlink>
      <w:r w:rsidRPr="00740FD0">
        <w:rPr>
          <w:sz w:val="18"/>
          <w:szCs w:val="18"/>
        </w:rPr>
        <w:t>.</w:t>
      </w:r>
    </w:p>
  </w:endnote>
  <w:endnote w:id="416">
    <w:p w14:paraId="6B8DE1EE" w14:textId="5CA8D760" w:rsidR="000518CC" w:rsidRPr="00740FD0" w:rsidRDefault="003824A2" w:rsidP="000518CC">
      <w:pPr>
        <w:pStyle w:val="EndnoteText"/>
        <w:rPr>
          <w:sz w:val="18"/>
          <w:szCs w:val="18"/>
        </w:rPr>
      </w:pPr>
      <w:r w:rsidRPr="00740FD0">
        <w:rPr>
          <w:rStyle w:val="EndnoteReference"/>
          <w:sz w:val="18"/>
          <w:szCs w:val="18"/>
        </w:rPr>
        <w:endnoteRef/>
      </w:r>
      <w:r w:rsidRPr="00740FD0">
        <w:rPr>
          <w:sz w:val="18"/>
          <w:szCs w:val="18"/>
        </w:rPr>
        <w:t xml:space="preserve"> </w:t>
      </w:r>
      <w:r w:rsidR="007B369D" w:rsidRPr="00740FD0">
        <w:rPr>
          <w:sz w:val="18"/>
          <w:szCs w:val="18"/>
        </w:rPr>
        <w:t>Several academic</w:t>
      </w:r>
      <w:r w:rsidR="000518CC" w:rsidRPr="00740FD0">
        <w:rPr>
          <w:sz w:val="18"/>
          <w:szCs w:val="18"/>
        </w:rPr>
        <w:t xml:space="preserve"> and industry</w:t>
      </w:r>
      <w:r w:rsidR="007B369D" w:rsidRPr="00740FD0">
        <w:rPr>
          <w:sz w:val="18"/>
          <w:szCs w:val="18"/>
        </w:rPr>
        <w:t xml:space="preserve"> examples include:</w:t>
      </w:r>
      <w:r w:rsidR="000518CC" w:rsidRPr="00740FD0">
        <w:rPr>
          <w:sz w:val="18"/>
          <w:szCs w:val="18"/>
        </w:rPr>
        <w:t xml:space="preserve"> K. Damon </w:t>
      </w:r>
      <w:r w:rsidR="000518CC" w:rsidRPr="00740FD0">
        <w:rPr>
          <w:sz w:val="18"/>
          <w:szCs w:val="18"/>
        </w:rPr>
        <w:t xml:space="preserve">Aiken , </w:t>
      </w:r>
      <w:r w:rsidR="000518CC" w:rsidRPr="00740FD0">
        <w:rPr>
          <w:sz w:val="18"/>
          <w:szCs w:val="18"/>
        </w:rPr>
        <w:t>Sohyoun Shin &amp; Vincent Pascal, “An International</w:t>
      </w:r>
    </w:p>
    <w:p w14:paraId="416286D1" w14:textId="38F5D12C" w:rsidR="000518CC" w:rsidRPr="00740FD0" w:rsidRDefault="000518CC" w:rsidP="000518CC">
      <w:pPr>
        <w:pStyle w:val="EndnoteText"/>
        <w:rPr>
          <w:sz w:val="18"/>
          <w:szCs w:val="18"/>
        </w:rPr>
      </w:pPr>
      <w:r w:rsidRPr="00740FD0">
        <w:rPr>
          <w:sz w:val="18"/>
          <w:szCs w:val="18"/>
        </w:rPr>
        <w:t xml:space="preserve">Investigation of Source Influence Effects of Internet Trustmarks” (2014 Journal of Internet Commerce 13:2, 89-115), online: </w:t>
      </w:r>
    </w:p>
    <w:p w14:paraId="6417D98F" w14:textId="40281A23" w:rsidR="003824A2" w:rsidRPr="00740FD0" w:rsidRDefault="00000000" w:rsidP="000518CC">
      <w:pPr>
        <w:pStyle w:val="EndnoteText"/>
        <w:rPr>
          <w:sz w:val="18"/>
          <w:szCs w:val="18"/>
        </w:rPr>
      </w:pPr>
      <w:hyperlink r:id="rId364" w:history="1">
        <w:r w:rsidR="000518CC" w:rsidRPr="00740FD0">
          <w:rPr>
            <w:rStyle w:val="Hyperlink"/>
            <w:sz w:val="18"/>
            <w:szCs w:val="18"/>
          </w:rPr>
          <w:t>https://doi.org/10.1080/15332861.2014.934646</w:t>
        </w:r>
      </w:hyperlink>
      <w:r w:rsidR="000518CC" w:rsidRPr="00740FD0">
        <w:rPr>
          <w:sz w:val="18"/>
          <w:szCs w:val="18"/>
        </w:rPr>
        <w:t xml:space="preserve">; Georg von Wangenheim, “Certification as Solution to the Asymmetric Information Problem?” in Rott, P. (eds) </w:t>
      </w:r>
      <w:r w:rsidR="000518CC" w:rsidRPr="00740FD0">
        <w:rPr>
          <w:i/>
          <w:iCs/>
          <w:sz w:val="18"/>
          <w:szCs w:val="18"/>
        </w:rPr>
        <w:t>Certification – Trust, Accountability, Liability. Studies in European Economic Law and Regulation</w:t>
      </w:r>
      <w:r w:rsidR="000518CC" w:rsidRPr="00740FD0">
        <w:rPr>
          <w:sz w:val="18"/>
          <w:szCs w:val="18"/>
        </w:rPr>
        <w:t xml:space="preserve"> (volume 16, March 2019), online: </w:t>
      </w:r>
      <w:hyperlink r:id="rId365" w:history="1">
        <w:r w:rsidR="000518CC" w:rsidRPr="00740FD0">
          <w:rPr>
            <w:rStyle w:val="Hyperlink"/>
            <w:sz w:val="18"/>
            <w:szCs w:val="18"/>
          </w:rPr>
          <w:t>https://link.springer.com/chapter/10.1007/978-3-030-02499-4_2</w:t>
        </w:r>
      </w:hyperlink>
      <w:r w:rsidR="000518CC" w:rsidRPr="00740FD0">
        <w:rPr>
          <w:sz w:val="18"/>
          <w:szCs w:val="18"/>
        </w:rPr>
        <w:t xml:space="preserve">; Jeffrey Belson, “Certification marks, guarantees and trust” (E.I.P.R. 2002, 24(7), 340-352); and Mozilla, </w:t>
      </w:r>
      <w:r w:rsidR="000518CC" w:rsidRPr="00740FD0">
        <w:rPr>
          <w:i/>
          <w:iCs/>
          <w:sz w:val="18"/>
          <w:szCs w:val="18"/>
        </w:rPr>
        <w:t>A Trustmark for IoT: Building consumer trust in the Internet of Things by empowering users to make smarter choices</w:t>
      </w:r>
      <w:r w:rsidR="000518CC" w:rsidRPr="00740FD0">
        <w:rPr>
          <w:sz w:val="18"/>
          <w:szCs w:val="18"/>
        </w:rPr>
        <w:t xml:space="preserve"> (2017), online: </w:t>
      </w:r>
      <w:hyperlink r:id="rId366" w:history="1">
        <w:r w:rsidR="000518CC" w:rsidRPr="00740FD0">
          <w:rPr>
            <w:rStyle w:val="Hyperlink"/>
            <w:sz w:val="18"/>
            <w:szCs w:val="18"/>
          </w:rPr>
          <w:t>https://thingscon.org/publications/report-a-trustmark-for-iot/</w:t>
        </w:r>
      </w:hyperlink>
      <w:r w:rsidR="000518CC" w:rsidRPr="00740FD0">
        <w:rPr>
          <w:sz w:val="18"/>
          <w:szCs w:val="18"/>
        </w:rPr>
        <w:t xml:space="preserve">; </w:t>
      </w:r>
    </w:p>
  </w:endnote>
  <w:endnote w:id="417">
    <w:p w14:paraId="4164B07A" w14:textId="3074EB80" w:rsidR="00311D4F" w:rsidRPr="00740FD0" w:rsidRDefault="00311D4F">
      <w:pPr>
        <w:pStyle w:val="EndnoteText"/>
        <w:rPr>
          <w:sz w:val="18"/>
          <w:szCs w:val="18"/>
        </w:rPr>
      </w:pPr>
      <w:r w:rsidRPr="00740FD0">
        <w:rPr>
          <w:rStyle w:val="EndnoteReference"/>
          <w:sz w:val="18"/>
          <w:szCs w:val="18"/>
        </w:rPr>
        <w:endnoteRef/>
      </w:r>
      <w:r w:rsidRPr="00740FD0">
        <w:rPr>
          <w:sz w:val="18"/>
          <w:szCs w:val="18"/>
        </w:rPr>
        <w:t xml:space="preserve"> </w:t>
      </w:r>
      <w:r w:rsidR="00985652" w:rsidRPr="00740FD0">
        <w:rPr>
          <w:sz w:val="18"/>
          <w:szCs w:val="18"/>
        </w:rPr>
        <w:t xml:space="preserve">Organization for Economic Cooperation and Development, </w:t>
      </w:r>
      <w:r w:rsidR="00985652" w:rsidRPr="00740FD0">
        <w:rPr>
          <w:i/>
          <w:iCs/>
          <w:sz w:val="18"/>
          <w:szCs w:val="18"/>
        </w:rPr>
        <w:t>Enhancing Online Disclosure Effectiveness</w:t>
      </w:r>
      <w:r w:rsidR="00985652" w:rsidRPr="00740FD0">
        <w:rPr>
          <w:sz w:val="18"/>
          <w:szCs w:val="18"/>
        </w:rPr>
        <w:t xml:space="preserve"> (October 2022) at 39, online: </w:t>
      </w:r>
      <w:hyperlink r:id="rId367" w:history="1">
        <w:r w:rsidR="00985652" w:rsidRPr="00740FD0">
          <w:rPr>
            <w:rStyle w:val="Hyperlink"/>
            <w:sz w:val="18"/>
            <w:szCs w:val="18"/>
          </w:rPr>
          <w:t>https://www.oecd.org/publications/enhancing-online-disclosure-effectiveness-6d7ea79c-en.htm</w:t>
        </w:r>
      </w:hyperlink>
      <w:r w:rsidRPr="00740FD0">
        <w:rPr>
          <w:sz w:val="18"/>
          <w:szCs w:val="18"/>
        </w:rPr>
        <w:t>.</w:t>
      </w:r>
    </w:p>
  </w:endnote>
  <w:endnote w:id="418">
    <w:p w14:paraId="7CF2AB60" w14:textId="17C09453" w:rsidR="007B369D" w:rsidRPr="00740FD0" w:rsidRDefault="007B369D">
      <w:pPr>
        <w:pStyle w:val="EndnoteText"/>
        <w:rPr>
          <w:sz w:val="18"/>
          <w:szCs w:val="18"/>
        </w:rPr>
      </w:pPr>
      <w:r w:rsidRPr="00740FD0">
        <w:rPr>
          <w:rStyle w:val="EndnoteReference"/>
          <w:sz w:val="18"/>
          <w:szCs w:val="18"/>
        </w:rPr>
        <w:endnoteRef/>
      </w:r>
      <w:r w:rsidRPr="00740FD0">
        <w:rPr>
          <w:sz w:val="18"/>
          <w:szCs w:val="18"/>
        </w:rPr>
        <w:t xml:space="preserve"> See </w:t>
      </w:r>
      <w:r w:rsidRPr="00740FD0">
        <w:rPr>
          <w:sz w:val="18"/>
          <w:szCs w:val="18"/>
        </w:rPr>
        <w:t xml:space="preserve">AdStandards Canada, “Advertising Preclearance”, online: </w:t>
      </w:r>
      <w:hyperlink r:id="rId368" w:history="1">
        <w:r w:rsidRPr="00740FD0">
          <w:rPr>
            <w:rStyle w:val="Hyperlink"/>
            <w:sz w:val="18"/>
            <w:szCs w:val="18"/>
          </w:rPr>
          <w:t>https://adstandards.ca/preclearance/</w:t>
        </w:r>
      </w:hyperlink>
      <w:r w:rsidRPr="00740FD0">
        <w:rPr>
          <w:sz w:val="18"/>
          <w:szCs w:val="18"/>
        </w:rPr>
        <w:t xml:space="preserve">. </w:t>
      </w:r>
    </w:p>
  </w:endnote>
  <w:endnote w:id="419">
    <w:p w14:paraId="0349B551" w14:textId="75C3B0CD" w:rsidR="00311D4F" w:rsidRPr="00740FD0" w:rsidRDefault="00311D4F">
      <w:pPr>
        <w:pStyle w:val="EndnoteText"/>
        <w:rPr>
          <w:sz w:val="18"/>
          <w:szCs w:val="18"/>
        </w:rPr>
      </w:pPr>
      <w:r w:rsidRPr="00740FD0">
        <w:rPr>
          <w:rStyle w:val="EndnoteReference"/>
          <w:sz w:val="18"/>
          <w:szCs w:val="18"/>
        </w:rPr>
        <w:endnoteRef/>
      </w:r>
      <w:r w:rsidRPr="00740FD0">
        <w:rPr>
          <w:sz w:val="18"/>
          <w:szCs w:val="18"/>
        </w:rPr>
        <w:t xml:space="preserve"> </w:t>
      </w:r>
      <w:r w:rsidR="00985652" w:rsidRPr="00740FD0">
        <w:rPr>
          <w:sz w:val="18"/>
          <w:szCs w:val="18"/>
        </w:rPr>
        <w:t xml:space="preserve">Organization for Economic Cooperation and Development, </w:t>
      </w:r>
      <w:r w:rsidR="00985652" w:rsidRPr="00740FD0">
        <w:rPr>
          <w:i/>
          <w:iCs/>
          <w:sz w:val="18"/>
          <w:szCs w:val="18"/>
        </w:rPr>
        <w:t>Enhancing Online Disclosure Effectiveness</w:t>
      </w:r>
      <w:r w:rsidR="00985652" w:rsidRPr="00740FD0">
        <w:rPr>
          <w:sz w:val="18"/>
          <w:szCs w:val="18"/>
        </w:rPr>
        <w:t xml:space="preserve"> (October 2022) at 39, online: </w:t>
      </w:r>
      <w:hyperlink r:id="rId369" w:history="1">
        <w:r w:rsidR="00985652" w:rsidRPr="00740FD0">
          <w:rPr>
            <w:rStyle w:val="Hyperlink"/>
            <w:sz w:val="18"/>
            <w:szCs w:val="18"/>
          </w:rPr>
          <w:t>https://www.oecd.org/publications/enhancing-online-disclosure-effectiveness-6d7ea79c-en.htm</w:t>
        </w:r>
      </w:hyperlink>
      <w:r w:rsidRPr="00740FD0">
        <w:rPr>
          <w:sz w:val="18"/>
          <w:szCs w:val="18"/>
        </w:rPr>
        <w:t>.</w:t>
      </w:r>
    </w:p>
  </w:endnote>
  <w:endnote w:id="420">
    <w:p w14:paraId="5793C2C9" w14:textId="11B7AA45" w:rsidR="00311D4F" w:rsidRPr="00740FD0" w:rsidRDefault="00311D4F">
      <w:pPr>
        <w:pStyle w:val="EndnoteText"/>
        <w:rPr>
          <w:sz w:val="18"/>
          <w:szCs w:val="18"/>
        </w:rPr>
      </w:pPr>
      <w:r w:rsidRPr="00740FD0">
        <w:rPr>
          <w:rStyle w:val="EndnoteReference"/>
          <w:sz w:val="18"/>
          <w:szCs w:val="18"/>
        </w:rPr>
        <w:endnoteRef/>
      </w:r>
      <w:r w:rsidRPr="00740FD0">
        <w:rPr>
          <w:sz w:val="18"/>
          <w:szCs w:val="18"/>
        </w:rPr>
        <w:t xml:space="preserve"> </w:t>
      </w:r>
      <w:r w:rsidR="00985652" w:rsidRPr="00740FD0">
        <w:rPr>
          <w:sz w:val="18"/>
          <w:szCs w:val="18"/>
        </w:rPr>
        <w:t xml:space="preserve">Organization for Economic Cooperation and Development, </w:t>
      </w:r>
      <w:r w:rsidR="00985652" w:rsidRPr="00740FD0">
        <w:rPr>
          <w:i/>
          <w:iCs/>
          <w:sz w:val="18"/>
          <w:szCs w:val="18"/>
        </w:rPr>
        <w:t>Enhancing Online Disclosure Effectiveness</w:t>
      </w:r>
      <w:r w:rsidR="00985652" w:rsidRPr="00740FD0">
        <w:rPr>
          <w:sz w:val="18"/>
          <w:szCs w:val="18"/>
        </w:rPr>
        <w:t xml:space="preserve"> (October 2022) at 40, online: </w:t>
      </w:r>
      <w:hyperlink r:id="rId370" w:history="1">
        <w:r w:rsidR="00985652" w:rsidRPr="00740FD0">
          <w:rPr>
            <w:rStyle w:val="Hyperlink"/>
            <w:sz w:val="18"/>
            <w:szCs w:val="18"/>
          </w:rPr>
          <w:t>https://www.oecd.org/publications/enhancing-online-disclosure-effectiveness-6d7ea79c-en.htm</w:t>
        </w:r>
      </w:hyperlink>
      <w:r w:rsidRPr="00740FD0">
        <w:rPr>
          <w:sz w:val="18"/>
          <w:szCs w:val="18"/>
        </w:rPr>
        <w:t>.</w:t>
      </w:r>
    </w:p>
  </w:endnote>
  <w:endnote w:id="421">
    <w:p w14:paraId="4B0745FA" w14:textId="6B253E26" w:rsidR="001E7224" w:rsidRPr="00740FD0" w:rsidRDefault="001E7224">
      <w:pPr>
        <w:pStyle w:val="EndnoteText"/>
        <w:rPr>
          <w:sz w:val="18"/>
          <w:szCs w:val="18"/>
        </w:rPr>
      </w:pPr>
      <w:r w:rsidRPr="00740FD0">
        <w:rPr>
          <w:rStyle w:val="EndnoteReference"/>
          <w:sz w:val="18"/>
          <w:szCs w:val="18"/>
        </w:rPr>
        <w:endnoteRef/>
      </w:r>
      <w:r w:rsidRPr="00740FD0">
        <w:rPr>
          <w:sz w:val="18"/>
          <w:szCs w:val="18"/>
        </w:rPr>
        <w:t xml:space="preserve"> </w:t>
      </w:r>
      <w:r w:rsidR="00481407" w:rsidRPr="00740FD0">
        <w:rPr>
          <w:sz w:val="18"/>
          <w:szCs w:val="18"/>
        </w:rPr>
        <w:t>Communication to the LCO from leading consumer protection law academic (May 16, 2023), notes on file with the LCO.</w:t>
      </w:r>
    </w:p>
  </w:endnote>
  <w:endnote w:id="422">
    <w:p w14:paraId="05104B77" w14:textId="1F80C074" w:rsidR="001E7224" w:rsidRPr="00740FD0" w:rsidRDefault="001E7224">
      <w:pPr>
        <w:pStyle w:val="EndnoteText"/>
        <w:rPr>
          <w:sz w:val="18"/>
          <w:szCs w:val="18"/>
        </w:rPr>
      </w:pPr>
      <w:r w:rsidRPr="00740FD0">
        <w:rPr>
          <w:rStyle w:val="EndnoteReference"/>
          <w:sz w:val="18"/>
          <w:szCs w:val="18"/>
        </w:rPr>
        <w:endnoteRef/>
      </w:r>
      <w:r w:rsidRPr="00740FD0">
        <w:rPr>
          <w:sz w:val="18"/>
          <w:szCs w:val="18"/>
        </w:rPr>
        <w:t xml:space="preserve"> </w:t>
      </w:r>
      <w:r w:rsidR="00481407" w:rsidRPr="00740FD0">
        <w:rPr>
          <w:sz w:val="18"/>
          <w:szCs w:val="18"/>
        </w:rPr>
        <w:t xml:space="preserve">The leading case in this context is </w:t>
      </w:r>
      <w:r w:rsidR="00481407" w:rsidRPr="00740FD0">
        <w:rPr>
          <w:i/>
          <w:iCs/>
          <w:sz w:val="18"/>
          <w:szCs w:val="18"/>
        </w:rPr>
        <w:t xml:space="preserve">Monsanto Canada Inc. v. </w:t>
      </w:r>
      <w:r w:rsidR="00481407" w:rsidRPr="00740FD0">
        <w:rPr>
          <w:i/>
          <w:iCs/>
          <w:sz w:val="18"/>
          <w:szCs w:val="18"/>
        </w:rPr>
        <w:t>Schmeiser</w:t>
      </w:r>
      <w:r w:rsidR="00481407" w:rsidRPr="00740FD0">
        <w:rPr>
          <w:sz w:val="18"/>
          <w:szCs w:val="18"/>
        </w:rPr>
        <w:t xml:space="preserve"> (2004 SCC 34), online: </w:t>
      </w:r>
      <w:hyperlink r:id="rId371" w:history="1">
        <w:r w:rsidR="00481407" w:rsidRPr="00740FD0">
          <w:rPr>
            <w:rStyle w:val="Hyperlink"/>
            <w:sz w:val="18"/>
            <w:szCs w:val="18"/>
          </w:rPr>
          <w:t>https://www.canlii.org/en/ca/scc/doc/2004/2004scc34/2004scc34.html</w:t>
        </w:r>
      </w:hyperlink>
      <w:r w:rsidR="00481407" w:rsidRPr="00740FD0">
        <w:rPr>
          <w:sz w:val="18"/>
          <w:szCs w:val="18"/>
        </w:rPr>
        <w:t xml:space="preserve">. The Supreme Court of Canda further clarified the test for accounting of profits in </w:t>
      </w:r>
      <w:r w:rsidR="00481407" w:rsidRPr="00740FD0">
        <w:rPr>
          <w:i/>
          <w:iCs/>
          <w:sz w:val="18"/>
          <w:szCs w:val="18"/>
        </w:rPr>
        <w:t>Nova Chemicals Corp. v. Dow Chemical Co.</w:t>
      </w:r>
      <w:r w:rsidR="00481407" w:rsidRPr="00740FD0">
        <w:rPr>
          <w:sz w:val="18"/>
          <w:szCs w:val="18"/>
        </w:rPr>
        <w:t xml:space="preserve"> (2022 SCC 43), online: </w:t>
      </w:r>
      <w:hyperlink r:id="rId372" w:history="1">
        <w:r w:rsidR="00481407" w:rsidRPr="00740FD0">
          <w:rPr>
            <w:rStyle w:val="Hyperlink"/>
            <w:sz w:val="18"/>
            <w:szCs w:val="18"/>
          </w:rPr>
          <w:t>https://www.canlii.org/en/ca/scc/doc/2022/2022scc43/2022scc43.html</w:t>
        </w:r>
      </w:hyperlink>
      <w:r w:rsidR="00481407" w:rsidRPr="00740FD0">
        <w:rPr>
          <w:sz w:val="18"/>
          <w:szCs w:val="18"/>
        </w:rPr>
        <w:t xml:space="preserve">, writing at paras 47-48 that “Deterrence flows from disgorgement. The incentive to infringe is minimized if an infringer </w:t>
      </w:r>
      <w:r w:rsidR="00481407" w:rsidRPr="00740FD0">
        <w:rPr>
          <w:sz w:val="18"/>
          <w:szCs w:val="18"/>
        </w:rPr>
        <w:t>has to disgorge all profits causally attributable to the invention… An accounting of profits, alongside these other remedial tools, protects the patent bargain… An infringer can be liable for patent infringement even if they had no knowledge of the patent or genuinely believed that the patent was invalid… This requires disgorging only the profits causally attributable to the invention. Requiring infringers to disgorge anything more would constitute punishment and risk chilling public innovation and competition.”</w:t>
      </w:r>
    </w:p>
  </w:endnote>
  <w:endnote w:id="423">
    <w:p w14:paraId="73DC6B7F" w14:textId="05760FDF" w:rsidR="001E7224" w:rsidRPr="00740FD0" w:rsidRDefault="001E7224" w:rsidP="00481407">
      <w:pPr>
        <w:pStyle w:val="EndnoteText"/>
        <w:rPr>
          <w:sz w:val="18"/>
          <w:szCs w:val="18"/>
        </w:rPr>
      </w:pPr>
      <w:r w:rsidRPr="00740FD0">
        <w:rPr>
          <w:rStyle w:val="EndnoteReference"/>
          <w:sz w:val="18"/>
          <w:szCs w:val="18"/>
        </w:rPr>
        <w:endnoteRef/>
      </w:r>
      <w:r w:rsidRPr="00740FD0">
        <w:rPr>
          <w:sz w:val="18"/>
          <w:szCs w:val="18"/>
        </w:rPr>
        <w:t xml:space="preserve"> </w:t>
      </w:r>
      <w:r w:rsidR="00481407" w:rsidRPr="00740FD0">
        <w:rPr>
          <w:sz w:val="18"/>
          <w:szCs w:val="18"/>
        </w:rPr>
        <w:t xml:space="preserve">American legal scholars of the “law and economics” school of thought have written extensively on disgorgement </w:t>
      </w:r>
      <w:r w:rsidR="00481407" w:rsidRPr="00740FD0">
        <w:rPr>
          <w:sz w:val="18"/>
          <w:szCs w:val="18"/>
        </w:rPr>
        <w:t xml:space="preserve">as a means to facilitate “efficient breach” of unfair contracts. As Richard RW Brooks writes in “The Efficient Performance Hypothesis” (116 Yale Law Journal 568 (2006)) disgorgement allows a </w:t>
      </w:r>
      <w:r w:rsidR="00481407" w:rsidRPr="00740FD0">
        <w:rPr>
          <w:sz w:val="18"/>
          <w:szCs w:val="18"/>
        </w:rPr>
        <w:t>promisee (consumer) an optional right to weigh the value of contract performance against the option to “compel performance and capture all or some of the profits when non-performance [i.e. disgorgement damages] is elected” (at 573). The key to this approach is using disgorgement as a form of damages (rather than a cause of action) to the effect of “situating the promisee to weigh the marginal costs and benefits of performance… and disgorgement of the promisor’s cost as the remedy for breach” (at 573). In other words, the consumer can weigh the various factors at play in the contract – such as the value of the service to the consumer against the way the supplier monetizes the user – and decide if the apparent infringement by supplier is a fair bargain or imbalanced (thus triggering potential disgorgement damages). See also E. Allan Farnsworth, “Your Loss or My Gain? The Dilemma of the Disgorgement Principle in Breach of Contract” (94 Yale Law Journal 1339 (1985)), arguing that the disgorgement principle should be extended to cover certain cases of breach of contract; and Richard RW Brooks, Alexander Stremitzer, and Stephan Tontrup. “Stretch it but don’t break it: The hidden cost of contract framing” (46.2 The Journal of Legal Studies 399 (2017)).</w:t>
      </w:r>
    </w:p>
  </w:endnote>
  <w:endnote w:id="424">
    <w:p w14:paraId="22FB4495" w14:textId="41D72079" w:rsidR="001E7224" w:rsidRPr="00740FD0" w:rsidRDefault="001E7224">
      <w:pPr>
        <w:pStyle w:val="EndnoteText"/>
        <w:rPr>
          <w:sz w:val="18"/>
          <w:szCs w:val="18"/>
        </w:rPr>
      </w:pPr>
      <w:r w:rsidRPr="00740FD0">
        <w:rPr>
          <w:rStyle w:val="EndnoteReference"/>
          <w:sz w:val="18"/>
          <w:szCs w:val="18"/>
        </w:rPr>
        <w:endnoteRef/>
      </w:r>
      <w:r w:rsidRPr="00740FD0">
        <w:rPr>
          <w:sz w:val="18"/>
          <w:szCs w:val="18"/>
        </w:rPr>
        <w:t xml:space="preserve"> See for instance, “The Supreme Court Rules That Disgorgement Is Not an Available Remedy Under the FTC Act – What Comes Next?” (April 26, 2021), online: </w:t>
      </w:r>
      <w:hyperlink r:id="rId373" w:history="1">
        <w:r w:rsidRPr="00740FD0">
          <w:rPr>
            <w:rStyle w:val="Hyperlink"/>
            <w:sz w:val="18"/>
            <w:szCs w:val="18"/>
          </w:rPr>
          <w:t>https://www.commerciallitigationupdate.com/2021/04/26/the-supreme-court-rules-that-disgorgement-is-not-an-available-remedy-under-the-ftc-act-what-comes-next/</w:t>
        </w:r>
      </w:hyperlink>
      <w:r w:rsidRPr="00740FD0">
        <w:rPr>
          <w:sz w:val="18"/>
          <w:szCs w:val="18"/>
        </w:rPr>
        <w:t xml:space="preserve">. </w:t>
      </w:r>
    </w:p>
  </w:endnote>
  <w:endnote w:id="425">
    <w:p w14:paraId="6B22945F" w14:textId="77777777" w:rsidR="001E7224" w:rsidRPr="00740FD0" w:rsidRDefault="001E7224" w:rsidP="001E7224">
      <w:pPr>
        <w:pStyle w:val="EndnoteText"/>
        <w:rPr>
          <w:sz w:val="18"/>
          <w:szCs w:val="18"/>
        </w:rPr>
      </w:pPr>
      <w:r w:rsidRPr="00740FD0">
        <w:rPr>
          <w:rStyle w:val="EndnoteReference"/>
          <w:sz w:val="18"/>
          <w:szCs w:val="18"/>
        </w:rPr>
        <w:endnoteRef/>
      </w:r>
      <w:r w:rsidRPr="00740FD0">
        <w:rPr>
          <w:sz w:val="18"/>
          <w:szCs w:val="18"/>
        </w:rPr>
        <w:t xml:space="preserve"> See for instance, “The Supreme Court Rules That Disgorgement Is Not an Available Remedy Under the FTC Act – What Comes Next?” (April 26, 2021), online: </w:t>
      </w:r>
      <w:hyperlink r:id="rId374" w:history="1">
        <w:r w:rsidRPr="00740FD0">
          <w:rPr>
            <w:rStyle w:val="Hyperlink"/>
            <w:sz w:val="18"/>
            <w:szCs w:val="18"/>
          </w:rPr>
          <w:t>https://www.commerciallitigationupdate.com/2021/04/26/the-supreme-court-rules-that-disgorgement-is-not-an-available-remedy-under-the-ftc-act-what-comes-next/</w:t>
        </w:r>
      </w:hyperlink>
      <w:r w:rsidRPr="00740FD0">
        <w:rPr>
          <w:sz w:val="18"/>
          <w:szCs w:val="18"/>
        </w:rPr>
        <w:t xml:space="preserve">. </w:t>
      </w:r>
    </w:p>
  </w:endnote>
  <w:endnote w:id="426">
    <w:p w14:paraId="7F924B6E" w14:textId="0B3C9106" w:rsidR="0023699A" w:rsidRPr="00740FD0" w:rsidRDefault="0023699A">
      <w:pPr>
        <w:pStyle w:val="EndnoteText"/>
        <w:rPr>
          <w:sz w:val="18"/>
          <w:szCs w:val="18"/>
        </w:rPr>
      </w:pPr>
      <w:r w:rsidRPr="00740FD0">
        <w:rPr>
          <w:rStyle w:val="EndnoteReference"/>
          <w:sz w:val="18"/>
          <w:szCs w:val="18"/>
        </w:rPr>
        <w:endnoteRef/>
      </w:r>
      <w:r w:rsidRPr="00740FD0">
        <w:rPr>
          <w:sz w:val="18"/>
          <w:szCs w:val="18"/>
        </w:rPr>
        <w:t xml:space="preserve"> Note that the proposed CPPA may amend this, but regardless, the </w:t>
      </w:r>
      <w:r w:rsidR="00C91A47" w:rsidRPr="00740FD0">
        <w:rPr>
          <w:sz w:val="18"/>
          <w:szCs w:val="18"/>
        </w:rPr>
        <w:t>issue is unresolved specifically in the consumer contracting context.</w:t>
      </w:r>
    </w:p>
  </w:endnote>
  <w:endnote w:id="427">
    <w:p w14:paraId="07876D9C" w14:textId="3E87665B" w:rsidR="00B47954" w:rsidRPr="00740FD0" w:rsidRDefault="00B47954">
      <w:pPr>
        <w:pStyle w:val="EndnoteText"/>
        <w:rPr>
          <w:sz w:val="18"/>
          <w:szCs w:val="18"/>
        </w:rPr>
      </w:pPr>
      <w:r w:rsidRPr="00740FD0">
        <w:rPr>
          <w:rStyle w:val="EndnoteReference"/>
          <w:sz w:val="18"/>
          <w:szCs w:val="18"/>
        </w:rPr>
        <w:endnoteRef/>
      </w:r>
      <w:r w:rsidRPr="00740FD0">
        <w:rPr>
          <w:sz w:val="18"/>
          <w:szCs w:val="18"/>
        </w:rPr>
        <w:t xml:space="preserve">  2020 SCC 19</w:t>
      </w:r>
      <w:r w:rsidR="00DE75CF" w:rsidRPr="00740FD0">
        <w:rPr>
          <w:sz w:val="18"/>
          <w:szCs w:val="18"/>
        </w:rPr>
        <w:t xml:space="preserve">, online: </w:t>
      </w:r>
      <w:hyperlink r:id="rId375" w:history="1">
        <w:r w:rsidR="00DE75CF" w:rsidRPr="00740FD0">
          <w:rPr>
            <w:rStyle w:val="Hyperlink"/>
            <w:sz w:val="18"/>
            <w:szCs w:val="18"/>
          </w:rPr>
          <w:t>https://www.canlii.org/en/ca/scc/doc/2020/2020scc19/2020scc19.html</w:t>
        </w:r>
      </w:hyperlink>
      <w:r w:rsidR="00DE75CF" w:rsidRPr="00740FD0">
        <w:rPr>
          <w:sz w:val="18"/>
          <w:szCs w:val="18"/>
        </w:rPr>
        <w:t xml:space="preserve">. </w:t>
      </w:r>
    </w:p>
  </w:endnote>
  <w:endnote w:id="428">
    <w:p w14:paraId="42A517F1" w14:textId="5FA41202" w:rsidR="00B47954" w:rsidRPr="00740FD0" w:rsidRDefault="00B47954" w:rsidP="00B47954">
      <w:pPr>
        <w:pStyle w:val="EndnoteText"/>
        <w:rPr>
          <w:sz w:val="18"/>
          <w:szCs w:val="18"/>
        </w:rPr>
      </w:pPr>
      <w:r w:rsidRPr="00740FD0">
        <w:rPr>
          <w:rStyle w:val="EndnoteReference"/>
          <w:sz w:val="18"/>
          <w:szCs w:val="18"/>
        </w:rPr>
        <w:endnoteRef/>
      </w:r>
      <w:r w:rsidRPr="00740FD0">
        <w:rPr>
          <w:sz w:val="18"/>
          <w:szCs w:val="18"/>
        </w:rPr>
        <w:t xml:space="preserve"> See Steven F. </w:t>
      </w:r>
      <w:r w:rsidRPr="00740FD0">
        <w:rPr>
          <w:sz w:val="18"/>
          <w:szCs w:val="18"/>
        </w:rPr>
        <w:t xml:space="preserve">Rosenhek, Robin P. Roddey, and Nicholas Carmichael, “The Supreme Court Tightens The Rules For Disgorgement Or Gain-Based Remedies” (August 5, 2020), online: </w:t>
      </w:r>
      <w:hyperlink r:id="rId376" w:history="1">
        <w:r w:rsidRPr="00740FD0">
          <w:rPr>
            <w:rStyle w:val="Hyperlink"/>
            <w:sz w:val="18"/>
            <w:szCs w:val="18"/>
          </w:rPr>
          <w:t>https://www.fasken.com/en/knowledge/2020/08/5-supreme-court-tightens-rules-for-disgorgement-or-gain-based-remedies</w:t>
        </w:r>
      </w:hyperlink>
      <w:r w:rsidRPr="00740FD0">
        <w:rPr>
          <w:sz w:val="18"/>
          <w:szCs w:val="18"/>
        </w:rPr>
        <w:t xml:space="preserve">. </w:t>
      </w:r>
    </w:p>
  </w:endnote>
  <w:endnote w:id="429">
    <w:p w14:paraId="03529479" w14:textId="2CF42624" w:rsidR="00B42D44" w:rsidRPr="00740FD0" w:rsidRDefault="00B42D44">
      <w:pPr>
        <w:pStyle w:val="EndnoteText"/>
        <w:rPr>
          <w:sz w:val="18"/>
          <w:szCs w:val="18"/>
        </w:rPr>
      </w:pPr>
      <w:r w:rsidRPr="00740FD0">
        <w:rPr>
          <w:rStyle w:val="EndnoteReference"/>
          <w:sz w:val="18"/>
          <w:szCs w:val="18"/>
        </w:rPr>
        <w:endnoteRef/>
      </w:r>
      <w:r w:rsidRPr="00740FD0">
        <w:rPr>
          <w:sz w:val="18"/>
          <w:szCs w:val="18"/>
        </w:rPr>
        <w:t xml:space="preserve"> Steven F. </w:t>
      </w:r>
      <w:r w:rsidRPr="00740FD0">
        <w:rPr>
          <w:sz w:val="18"/>
          <w:szCs w:val="18"/>
        </w:rPr>
        <w:t xml:space="preserve">Rosenhek, Robin P. Roddey, and Nicholas Carmichael, “The Supreme Court Tightens The Rules For Disgorgement Or Gain-Based Remedies” (August 5, 2020), online: </w:t>
      </w:r>
      <w:hyperlink r:id="rId377" w:history="1">
        <w:r w:rsidRPr="00740FD0">
          <w:rPr>
            <w:rStyle w:val="Hyperlink"/>
            <w:sz w:val="18"/>
            <w:szCs w:val="18"/>
          </w:rPr>
          <w:t>https://www.fasken.com/en/knowledge/2020/08/5-supreme-court-tightens-rules-for-disgorgement-or-gain-based-remedies</w:t>
        </w:r>
      </w:hyperlink>
      <w:r w:rsidRPr="00740FD0">
        <w:rPr>
          <w:sz w:val="18"/>
          <w:szCs w:val="18"/>
        </w:rPr>
        <w:t>.</w:t>
      </w:r>
    </w:p>
  </w:endnote>
  <w:endnote w:id="430">
    <w:p w14:paraId="318E93A8" w14:textId="6D9D70BE" w:rsidR="00A76153" w:rsidRPr="00740FD0" w:rsidRDefault="00A76153" w:rsidP="00A76153">
      <w:pPr>
        <w:pStyle w:val="EndnoteText"/>
        <w:rPr>
          <w:sz w:val="18"/>
          <w:szCs w:val="18"/>
        </w:rPr>
      </w:pPr>
      <w:r w:rsidRPr="00740FD0">
        <w:rPr>
          <w:rStyle w:val="EndnoteReference"/>
          <w:sz w:val="18"/>
          <w:szCs w:val="18"/>
        </w:rPr>
        <w:endnoteRef/>
      </w:r>
      <w:r w:rsidRPr="00740FD0">
        <w:rPr>
          <w:sz w:val="18"/>
          <w:szCs w:val="18"/>
        </w:rPr>
        <w:t xml:space="preserve"> </w:t>
      </w:r>
      <w:r w:rsidR="00985652" w:rsidRPr="00740FD0">
        <w:rPr>
          <w:sz w:val="18"/>
          <w:szCs w:val="18"/>
        </w:rPr>
        <w:t xml:space="preserve">Organization for Economic Cooperation and Development, </w:t>
      </w:r>
      <w:r w:rsidR="00985652" w:rsidRPr="00740FD0">
        <w:rPr>
          <w:i/>
          <w:iCs/>
          <w:sz w:val="18"/>
          <w:szCs w:val="18"/>
        </w:rPr>
        <w:t xml:space="preserve">Dark Commercial Patterns </w:t>
      </w:r>
      <w:r w:rsidR="00985652" w:rsidRPr="00740FD0">
        <w:rPr>
          <w:sz w:val="18"/>
          <w:szCs w:val="18"/>
        </w:rPr>
        <w:t xml:space="preserve">(October 2022), at 2, online: </w:t>
      </w:r>
      <w:hyperlink r:id="rId378" w:history="1">
        <w:r w:rsidR="00985652" w:rsidRPr="00740FD0">
          <w:rPr>
            <w:rStyle w:val="Hyperlink"/>
            <w:sz w:val="18"/>
            <w:szCs w:val="18"/>
          </w:rPr>
          <w:t>https://www.oecd.org/digital/dark-commercial-patterns-44f5e846-en.htm</w:t>
        </w:r>
      </w:hyperlink>
      <w:r w:rsidRPr="00740FD0">
        <w:rPr>
          <w:sz w:val="18"/>
          <w:szCs w:val="18"/>
        </w:rPr>
        <w:t>.</w:t>
      </w:r>
    </w:p>
  </w:endnote>
  <w:endnote w:id="431">
    <w:p w14:paraId="45C36780" w14:textId="34AB17CE" w:rsidR="00A76153" w:rsidRPr="00740FD0" w:rsidRDefault="00A76153" w:rsidP="00A76153">
      <w:pPr>
        <w:pStyle w:val="EndnoteText"/>
        <w:rPr>
          <w:sz w:val="18"/>
          <w:szCs w:val="18"/>
        </w:rPr>
      </w:pPr>
      <w:r w:rsidRPr="00740FD0">
        <w:rPr>
          <w:rStyle w:val="EndnoteReference"/>
          <w:sz w:val="18"/>
          <w:szCs w:val="18"/>
        </w:rPr>
        <w:endnoteRef/>
      </w:r>
      <w:r w:rsidRPr="00740FD0">
        <w:rPr>
          <w:sz w:val="18"/>
          <w:szCs w:val="18"/>
        </w:rPr>
        <w:t xml:space="preserve"> </w:t>
      </w:r>
      <w:r w:rsidR="00985652" w:rsidRPr="00740FD0">
        <w:rPr>
          <w:sz w:val="18"/>
          <w:szCs w:val="18"/>
        </w:rPr>
        <w:t xml:space="preserve">Organization for Economic Cooperation and Development, </w:t>
      </w:r>
      <w:r w:rsidR="00985652" w:rsidRPr="00740FD0">
        <w:rPr>
          <w:i/>
          <w:iCs/>
          <w:sz w:val="18"/>
          <w:szCs w:val="18"/>
        </w:rPr>
        <w:t xml:space="preserve">Dark Commercial Patterns </w:t>
      </w:r>
      <w:r w:rsidR="00985652" w:rsidRPr="00740FD0">
        <w:rPr>
          <w:sz w:val="18"/>
          <w:szCs w:val="18"/>
        </w:rPr>
        <w:t xml:space="preserve">(October 2022), at </w:t>
      </w:r>
      <w:r w:rsidR="00443A65" w:rsidRPr="00740FD0">
        <w:rPr>
          <w:sz w:val="18"/>
          <w:szCs w:val="18"/>
        </w:rPr>
        <w:t>53</w:t>
      </w:r>
      <w:r w:rsidR="00985652" w:rsidRPr="00740FD0">
        <w:rPr>
          <w:sz w:val="18"/>
          <w:szCs w:val="18"/>
        </w:rPr>
        <w:t xml:space="preserve">, online: </w:t>
      </w:r>
      <w:hyperlink r:id="rId379" w:history="1">
        <w:r w:rsidR="00985652" w:rsidRPr="00740FD0">
          <w:rPr>
            <w:rStyle w:val="Hyperlink"/>
            <w:sz w:val="18"/>
            <w:szCs w:val="18"/>
          </w:rPr>
          <w:t>https://www.oecd.org/digital/dark-commercial-patterns-44f5e846-en.htm</w:t>
        </w:r>
      </w:hyperlink>
      <w:r w:rsidR="00985652" w:rsidRPr="00740FD0">
        <w:rPr>
          <w:sz w:val="18"/>
          <w:szCs w:val="18"/>
        </w:rPr>
        <w:t>.</w:t>
      </w:r>
    </w:p>
  </w:endnote>
  <w:endnote w:id="432">
    <w:p w14:paraId="5EC74A1F" w14:textId="559BF854" w:rsidR="00A76153" w:rsidRPr="00740FD0" w:rsidRDefault="00A76153" w:rsidP="00A76153">
      <w:pPr>
        <w:pStyle w:val="EndnoteText"/>
        <w:rPr>
          <w:sz w:val="18"/>
          <w:szCs w:val="18"/>
        </w:rPr>
      </w:pPr>
      <w:r w:rsidRPr="00740FD0">
        <w:rPr>
          <w:rStyle w:val="EndnoteReference"/>
          <w:sz w:val="18"/>
          <w:szCs w:val="18"/>
        </w:rPr>
        <w:endnoteRef/>
      </w:r>
      <w:r w:rsidRPr="00740FD0">
        <w:rPr>
          <w:sz w:val="18"/>
          <w:szCs w:val="18"/>
        </w:rPr>
        <w:t xml:space="preserve"> FTC, “Data Brokers: A Call for Transparency and Accountability” (May 2014) at </w:t>
      </w:r>
      <w:hyperlink r:id="rId380" w:history="1">
        <w:r w:rsidRPr="00740FD0">
          <w:rPr>
            <w:rStyle w:val="Hyperlink"/>
            <w:sz w:val="18"/>
            <w:szCs w:val="18"/>
          </w:rPr>
          <w:t>https://www.ftc.gov/system/files/documents/reports/data-brokers-call-transparency-accountability-report-federal-trade-commission-may-2014/140527databrokerreport.pdf</w:t>
        </w:r>
      </w:hyperlink>
      <w:r w:rsidRPr="00740FD0">
        <w:rPr>
          <w:sz w:val="18"/>
          <w:szCs w:val="18"/>
        </w:rPr>
        <w:t xml:space="preserve">. See also “FTC Sues </w:t>
      </w:r>
      <w:r w:rsidRPr="00740FD0">
        <w:rPr>
          <w:sz w:val="18"/>
          <w:szCs w:val="18"/>
        </w:rPr>
        <w:t xml:space="preserve">Kochava for Selling Data that Tracks People at Reproductive Health Clinics, Places of Worship, and Other Sensitive Locations: Agency Alleges that Kochava’s Geolocation Data from Hundreds of Millions of Mobile Devices Can Be Used to Identify People and Trace Their Movements” (August 29, 2022), online: </w:t>
      </w:r>
      <w:hyperlink r:id="rId381" w:history="1">
        <w:r w:rsidRPr="00740FD0">
          <w:rPr>
            <w:rStyle w:val="Hyperlink"/>
            <w:sz w:val="18"/>
            <w:szCs w:val="18"/>
          </w:rPr>
          <w:t>https://www.ftc.gov/news-events/news/press-releases/2022/08/ftc-sues-kochava-selling-data-tracks-people-reproductive-health-clinics-places-worship-other</w:t>
        </w:r>
      </w:hyperlink>
      <w:r w:rsidRPr="00740FD0">
        <w:rPr>
          <w:sz w:val="18"/>
          <w:szCs w:val="18"/>
        </w:rPr>
        <w:t>. See also the FTC, “Commercial Surveillance and Data Security Rulemaking”</w:t>
      </w:r>
      <w:r w:rsidR="00187D68" w:rsidRPr="00740FD0">
        <w:rPr>
          <w:sz w:val="18"/>
          <w:szCs w:val="18"/>
        </w:rPr>
        <w:t xml:space="preserve"> </w:t>
      </w:r>
      <w:r w:rsidRPr="00740FD0">
        <w:rPr>
          <w:sz w:val="18"/>
          <w:szCs w:val="18"/>
        </w:rPr>
        <w:t xml:space="preserve">undertaking consultations on proposed regulations (August 2022), online: </w:t>
      </w:r>
      <w:hyperlink r:id="rId382" w:history="1">
        <w:r w:rsidRPr="00740FD0">
          <w:rPr>
            <w:rStyle w:val="Hyperlink"/>
            <w:sz w:val="18"/>
            <w:szCs w:val="18"/>
          </w:rPr>
          <w:t>https://www.ftc.gov/legal-library/browse/federal-register-notices/commercial-surveillance-data-security-rulemaking</w:t>
        </w:r>
      </w:hyperlink>
      <w:r w:rsidRPr="00740FD0">
        <w:rPr>
          <w:sz w:val="18"/>
          <w:szCs w:val="18"/>
        </w:rPr>
        <w:t xml:space="preserve">. </w:t>
      </w:r>
    </w:p>
  </w:endnote>
  <w:endnote w:id="433">
    <w:p w14:paraId="1E7375C9" w14:textId="77777777" w:rsidR="00A76153" w:rsidRPr="00740FD0" w:rsidRDefault="00A76153" w:rsidP="00A76153">
      <w:pPr>
        <w:pStyle w:val="EndnoteText"/>
        <w:rPr>
          <w:i/>
          <w:iCs/>
          <w:sz w:val="18"/>
          <w:szCs w:val="18"/>
        </w:rPr>
      </w:pPr>
      <w:r w:rsidRPr="00740FD0">
        <w:rPr>
          <w:rStyle w:val="EndnoteReference"/>
          <w:sz w:val="18"/>
          <w:szCs w:val="18"/>
        </w:rPr>
        <w:endnoteRef/>
      </w:r>
      <w:r w:rsidRPr="00740FD0">
        <w:rPr>
          <w:sz w:val="18"/>
          <w:szCs w:val="18"/>
        </w:rPr>
        <w:t xml:space="preserve"> See for example, CIPPIC, Back on the Data Trail: The Evolution of Canada’s Data Broker Industry (March 2018), online: </w:t>
      </w:r>
      <w:hyperlink r:id="rId383" w:history="1">
        <w:r w:rsidRPr="00740FD0">
          <w:rPr>
            <w:rStyle w:val="Hyperlink"/>
            <w:sz w:val="18"/>
            <w:szCs w:val="18"/>
          </w:rPr>
          <w:t>https://iapp.org/media/pdf/resource_center/evolution_canada_data_broker_industry.pdf</w:t>
        </w:r>
      </w:hyperlink>
      <w:r w:rsidRPr="00740FD0">
        <w:rPr>
          <w:sz w:val="18"/>
          <w:szCs w:val="18"/>
        </w:rPr>
        <w:t xml:space="preserve">. </w:t>
      </w:r>
    </w:p>
  </w:endnote>
  <w:endnote w:id="434">
    <w:p w14:paraId="4E7A506C" w14:textId="5CCC4A01" w:rsidR="00A76153" w:rsidRPr="00740FD0" w:rsidRDefault="00A76153" w:rsidP="00A76153">
      <w:pPr>
        <w:pStyle w:val="EndnoteText"/>
        <w:rPr>
          <w:sz w:val="18"/>
          <w:szCs w:val="18"/>
        </w:rPr>
      </w:pPr>
      <w:r w:rsidRPr="00740FD0">
        <w:rPr>
          <w:rStyle w:val="EndnoteReference"/>
          <w:sz w:val="18"/>
          <w:szCs w:val="18"/>
        </w:rPr>
        <w:endnoteRef/>
      </w:r>
      <w:r w:rsidRPr="00740FD0">
        <w:rPr>
          <w:sz w:val="18"/>
          <w:szCs w:val="18"/>
        </w:rPr>
        <w:t xml:space="preserve"> </w:t>
      </w:r>
      <w:r w:rsidR="00443A65" w:rsidRPr="00740FD0">
        <w:rPr>
          <w:sz w:val="18"/>
          <w:szCs w:val="18"/>
        </w:rPr>
        <w:t>See examples of such language earlier in this paper at section 2.3, “</w:t>
      </w:r>
      <w:r w:rsidR="00423A95" w:rsidRPr="00740FD0">
        <w:rPr>
          <w:sz w:val="18"/>
          <w:szCs w:val="18"/>
        </w:rPr>
        <w:t>Examples of Terms from Existing ToS Contracts in Canada</w:t>
      </w:r>
      <w:r w:rsidR="00443A65" w:rsidRPr="00740FD0">
        <w:rPr>
          <w:sz w:val="18"/>
          <w:szCs w:val="18"/>
        </w:rPr>
        <w:t>.”</w:t>
      </w:r>
    </w:p>
  </w:endnote>
  <w:endnote w:id="435">
    <w:p w14:paraId="606F2541" w14:textId="77777777" w:rsidR="00A76153" w:rsidRPr="00740FD0" w:rsidRDefault="00A76153" w:rsidP="00A76153">
      <w:pPr>
        <w:pStyle w:val="EndnoteText"/>
        <w:rPr>
          <w:sz w:val="18"/>
          <w:szCs w:val="18"/>
          <w:lang w:val="en-US"/>
        </w:rPr>
      </w:pPr>
      <w:r w:rsidRPr="00740FD0">
        <w:rPr>
          <w:rStyle w:val="EndnoteReference"/>
          <w:sz w:val="18"/>
          <w:szCs w:val="18"/>
        </w:rPr>
        <w:endnoteRef/>
      </w:r>
      <w:r w:rsidRPr="00740FD0">
        <w:rPr>
          <w:sz w:val="18"/>
          <w:szCs w:val="18"/>
        </w:rPr>
        <w:t xml:space="preserve"> There are many potential definitions for “digital marketplace.” SAP’s </w:t>
      </w:r>
      <w:r w:rsidRPr="00740FD0">
        <w:rPr>
          <w:i/>
          <w:iCs/>
          <w:sz w:val="18"/>
          <w:szCs w:val="18"/>
        </w:rPr>
        <w:t>Future of Commerce</w:t>
      </w:r>
      <w:r w:rsidRPr="00740FD0">
        <w:rPr>
          <w:sz w:val="18"/>
          <w:szCs w:val="18"/>
        </w:rPr>
        <w:t xml:space="preserve"> website notes the term “digital marketplace” is inclusive of a variety of business-to-business, business-to-consumer, intermediary, and consumer-to-consumer practices, among many others (see for instance “Digital marketplaces: examples, benefits, strategies” (May 12, 2021) online: </w:t>
      </w:r>
      <w:hyperlink r:id="rId384" w:history="1">
        <w:r w:rsidRPr="00740FD0">
          <w:rPr>
            <w:rStyle w:val="Hyperlink"/>
            <w:sz w:val="18"/>
            <w:szCs w:val="18"/>
          </w:rPr>
          <w:t>https://www.the-future-of-commerce.com/2021/05/12/digital-marketplaces/</w:t>
        </w:r>
      </w:hyperlink>
      <w:r w:rsidRPr="00740FD0">
        <w:rPr>
          <w:sz w:val="18"/>
          <w:szCs w:val="18"/>
        </w:rPr>
        <w:t>). As discussed later in this paper, jurisdictions like the European Union have adopted the notion of the “digital marketplace” and “digital services” as appropriate categories and frameworks for modernized consumer protection legislation.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7233" w14:textId="755CF547" w:rsidR="00F81524" w:rsidRDefault="00F81524" w:rsidP="00480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D6B85C" w14:textId="77777777" w:rsidR="00F81524" w:rsidRDefault="00F81524" w:rsidP="005D0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556019"/>
      <w:docPartObj>
        <w:docPartGallery w:val="Page Numbers (Bottom of Page)"/>
        <w:docPartUnique/>
      </w:docPartObj>
    </w:sdtPr>
    <w:sdtContent>
      <w:p w14:paraId="58E57A87" w14:textId="0FAC3012" w:rsidR="00F81524" w:rsidRDefault="00F81524" w:rsidP="00480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44B4FE6" w14:textId="4BCADF65" w:rsidR="00F81524" w:rsidRDefault="00F81524" w:rsidP="005D0E77">
    <w:pPr>
      <w:pStyle w:val="Footer"/>
      <w:ind w:right="360"/>
      <w:jc w:val="center"/>
    </w:pPr>
  </w:p>
  <w:p w14:paraId="7F344CA4" w14:textId="77777777" w:rsidR="00F81524" w:rsidRDefault="00F81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AAE4" w14:textId="77777777" w:rsidR="00BF01F0" w:rsidRDefault="00BF01F0" w:rsidP="0075053D">
      <w:pPr>
        <w:spacing w:after="0" w:line="240" w:lineRule="auto"/>
      </w:pPr>
      <w:r>
        <w:separator/>
      </w:r>
    </w:p>
  </w:footnote>
  <w:footnote w:type="continuationSeparator" w:id="0">
    <w:p w14:paraId="7F6C77F1" w14:textId="77777777" w:rsidR="00BF01F0" w:rsidRDefault="00BF01F0" w:rsidP="00750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956"/>
    <w:multiLevelType w:val="hybridMultilevel"/>
    <w:tmpl w:val="B9128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04EDE"/>
    <w:multiLevelType w:val="hybridMultilevel"/>
    <w:tmpl w:val="B92A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751CD4"/>
    <w:multiLevelType w:val="hybridMultilevel"/>
    <w:tmpl w:val="74BA620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2627C"/>
    <w:multiLevelType w:val="hybridMultilevel"/>
    <w:tmpl w:val="D59C6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FD2D4B"/>
    <w:multiLevelType w:val="hybridMultilevel"/>
    <w:tmpl w:val="B762A1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07516E26"/>
    <w:multiLevelType w:val="hybridMultilevel"/>
    <w:tmpl w:val="E69EC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BB0D74"/>
    <w:multiLevelType w:val="hybridMultilevel"/>
    <w:tmpl w:val="7862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6497D"/>
    <w:multiLevelType w:val="hybridMultilevel"/>
    <w:tmpl w:val="10CCC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4F53AA"/>
    <w:multiLevelType w:val="hybridMultilevel"/>
    <w:tmpl w:val="C5F4A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C9130A"/>
    <w:multiLevelType w:val="hybridMultilevel"/>
    <w:tmpl w:val="5B16B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A47196"/>
    <w:multiLevelType w:val="hybridMultilevel"/>
    <w:tmpl w:val="C1E02686"/>
    <w:lvl w:ilvl="0" w:tplc="49E8A39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FB7387"/>
    <w:multiLevelType w:val="hybridMultilevel"/>
    <w:tmpl w:val="830E1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D40980"/>
    <w:multiLevelType w:val="hybridMultilevel"/>
    <w:tmpl w:val="324AA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015EA3"/>
    <w:multiLevelType w:val="hybridMultilevel"/>
    <w:tmpl w:val="BAD87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66B457D"/>
    <w:multiLevelType w:val="hybridMultilevel"/>
    <w:tmpl w:val="0B68EC9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5" w15:restartNumberingAfterBreak="0">
    <w:nsid w:val="16B550C9"/>
    <w:multiLevelType w:val="hybridMultilevel"/>
    <w:tmpl w:val="D0DC1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CB37C4"/>
    <w:multiLevelType w:val="hybridMultilevel"/>
    <w:tmpl w:val="10E8D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9610CC"/>
    <w:multiLevelType w:val="hybridMultilevel"/>
    <w:tmpl w:val="45203288"/>
    <w:lvl w:ilvl="0" w:tplc="49E8A39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F901B52"/>
    <w:multiLevelType w:val="hybridMultilevel"/>
    <w:tmpl w:val="9F46D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2C46C90"/>
    <w:multiLevelType w:val="hybridMultilevel"/>
    <w:tmpl w:val="5A6C66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23CA2B96"/>
    <w:multiLevelType w:val="hybridMultilevel"/>
    <w:tmpl w:val="906E7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443633A"/>
    <w:multiLevelType w:val="hybridMultilevel"/>
    <w:tmpl w:val="DF683DE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2" w15:restartNumberingAfterBreak="0">
    <w:nsid w:val="24627E79"/>
    <w:multiLevelType w:val="hybridMultilevel"/>
    <w:tmpl w:val="9AF2D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50F5DD9"/>
    <w:multiLevelType w:val="hybridMultilevel"/>
    <w:tmpl w:val="1E7275A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901EBD"/>
    <w:multiLevelType w:val="hybridMultilevel"/>
    <w:tmpl w:val="84183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70D5098"/>
    <w:multiLevelType w:val="hybridMultilevel"/>
    <w:tmpl w:val="494A26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88F3E61"/>
    <w:multiLevelType w:val="hybridMultilevel"/>
    <w:tmpl w:val="AC3AC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8CB3BB6"/>
    <w:multiLevelType w:val="hybridMultilevel"/>
    <w:tmpl w:val="ECAAC5AC"/>
    <w:lvl w:ilvl="0" w:tplc="534285EE">
      <w:start w:val="5"/>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DF1B0B"/>
    <w:multiLevelType w:val="hybridMultilevel"/>
    <w:tmpl w:val="37D8A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8EC2B0F"/>
    <w:multiLevelType w:val="hybridMultilevel"/>
    <w:tmpl w:val="57548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BEB1106"/>
    <w:multiLevelType w:val="hybridMultilevel"/>
    <w:tmpl w:val="977E218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31" w15:restartNumberingAfterBreak="0">
    <w:nsid w:val="2D012BF0"/>
    <w:multiLevelType w:val="hybridMultilevel"/>
    <w:tmpl w:val="A24EF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D6B263C"/>
    <w:multiLevelType w:val="hybridMultilevel"/>
    <w:tmpl w:val="FA065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E5F2EC4"/>
    <w:multiLevelType w:val="hybridMultilevel"/>
    <w:tmpl w:val="A4B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C453BB"/>
    <w:multiLevelType w:val="hybridMultilevel"/>
    <w:tmpl w:val="FB604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FDB17B1"/>
    <w:multiLevelType w:val="hybridMultilevel"/>
    <w:tmpl w:val="4E963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04329D0"/>
    <w:multiLevelType w:val="hybridMultilevel"/>
    <w:tmpl w:val="77EAEB8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7" w15:restartNumberingAfterBreak="0">
    <w:nsid w:val="31A37FC5"/>
    <w:multiLevelType w:val="hybridMultilevel"/>
    <w:tmpl w:val="E2904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2D731BA"/>
    <w:multiLevelType w:val="hybridMultilevel"/>
    <w:tmpl w:val="DBEEB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2E95246"/>
    <w:multiLevelType w:val="hybridMultilevel"/>
    <w:tmpl w:val="12662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7352066"/>
    <w:multiLevelType w:val="hybridMultilevel"/>
    <w:tmpl w:val="47EA5FA8"/>
    <w:lvl w:ilvl="0" w:tplc="49E8A39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8932E1E"/>
    <w:multiLevelType w:val="hybridMultilevel"/>
    <w:tmpl w:val="FC1C4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96048CF"/>
    <w:multiLevelType w:val="hybridMultilevel"/>
    <w:tmpl w:val="E4CAB7E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43" w15:restartNumberingAfterBreak="0">
    <w:nsid w:val="398C7DE3"/>
    <w:multiLevelType w:val="hybridMultilevel"/>
    <w:tmpl w:val="8B8E2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B17312E"/>
    <w:multiLevelType w:val="hybridMultilevel"/>
    <w:tmpl w:val="C5049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D0D5B04"/>
    <w:multiLevelType w:val="hybridMultilevel"/>
    <w:tmpl w:val="EDB0F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07B661F"/>
    <w:multiLevelType w:val="hybridMultilevel"/>
    <w:tmpl w:val="01AEA8BC"/>
    <w:lvl w:ilvl="0" w:tplc="49E8A39A">
      <w:numFmt w:val="bullet"/>
      <w:lvlText w:val="•"/>
      <w:lvlJc w:val="left"/>
      <w:pPr>
        <w:ind w:left="765" w:hanging="360"/>
      </w:pPr>
      <w:rPr>
        <w:rFonts w:ascii="Calibri" w:eastAsia="Times New Roman" w:hAnsi="Calibri" w:cs="Calibr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7" w15:restartNumberingAfterBreak="0">
    <w:nsid w:val="41940846"/>
    <w:multiLevelType w:val="hybridMultilevel"/>
    <w:tmpl w:val="573E8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3F4258E"/>
    <w:multiLevelType w:val="hybridMultilevel"/>
    <w:tmpl w:val="EDA20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6305A33"/>
    <w:multiLevelType w:val="hybridMultilevel"/>
    <w:tmpl w:val="5170A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A5E4D68"/>
    <w:multiLevelType w:val="hybridMultilevel"/>
    <w:tmpl w:val="E9A4C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B1D6289"/>
    <w:multiLevelType w:val="hybridMultilevel"/>
    <w:tmpl w:val="F45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EB2871"/>
    <w:multiLevelType w:val="hybridMultilevel"/>
    <w:tmpl w:val="8556C7E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53" w15:restartNumberingAfterBreak="0">
    <w:nsid w:val="4D9751F7"/>
    <w:multiLevelType w:val="hybridMultilevel"/>
    <w:tmpl w:val="6E309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1AA2519"/>
    <w:multiLevelType w:val="hybridMultilevel"/>
    <w:tmpl w:val="C2DC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213BF1"/>
    <w:multiLevelType w:val="hybridMultilevel"/>
    <w:tmpl w:val="A6AA6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5A13C3E"/>
    <w:multiLevelType w:val="hybridMultilevel"/>
    <w:tmpl w:val="AAE0C8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7" w15:restartNumberingAfterBreak="0">
    <w:nsid w:val="5A65177D"/>
    <w:multiLevelType w:val="hybridMultilevel"/>
    <w:tmpl w:val="C9C6395C"/>
    <w:lvl w:ilvl="0" w:tplc="04090001">
      <w:start w:val="1"/>
      <w:numFmt w:val="bullet"/>
      <w:lvlText w:val=""/>
      <w:lvlJc w:val="left"/>
      <w:pPr>
        <w:ind w:left="77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B190C5C"/>
    <w:multiLevelType w:val="hybridMultilevel"/>
    <w:tmpl w:val="90CAF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5D0012A0"/>
    <w:multiLevelType w:val="hybridMultilevel"/>
    <w:tmpl w:val="F42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A1157"/>
    <w:multiLevelType w:val="hybridMultilevel"/>
    <w:tmpl w:val="CA48E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F231225"/>
    <w:multiLevelType w:val="hybridMultilevel"/>
    <w:tmpl w:val="C9347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F3534F9"/>
    <w:multiLevelType w:val="hybridMultilevel"/>
    <w:tmpl w:val="F78446E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63" w15:restartNumberingAfterBreak="0">
    <w:nsid w:val="60432D10"/>
    <w:multiLevelType w:val="hybridMultilevel"/>
    <w:tmpl w:val="F5764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0F9008A"/>
    <w:multiLevelType w:val="hybridMultilevel"/>
    <w:tmpl w:val="C0E0DDC4"/>
    <w:lvl w:ilvl="0" w:tplc="49E8A39A">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150094E"/>
    <w:multiLevelType w:val="hybridMultilevel"/>
    <w:tmpl w:val="4E407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15713A5"/>
    <w:multiLevelType w:val="hybridMultilevel"/>
    <w:tmpl w:val="91B686F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7" w15:restartNumberingAfterBreak="0">
    <w:nsid w:val="62006BBF"/>
    <w:multiLevelType w:val="hybridMultilevel"/>
    <w:tmpl w:val="8A4882EE"/>
    <w:lvl w:ilvl="0" w:tplc="49E8A39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5541BEC"/>
    <w:multiLevelType w:val="multilevel"/>
    <w:tmpl w:val="443298F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55D7831"/>
    <w:multiLevelType w:val="hybridMultilevel"/>
    <w:tmpl w:val="9442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62F700C"/>
    <w:multiLevelType w:val="hybridMultilevel"/>
    <w:tmpl w:val="9C06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D655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92469F2"/>
    <w:multiLevelType w:val="hybridMultilevel"/>
    <w:tmpl w:val="85D84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B8F211C"/>
    <w:multiLevelType w:val="hybridMultilevel"/>
    <w:tmpl w:val="E45AD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6BCF2094"/>
    <w:multiLevelType w:val="hybridMultilevel"/>
    <w:tmpl w:val="02327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5E74FA"/>
    <w:multiLevelType w:val="hybridMultilevel"/>
    <w:tmpl w:val="ECBA5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6E8C4C2E"/>
    <w:multiLevelType w:val="hybridMultilevel"/>
    <w:tmpl w:val="7CD21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6F450536"/>
    <w:multiLevelType w:val="hybridMultilevel"/>
    <w:tmpl w:val="1BDC381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8" w15:restartNumberingAfterBreak="0">
    <w:nsid w:val="6F920A74"/>
    <w:multiLevelType w:val="hybridMultilevel"/>
    <w:tmpl w:val="713E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C85326"/>
    <w:multiLevelType w:val="hybridMultilevel"/>
    <w:tmpl w:val="3F8A2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72F2664"/>
    <w:multiLevelType w:val="hybridMultilevel"/>
    <w:tmpl w:val="1A823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7C144F4F"/>
    <w:multiLevelType w:val="hybridMultilevel"/>
    <w:tmpl w:val="C36CA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7D42149B"/>
    <w:multiLevelType w:val="hybridMultilevel"/>
    <w:tmpl w:val="3F4CA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E875CDA"/>
    <w:multiLevelType w:val="hybridMultilevel"/>
    <w:tmpl w:val="C512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B11EAD"/>
    <w:multiLevelType w:val="hybridMultilevel"/>
    <w:tmpl w:val="2124ADC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num w:numId="1" w16cid:durableId="497842954">
    <w:abstractNumId w:val="71"/>
  </w:num>
  <w:num w:numId="2" w16cid:durableId="169485871">
    <w:abstractNumId w:val="82"/>
  </w:num>
  <w:num w:numId="3" w16cid:durableId="2000231810">
    <w:abstractNumId w:val="0"/>
  </w:num>
  <w:num w:numId="4" w16cid:durableId="515927905">
    <w:abstractNumId w:val="25"/>
  </w:num>
  <w:num w:numId="5" w16cid:durableId="754595458">
    <w:abstractNumId w:val="77"/>
  </w:num>
  <w:num w:numId="6" w16cid:durableId="935871001">
    <w:abstractNumId w:val="47"/>
  </w:num>
  <w:num w:numId="7" w16cid:durableId="407771815">
    <w:abstractNumId w:val="21"/>
  </w:num>
  <w:num w:numId="8" w16cid:durableId="67115771">
    <w:abstractNumId w:val="7"/>
  </w:num>
  <w:num w:numId="9" w16cid:durableId="508645698">
    <w:abstractNumId w:val="8"/>
  </w:num>
  <w:num w:numId="10" w16cid:durableId="1519001242">
    <w:abstractNumId w:val="40"/>
  </w:num>
  <w:num w:numId="11" w16cid:durableId="598950295">
    <w:abstractNumId w:val="60"/>
  </w:num>
  <w:num w:numId="12" w16cid:durableId="125122264">
    <w:abstractNumId w:val="75"/>
  </w:num>
  <w:num w:numId="13" w16cid:durableId="1727289718">
    <w:abstractNumId w:val="4"/>
  </w:num>
  <w:num w:numId="14" w16cid:durableId="302538932">
    <w:abstractNumId w:val="19"/>
  </w:num>
  <w:num w:numId="15" w16cid:durableId="1965034896">
    <w:abstractNumId w:val="65"/>
  </w:num>
  <w:num w:numId="16" w16cid:durableId="424805294">
    <w:abstractNumId w:val="81"/>
  </w:num>
  <w:num w:numId="17" w16cid:durableId="1616519510">
    <w:abstractNumId w:val="1"/>
  </w:num>
  <w:num w:numId="18" w16cid:durableId="32852512">
    <w:abstractNumId w:val="36"/>
  </w:num>
  <w:num w:numId="19" w16cid:durableId="1003585117">
    <w:abstractNumId w:val="69"/>
  </w:num>
  <w:num w:numId="20" w16cid:durableId="469783312">
    <w:abstractNumId w:val="68"/>
  </w:num>
  <w:num w:numId="21" w16cid:durableId="477113116">
    <w:abstractNumId w:val="57"/>
  </w:num>
  <w:num w:numId="22" w16cid:durableId="1556047016">
    <w:abstractNumId w:val="84"/>
  </w:num>
  <w:num w:numId="23" w16cid:durableId="506821690">
    <w:abstractNumId w:val="59"/>
  </w:num>
  <w:num w:numId="24" w16cid:durableId="12732029">
    <w:abstractNumId w:val="51"/>
  </w:num>
  <w:num w:numId="25" w16cid:durableId="1723677586">
    <w:abstractNumId w:val="83"/>
  </w:num>
  <w:num w:numId="26" w16cid:durableId="1779980792">
    <w:abstractNumId w:val="5"/>
  </w:num>
  <w:num w:numId="27" w16cid:durableId="228349594">
    <w:abstractNumId w:val="29"/>
  </w:num>
  <w:num w:numId="28" w16cid:durableId="50427357">
    <w:abstractNumId w:val="45"/>
  </w:num>
  <w:num w:numId="29" w16cid:durableId="33044001">
    <w:abstractNumId w:val="15"/>
  </w:num>
  <w:num w:numId="30" w16cid:durableId="197133155">
    <w:abstractNumId w:val="55"/>
  </w:num>
  <w:num w:numId="31" w16cid:durableId="1050153571">
    <w:abstractNumId w:val="79"/>
  </w:num>
  <w:num w:numId="32" w16cid:durableId="1564828735">
    <w:abstractNumId w:val="26"/>
  </w:num>
  <w:num w:numId="33" w16cid:durableId="482041423">
    <w:abstractNumId w:val="61"/>
  </w:num>
  <w:num w:numId="34" w16cid:durableId="322394968">
    <w:abstractNumId w:val="58"/>
  </w:num>
  <w:num w:numId="35" w16cid:durableId="835724217">
    <w:abstractNumId w:val="37"/>
  </w:num>
  <w:num w:numId="36" w16cid:durableId="1404988204">
    <w:abstractNumId w:val="43"/>
  </w:num>
  <w:num w:numId="37" w16cid:durableId="1732386610">
    <w:abstractNumId w:val="39"/>
  </w:num>
  <w:num w:numId="38" w16cid:durableId="2009942207">
    <w:abstractNumId w:val="34"/>
  </w:num>
  <w:num w:numId="39" w16cid:durableId="1509247421">
    <w:abstractNumId w:val="22"/>
  </w:num>
  <w:num w:numId="40" w16cid:durableId="345988347">
    <w:abstractNumId w:val="9"/>
  </w:num>
  <w:num w:numId="41" w16cid:durableId="1683127175">
    <w:abstractNumId w:val="44"/>
  </w:num>
  <w:num w:numId="42" w16cid:durableId="407731863">
    <w:abstractNumId w:val="53"/>
  </w:num>
  <w:num w:numId="43" w16cid:durableId="673000739">
    <w:abstractNumId w:val="41"/>
  </w:num>
  <w:num w:numId="44" w16cid:durableId="528951408">
    <w:abstractNumId w:val="32"/>
  </w:num>
  <w:num w:numId="45" w16cid:durableId="180319294">
    <w:abstractNumId w:val="72"/>
  </w:num>
  <w:num w:numId="46" w16cid:durableId="1019355160">
    <w:abstractNumId w:val="18"/>
  </w:num>
  <w:num w:numId="47" w16cid:durableId="1475173871">
    <w:abstractNumId w:val="42"/>
  </w:num>
  <w:num w:numId="48" w16cid:durableId="1485199466">
    <w:abstractNumId w:val="76"/>
  </w:num>
  <w:num w:numId="49" w16cid:durableId="1567760401">
    <w:abstractNumId w:val="35"/>
  </w:num>
  <w:num w:numId="50" w16cid:durableId="1705329529">
    <w:abstractNumId w:val="49"/>
  </w:num>
  <w:num w:numId="51" w16cid:durableId="457381615">
    <w:abstractNumId w:val="24"/>
  </w:num>
  <w:num w:numId="52" w16cid:durableId="1870878235">
    <w:abstractNumId w:val="63"/>
  </w:num>
  <w:num w:numId="53" w16cid:durableId="1862430192">
    <w:abstractNumId w:val="16"/>
  </w:num>
  <w:num w:numId="54" w16cid:durableId="1765147401">
    <w:abstractNumId w:val="80"/>
  </w:num>
  <w:num w:numId="55" w16cid:durableId="775099014">
    <w:abstractNumId w:val="46"/>
  </w:num>
  <w:num w:numId="56" w16cid:durableId="1093934494">
    <w:abstractNumId w:val="67"/>
  </w:num>
  <w:num w:numId="57" w16cid:durableId="1062756137">
    <w:abstractNumId w:val="17"/>
  </w:num>
  <w:num w:numId="58" w16cid:durableId="1060907830">
    <w:abstractNumId w:val="10"/>
  </w:num>
  <w:num w:numId="59" w16cid:durableId="861631757">
    <w:abstractNumId w:val="13"/>
  </w:num>
  <w:num w:numId="60" w16cid:durableId="370113205">
    <w:abstractNumId w:val="11"/>
  </w:num>
  <w:num w:numId="61" w16cid:durableId="1611469518">
    <w:abstractNumId w:val="2"/>
  </w:num>
  <w:num w:numId="62" w16cid:durableId="737820808">
    <w:abstractNumId w:val="23"/>
  </w:num>
  <w:num w:numId="63" w16cid:durableId="85462440">
    <w:abstractNumId w:val="54"/>
  </w:num>
  <w:num w:numId="64" w16cid:durableId="883903820">
    <w:abstractNumId w:val="6"/>
  </w:num>
  <w:num w:numId="65" w16cid:durableId="1126433562">
    <w:abstractNumId w:val="27"/>
  </w:num>
  <w:num w:numId="66" w16cid:durableId="1920023670">
    <w:abstractNumId w:val="56"/>
  </w:num>
  <w:num w:numId="67" w16cid:durableId="1181166434">
    <w:abstractNumId w:val="78"/>
  </w:num>
  <w:num w:numId="68" w16cid:durableId="925190454">
    <w:abstractNumId w:val="74"/>
  </w:num>
  <w:num w:numId="69" w16cid:durableId="54592487">
    <w:abstractNumId w:val="64"/>
  </w:num>
  <w:num w:numId="70" w16cid:durableId="818502413">
    <w:abstractNumId w:val="33"/>
  </w:num>
  <w:num w:numId="71" w16cid:durableId="2030986445">
    <w:abstractNumId w:val="70"/>
  </w:num>
  <w:num w:numId="72" w16cid:durableId="873005477">
    <w:abstractNumId w:val="19"/>
  </w:num>
  <w:num w:numId="73" w16cid:durableId="894467668">
    <w:abstractNumId w:val="62"/>
  </w:num>
  <w:num w:numId="74" w16cid:durableId="275143007">
    <w:abstractNumId w:val="52"/>
  </w:num>
  <w:num w:numId="75" w16cid:durableId="912544169">
    <w:abstractNumId w:val="30"/>
  </w:num>
  <w:num w:numId="76" w16cid:durableId="643658626">
    <w:abstractNumId w:val="14"/>
  </w:num>
  <w:num w:numId="77" w16cid:durableId="1292175890">
    <w:abstractNumId w:val="48"/>
  </w:num>
  <w:num w:numId="78" w16cid:durableId="101843568">
    <w:abstractNumId w:val="73"/>
  </w:num>
  <w:num w:numId="79" w16cid:durableId="322975337">
    <w:abstractNumId w:val="3"/>
  </w:num>
  <w:num w:numId="80" w16cid:durableId="1152023867">
    <w:abstractNumId w:val="50"/>
  </w:num>
  <w:num w:numId="81" w16cid:durableId="948658067">
    <w:abstractNumId w:val="38"/>
  </w:num>
  <w:num w:numId="82" w16cid:durableId="1741754133">
    <w:abstractNumId w:val="20"/>
  </w:num>
  <w:num w:numId="83" w16cid:durableId="1375929266">
    <w:abstractNumId w:val="31"/>
  </w:num>
  <w:num w:numId="84" w16cid:durableId="569777331">
    <w:abstractNumId w:val="28"/>
  </w:num>
  <w:num w:numId="85" w16cid:durableId="496918014">
    <w:abstractNumId w:val="12"/>
  </w:num>
  <w:num w:numId="86" w16cid:durableId="335884937">
    <w:abstractNumId w:val="6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KT7aNJbbREv7rNIqJ6fPCWiACt8YEXs+ztNmzkCmcgXC6Ws7aWH2PIAwoA7iEUgsFl2FjRaoAguottUWcR5YQ==" w:salt="j5Cpmrkn7+ML7Z2IZ7uMoA=="/>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B2"/>
    <w:rsid w:val="00000EB9"/>
    <w:rsid w:val="00001299"/>
    <w:rsid w:val="00001407"/>
    <w:rsid w:val="0000152F"/>
    <w:rsid w:val="00001E19"/>
    <w:rsid w:val="00002972"/>
    <w:rsid w:val="00002EDB"/>
    <w:rsid w:val="000031AC"/>
    <w:rsid w:val="000035D3"/>
    <w:rsid w:val="00003EDE"/>
    <w:rsid w:val="00003EE8"/>
    <w:rsid w:val="00003F97"/>
    <w:rsid w:val="00004187"/>
    <w:rsid w:val="00004954"/>
    <w:rsid w:val="0000690D"/>
    <w:rsid w:val="00006E50"/>
    <w:rsid w:val="0000723E"/>
    <w:rsid w:val="00007479"/>
    <w:rsid w:val="000077E6"/>
    <w:rsid w:val="00007A97"/>
    <w:rsid w:val="00007D28"/>
    <w:rsid w:val="00010ED5"/>
    <w:rsid w:val="000113F7"/>
    <w:rsid w:val="000123E1"/>
    <w:rsid w:val="00012ADA"/>
    <w:rsid w:val="00012B09"/>
    <w:rsid w:val="000142CE"/>
    <w:rsid w:val="000145FF"/>
    <w:rsid w:val="000157B9"/>
    <w:rsid w:val="00015E0E"/>
    <w:rsid w:val="00015FFE"/>
    <w:rsid w:val="0001609C"/>
    <w:rsid w:val="000167BC"/>
    <w:rsid w:val="00016B96"/>
    <w:rsid w:val="00016E85"/>
    <w:rsid w:val="00017265"/>
    <w:rsid w:val="000173EB"/>
    <w:rsid w:val="00017492"/>
    <w:rsid w:val="00017B3A"/>
    <w:rsid w:val="00017B72"/>
    <w:rsid w:val="000206EE"/>
    <w:rsid w:val="00020916"/>
    <w:rsid w:val="0002091B"/>
    <w:rsid w:val="000209E8"/>
    <w:rsid w:val="00021505"/>
    <w:rsid w:val="00021CE5"/>
    <w:rsid w:val="00021FFB"/>
    <w:rsid w:val="00022567"/>
    <w:rsid w:val="00022D98"/>
    <w:rsid w:val="00022E2C"/>
    <w:rsid w:val="00023560"/>
    <w:rsid w:val="00023D1C"/>
    <w:rsid w:val="00023D5A"/>
    <w:rsid w:val="00023EC6"/>
    <w:rsid w:val="0002426C"/>
    <w:rsid w:val="000249DE"/>
    <w:rsid w:val="00024E67"/>
    <w:rsid w:val="000251E5"/>
    <w:rsid w:val="00025B41"/>
    <w:rsid w:val="00025CAF"/>
    <w:rsid w:val="00025CC3"/>
    <w:rsid w:val="00025EDC"/>
    <w:rsid w:val="00026126"/>
    <w:rsid w:val="000263F9"/>
    <w:rsid w:val="00026A52"/>
    <w:rsid w:val="00027029"/>
    <w:rsid w:val="00027F89"/>
    <w:rsid w:val="00027FD8"/>
    <w:rsid w:val="00030043"/>
    <w:rsid w:val="0003008E"/>
    <w:rsid w:val="000301F6"/>
    <w:rsid w:val="00030920"/>
    <w:rsid w:val="00031075"/>
    <w:rsid w:val="000311C4"/>
    <w:rsid w:val="00031365"/>
    <w:rsid w:val="000331CE"/>
    <w:rsid w:val="0003395D"/>
    <w:rsid w:val="00033B55"/>
    <w:rsid w:val="00033C59"/>
    <w:rsid w:val="0003406F"/>
    <w:rsid w:val="000340BA"/>
    <w:rsid w:val="000348BF"/>
    <w:rsid w:val="00034B4D"/>
    <w:rsid w:val="00034EB4"/>
    <w:rsid w:val="00034F5E"/>
    <w:rsid w:val="00035275"/>
    <w:rsid w:val="0003561D"/>
    <w:rsid w:val="000356D1"/>
    <w:rsid w:val="000357C7"/>
    <w:rsid w:val="00035ACF"/>
    <w:rsid w:val="00035AEE"/>
    <w:rsid w:val="000362F7"/>
    <w:rsid w:val="00036513"/>
    <w:rsid w:val="00036654"/>
    <w:rsid w:val="000366C2"/>
    <w:rsid w:val="00036B2E"/>
    <w:rsid w:val="00037145"/>
    <w:rsid w:val="000375F3"/>
    <w:rsid w:val="00037942"/>
    <w:rsid w:val="00037CEF"/>
    <w:rsid w:val="00040116"/>
    <w:rsid w:val="00040678"/>
    <w:rsid w:val="00040C1B"/>
    <w:rsid w:val="000410B6"/>
    <w:rsid w:val="00041391"/>
    <w:rsid w:val="0004194E"/>
    <w:rsid w:val="0004206C"/>
    <w:rsid w:val="000420AE"/>
    <w:rsid w:val="000422FE"/>
    <w:rsid w:val="00042842"/>
    <w:rsid w:val="00043322"/>
    <w:rsid w:val="0004340F"/>
    <w:rsid w:val="0004382F"/>
    <w:rsid w:val="00043E93"/>
    <w:rsid w:val="00044351"/>
    <w:rsid w:val="00044584"/>
    <w:rsid w:val="00044609"/>
    <w:rsid w:val="0004490B"/>
    <w:rsid w:val="00044B9D"/>
    <w:rsid w:val="00045240"/>
    <w:rsid w:val="00045556"/>
    <w:rsid w:val="00045811"/>
    <w:rsid w:val="00045A3D"/>
    <w:rsid w:val="00045E65"/>
    <w:rsid w:val="00046B02"/>
    <w:rsid w:val="00046E14"/>
    <w:rsid w:val="00046FAB"/>
    <w:rsid w:val="00047075"/>
    <w:rsid w:val="000474EF"/>
    <w:rsid w:val="00047699"/>
    <w:rsid w:val="000476C8"/>
    <w:rsid w:val="00047F9E"/>
    <w:rsid w:val="0005017D"/>
    <w:rsid w:val="000503A6"/>
    <w:rsid w:val="000508BA"/>
    <w:rsid w:val="00050A81"/>
    <w:rsid w:val="0005108B"/>
    <w:rsid w:val="000510A7"/>
    <w:rsid w:val="000511F4"/>
    <w:rsid w:val="00051215"/>
    <w:rsid w:val="000513D8"/>
    <w:rsid w:val="0005149A"/>
    <w:rsid w:val="000518CC"/>
    <w:rsid w:val="000518CD"/>
    <w:rsid w:val="000525D3"/>
    <w:rsid w:val="00052707"/>
    <w:rsid w:val="00053073"/>
    <w:rsid w:val="00053425"/>
    <w:rsid w:val="00053AD2"/>
    <w:rsid w:val="00054FA8"/>
    <w:rsid w:val="000559E1"/>
    <w:rsid w:val="00055E12"/>
    <w:rsid w:val="00056290"/>
    <w:rsid w:val="000569D8"/>
    <w:rsid w:val="00056C3A"/>
    <w:rsid w:val="000570C1"/>
    <w:rsid w:val="00057B9E"/>
    <w:rsid w:val="0006076A"/>
    <w:rsid w:val="00060BA5"/>
    <w:rsid w:val="00060CA2"/>
    <w:rsid w:val="0006134F"/>
    <w:rsid w:val="000619E7"/>
    <w:rsid w:val="000623F5"/>
    <w:rsid w:val="00062446"/>
    <w:rsid w:val="00063637"/>
    <w:rsid w:val="0006415B"/>
    <w:rsid w:val="00064378"/>
    <w:rsid w:val="0006446A"/>
    <w:rsid w:val="00064661"/>
    <w:rsid w:val="00064CB5"/>
    <w:rsid w:val="00064D41"/>
    <w:rsid w:val="00064ED8"/>
    <w:rsid w:val="000652FA"/>
    <w:rsid w:val="00065560"/>
    <w:rsid w:val="00065878"/>
    <w:rsid w:val="00066495"/>
    <w:rsid w:val="0006678A"/>
    <w:rsid w:val="00066C9A"/>
    <w:rsid w:val="00067FDF"/>
    <w:rsid w:val="00070EBA"/>
    <w:rsid w:val="0007117C"/>
    <w:rsid w:val="00071433"/>
    <w:rsid w:val="00071515"/>
    <w:rsid w:val="00071A84"/>
    <w:rsid w:val="00071D49"/>
    <w:rsid w:val="00071E16"/>
    <w:rsid w:val="00071E41"/>
    <w:rsid w:val="00072413"/>
    <w:rsid w:val="00072641"/>
    <w:rsid w:val="00072AC1"/>
    <w:rsid w:val="00072B09"/>
    <w:rsid w:val="00072E37"/>
    <w:rsid w:val="000736A6"/>
    <w:rsid w:val="00073774"/>
    <w:rsid w:val="00073D29"/>
    <w:rsid w:val="00073DB0"/>
    <w:rsid w:val="00074924"/>
    <w:rsid w:val="00075F1C"/>
    <w:rsid w:val="000765DD"/>
    <w:rsid w:val="0007665C"/>
    <w:rsid w:val="00077EC1"/>
    <w:rsid w:val="0008011E"/>
    <w:rsid w:val="0008081A"/>
    <w:rsid w:val="00081907"/>
    <w:rsid w:val="00081BDE"/>
    <w:rsid w:val="0008210D"/>
    <w:rsid w:val="00082120"/>
    <w:rsid w:val="000822F1"/>
    <w:rsid w:val="00082976"/>
    <w:rsid w:val="00082F58"/>
    <w:rsid w:val="000832DE"/>
    <w:rsid w:val="0008345F"/>
    <w:rsid w:val="0008361A"/>
    <w:rsid w:val="00083947"/>
    <w:rsid w:val="00083FF1"/>
    <w:rsid w:val="00084017"/>
    <w:rsid w:val="0008483F"/>
    <w:rsid w:val="00084C8C"/>
    <w:rsid w:val="000857F9"/>
    <w:rsid w:val="0008669D"/>
    <w:rsid w:val="00087253"/>
    <w:rsid w:val="000901B0"/>
    <w:rsid w:val="00090254"/>
    <w:rsid w:val="00090475"/>
    <w:rsid w:val="00090888"/>
    <w:rsid w:val="000908B6"/>
    <w:rsid w:val="000909F2"/>
    <w:rsid w:val="00090B46"/>
    <w:rsid w:val="0009114E"/>
    <w:rsid w:val="000911EE"/>
    <w:rsid w:val="00091294"/>
    <w:rsid w:val="00091A1F"/>
    <w:rsid w:val="00091AC3"/>
    <w:rsid w:val="00091D68"/>
    <w:rsid w:val="000922C7"/>
    <w:rsid w:val="00092DA3"/>
    <w:rsid w:val="00093ADC"/>
    <w:rsid w:val="00093B16"/>
    <w:rsid w:val="00094475"/>
    <w:rsid w:val="000947DA"/>
    <w:rsid w:val="00094ABC"/>
    <w:rsid w:val="00094EE0"/>
    <w:rsid w:val="00095395"/>
    <w:rsid w:val="000953F8"/>
    <w:rsid w:val="00095D6E"/>
    <w:rsid w:val="000960D0"/>
    <w:rsid w:val="00096622"/>
    <w:rsid w:val="00096F81"/>
    <w:rsid w:val="0009783F"/>
    <w:rsid w:val="000979E1"/>
    <w:rsid w:val="00097A25"/>
    <w:rsid w:val="000A001D"/>
    <w:rsid w:val="000A0E12"/>
    <w:rsid w:val="000A0EB1"/>
    <w:rsid w:val="000A0FA6"/>
    <w:rsid w:val="000A10A4"/>
    <w:rsid w:val="000A1183"/>
    <w:rsid w:val="000A1193"/>
    <w:rsid w:val="000A129B"/>
    <w:rsid w:val="000A15CA"/>
    <w:rsid w:val="000A3139"/>
    <w:rsid w:val="000A39D3"/>
    <w:rsid w:val="000A3A7A"/>
    <w:rsid w:val="000A486B"/>
    <w:rsid w:val="000A4C3F"/>
    <w:rsid w:val="000A4D51"/>
    <w:rsid w:val="000A553E"/>
    <w:rsid w:val="000A5BAB"/>
    <w:rsid w:val="000A64EA"/>
    <w:rsid w:val="000A6751"/>
    <w:rsid w:val="000A680F"/>
    <w:rsid w:val="000A682D"/>
    <w:rsid w:val="000A6963"/>
    <w:rsid w:val="000A6AC8"/>
    <w:rsid w:val="000A6C62"/>
    <w:rsid w:val="000A74BE"/>
    <w:rsid w:val="000A7594"/>
    <w:rsid w:val="000A7D00"/>
    <w:rsid w:val="000B0695"/>
    <w:rsid w:val="000B0FAA"/>
    <w:rsid w:val="000B18E2"/>
    <w:rsid w:val="000B1AF1"/>
    <w:rsid w:val="000B1B43"/>
    <w:rsid w:val="000B2457"/>
    <w:rsid w:val="000B24CF"/>
    <w:rsid w:val="000B2CA6"/>
    <w:rsid w:val="000B31B9"/>
    <w:rsid w:val="000B3A5E"/>
    <w:rsid w:val="000B3FE4"/>
    <w:rsid w:val="000B40E7"/>
    <w:rsid w:val="000B4722"/>
    <w:rsid w:val="000B4888"/>
    <w:rsid w:val="000B5AC8"/>
    <w:rsid w:val="000B5B7F"/>
    <w:rsid w:val="000B5EAF"/>
    <w:rsid w:val="000B5FC9"/>
    <w:rsid w:val="000B60CB"/>
    <w:rsid w:val="000B6A34"/>
    <w:rsid w:val="000B6CB1"/>
    <w:rsid w:val="000B72B6"/>
    <w:rsid w:val="000B7915"/>
    <w:rsid w:val="000B7938"/>
    <w:rsid w:val="000C08FD"/>
    <w:rsid w:val="000C0946"/>
    <w:rsid w:val="000C0C8E"/>
    <w:rsid w:val="000C11C1"/>
    <w:rsid w:val="000C2A4E"/>
    <w:rsid w:val="000C2E0F"/>
    <w:rsid w:val="000C3247"/>
    <w:rsid w:val="000C3964"/>
    <w:rsid w:val="000C39E8"/>
    <w:rsid w:val="000C41D1"/>
    <w:rsid w:val="000C442B"/>
    <w:rsid w:val="000C4C65"/>
    <w:rsid w:val="000C51D0"/>
    <w:rsid w:val="000C5818"/>
    <w:rsid w:val="000C59F4"/>
    <w:rsid w:val="000C6210"/>
    <w:rsid w:val="000C67A4"/>
    <w:rsid w:val="000C6BD1"/>
    <w:rsid w:val="000C74D8"/>
    <w:rsid w:val="000C76D2"/>
    <w:rsid w:val="000C7709"/>
    <w:rsid w:val="000C7954"/>
    <w:rsid w:val="000C7AFC"/>
    <w:rsid w:val="000D0653"/>
    <w:rsid w:val="000D0ABE"/>
    <w:rsid w:val="000D106C"/>
    <w:rsid w:val="000D1395"/>
    <w:rsid w:val="000D188A"/>
    <w:rsid w:val="000D191A"/>
    <w:rsid w:val="000D1D6A"/>
    <w:rsid w:val="000D2165"/>
    <w:rsid w:val="000D2390"/>
    <w:rsid w:val="000D26B9"/>
    <w:rsid w:val="000D3154"/>
    <w:rsid w:val="000D3172"/>
    <w:rsid w:val="000D44F0"/>
    <w:rsid w:val="000D45C7"/>
    <w:rsid w:val="000D4A94"/>
    <w:rsid w:val="000D4CB7"/>
    <w:rsid w:val="000D5955"/>
    <w:rsid w:val="000D5B6F"/>
    <w:rsid w:val="000D6D60"/>
    <w:rsid w:val="000D725E"/>
    <w:rsid w:val="000D7AA2"/>
    <w:rsid w:val="000E0100"/>
    <w:rsid w:val="000E0327"/>
    <w:rsid w:val="000E0419"/>
    <w:rsid w:val="000E0C6B"/>
    <w:rsid w:val="000E0D1A"/>
    <w:rsid w:val="000E0FAD"/>
    <w:rsid w:val="000E18B0"/>
    <w:rsid w:val="000E1EA1"/>
    <w:rsid w:val="000E21BA"/>
    <w:rsid w:val="000E21CD"/>
    <w:rsid w:val="000E2260"/>
    <w:rsid w:val="000E271B"/>
    <w:rsid w:val="000E3796"/>
    <w:rsid w:val="000E4B9C"/>
    <w:rsid w:val="000E504F"/>
    <w:rsid w:val="000E5608"/>
    <w:rsid w:val="000E5D7D"/>
    <w:rsid w:val="000E5D90"/>
    <w:rsid w:val="000E60B7"/>
    <w:rsid w:val="000E612A"/>
    <w:rsid w:val="000E6315"/>
    <w:rsid w:val="000E63E0"/>
    <w:rsid w:val="000E652F"/>
    <w:rsid w:val="000E6531"/>
    <w:rsid w:val="000E6877"/>
    <w:rsid w:val="000E7058"/>
    <w:rsid w:val="000E72AA"/>
    <w:rsid w:val="000E789E"/>
    <w:rsid w:val="000F0E64"/>
    <w:rsid w:val="000F15B7"/>
    <w:rsid w:val="000F1707"/>
    <w:rsid w:val="000F17AD"/>
    <w:rsid w:val="000F1D8E"/>
    <w:rsid w:val="000F2186"/>
    <w:rsid w:val="000F2B86"/>
    <w:rsid w:val="000F2EDB"/>
    <w:rsid w:val="000F4BFF"/>
    <w:rsid w:val="000F4D68"/>
    <w:rsid w:val="000F509D"/>
    <w:rsid w:val="000F6272"/>
    <w:rsid w:val="000F65AB"/>
    <w:rsid w:val="000F6F7D"/>
    <w:rsid w:val="000F6F8A"/>
    <w:rsid w:val="000F7C1C"/>
    <w:rsid w:val="000F7C70"/>
    <w:rsid w:val="001009DB"/>
    <w:rsid w:val="00100C27"/>
    <w:rsid w:val="001019CB"/>
    <w:rsid w:val="00101BA7"/>
    <w:rsid w:val="00101D80"/>
    <w:rsid w:val="00101F56"/>
    <w:rsid w:val="001020F9"/>
    <w:rsid w:val="0010226A"/>
    <w:rsid w:val="0010266C"/>
    <w:rsid w:val="00102BA8"/>
    <w:rsid w:val="00102CE1"/>
    <w:rsid w:val="00103119"/>
    <w:rsid w:val="001033B8"/>
    <w:rsid w:val="0010351E"/>
    <w:rsid w:val="00103A27"/>
    <w:rsid w:val="001041E2"/>
    <w:rsid w:val="001047C3"/>
    <w:rsid w:val="001049DF"/>
    <w:rsid w:val="00105250"/>
    <w:rsid w:val="00105588"/>
    <w:rsid w:val="00105C57"/>
    <w:rsid w:val="00105E60"/>
    <w:rsid w:val="00105F8F"/>
    <w:rsid w:val="00106C54"/>
    <w:rsid w:val="00106E0B"/>
    <w:rsid w:val="00106E73"/>
    <w:rsid w:val="001071FD"/>
    <w:rsid w:val="001072D4"/>
    <w:rsid w:val="00107AE5"/>
    <w:rsid w:val="00107ECE"/>
    <w:rsid w:val="00110491"/>
    <w:rsid w:val="00110822"/>
    <w:rsid w:val="00110C51"/>
    <w:rsid w:val="00110F97"/>
    <w:rsid w:val="0011108D"/>
    <w:rsid w:val="00111D3A"/>
    <w:rsid w:val="00111EEC"/>
    <w:rsid w:val="0011233D"/>
    <w:rsid w:val="0011343F"/>
    <w:rsid w:val="0011349B"/>
    <w:rsid w:val="001135EF"/>
    <w:rsid w:val="001136E8"/>
    <w:rsid w:val="001143C3"/>
    <w:rsid w:val="00114B24"/>
    <w:rsid w:val="00115796"/>
    <w:rsid w:val="00115B1E"/>
    <w:rsid w:val="0011673D"/>
    <w:rsid w:val="00116B13"/>
    <w:rsid w:val="001170CA"/>
    <w:rsid w:val="00117708"/>
    <w:rsid w:val="00120900"/>
    <w:rsid w:val="00121065"/>
    <w:rsid w:val="00121C45"/>
    <w:rsid w:val="00121DE6"/>
    <w:rsid w:val="0012213C"/>
    <w:rsid w:val="001233BA"/>
    <w:rsid w:val="0012347D"/>
    <w:rsid w:val="001235D8"/>
    <w:rsid w:val="00123953"/>
    <w:rsid w:val="001248CF"/>
    <w:rsid w:val="0012491A"/>
    <w:rsid w:val="00124B71"/>
    <w:rsid w:val="00124FDC"/>
    <w:rsid w:val="001253FC"/>
    <w:rsid w:val="00125AC6"/>
    <w:rsid w:val="00125C64"/>
    <w:rsid w:val="00126611"/>
    <w:rsid w:val="0012679E"/>
    <w:rsid w:val="00126972"/>
    <w:rsid w:val="001277AB"/>
    <w:rsid w:val="0012793B"/>
    <w:rsid w:val="00127F7E"/>
    <w:rsid w:val="00127FD9"/>
    <w:rsid w:val="001300A5"/>
    <w:rsid w:val="001301D0"/>
    <w:rsid w:val="00130275"/>
    <w:rsid w:val="0013057B"/>
    <w:rsid w:val="001305E1"/>
    <w:rsid w:val="0013061B"/>
    <w:rsid w:val="0013065C"/>
    <w:rsid w:val="00130674"/>
    <w:rsid w:val="00130CF3"/>
    <w:rsid w:val="001311A3"/>
    <w:rsid w:val="001314E7"/>
    <w:rsid w:val="00131626"/>
    <w:rsid w:val="00131704"/>
    <w:rsid w:val="00131BD2"/>
    <w:rsid w:val="00131CE4"/>
    <w:rsid w:val="00131D33"/>
    <w:rsid w:val="00131D45"/>
    <w:rsid w:val="00132218"/>
    <w:rsid w:val="00132FDC"/>
    <w:rsid w:val="00133196"/>
    <w:rsid w:val="001331A1"/>
    <w:rsid w:val="0013323F"/>
    <w:rsid w:val="001332B9"/>
    <w:rsid w:val="00133866"/>
    <w:rsid w:val="001346AD"/>
    <w:rsid w:val="001346EF"/>
    <w:rsid w:val="001350AE"/>
    <w:rsid w:val="001353A9"/>
    <w:rsid w:val="001355AE"/>
    <w:rsid w:val="00135C1C"/>
    <w:rsid w:val="001365F7"/>
    <w:rsid w:val="001366AA"/>
    <w:rsid w:val="001366D6"/>
    <w:rsid w:val="001373AD"/>
    <w:rsid w:val="00137482"/>
    <w:rsid w:val="00137982"/>
    <w:rsid w:val="001406E9"/>
    <w:rsid w:val="00140861"/>
    <w:rsid w:val="00141B83"/>
    <w:rsid w:val="00142632"/>
    <w:rsid w:val="00142B89"/>
    <w:rsid w:val="00143E15"/>
    <w:rsid w:val="00144136"/>
    <w:rsid w:val="0014423C"/>
    <w:rsid w:val="00144BA0"/>
    <w:rsid w:val="0014500A"/>
    <w:rsid w:val="001451E7"/>
    <w:rsid w:val="00145E75"/>
    <w:rsid w:val="001460B5"/>
    <w:rsid w:val="001460D8"/>
    <w:rsid w:val="00146745"/>
    <w:rsid w:val="00146B57"/>
    <w:rsid w:val="0014738B"/>
    <w:rsid w:val="00147475"/>
    <w:rsid w:val="00147A2C"/>
    <w:rsid w:val="00147A7B"/>
    <w:rsid w:val="00147BAD"/>
    <w:rsid w:val="001517BA"/>
    <w:rsid w:val="00151827"/>
    <w:rsid w:val="001518F0"/>
    <w:rsid w:val="001521CB"/>
    <w:rsid w:val="00152233"/>
    <w:rsid w:val="00152670"/>
    <w:rsid w:val="00152BE1"/>
    <w:rsid w:val="00153462"/>
    <w:rsid w:val="00153B0D"/>
    <w:rsid w:val="00154966"/>
    <w:rsid w:val="00154AB3"/>
    <w:rsid w:val="00154ED5"/>
    <w:rsid w:val="001556FC"/>
    <w:rsid w:val="001568B7"/>
    <w:rsid w:val="0015729C"/>
    <w:rsid w:val="001573A5"/>
    <w:rsid w:val="00157722"/>
    <w:rsid w:val="00160028"/>
    <w:rsid w:val="00160448"/>
    <w:rsid w:val="001608AE"/>
    <w:rsid w:val="001608FE"/>
    <w:rsid w:val="00160CB8"/>
    <w:rsid w:val="00161287"/>
    <w:rsid w:val="001612E2"/>
    <w:rsid w:val="00161AE2"/>
    <w:rsid w:val="001625D6"/>
    <w:rsid w:val="00162ACD"/>
    <w:rsid w:val="0016461F"/>
    <w:rsid w:val="00164C6F"/>
    <w:rsid w:val="0016683C"/>
    <w:rsid w:val="00166C07"/>
    <w:rsid w:val="00166DD9"/>
    <w:rsid w:val="00166E76"/>
    <w:rsid w:val="001670C6"/>
    <w:rsid w:val="001672A6"/>
    <w:rsid w:val="0016742A"/>
    <w:rsid w:val="00167BE0"/>
    <w:rsid w:val="00170B0E"/>
    <w:rsid w:val="00170D31"/>
    <w:rsid w:val="00171149"/>
    <w:rsid w:val="00172038"/>
    <w:rsid w:val="001721DB"/>
    <w:rsid w:val="001726AC"/>
    <w:rsid w:val="001729BB"/>
    <w:rsid w:val="00172C4E"/>
    <w:rsid w:val="00172E67"/>
    <w:rsid w:val="00173003"/>
    <w:rsid w:val="001734D2"/>
    <w:rsid w:val="001736AC"/>
    <w:rsid w:val="001737D1"/>
    <w:rsid w:val="00173F5A"/>
    <w:rsid w:val="001740BC"/>
    <w:rsid w:val="00174C22"/>
    <w:rsid w:val="00174CA3"/>
    <w:rsid w:val="001751A8"/>
    <w:rsid w:val="00175D7E"/>
    <w:rsid w:val="00175D98"/>
    <w:rsid w:val="001765FE"/>
    <w:rsid w:val="00176658"/>
    <w:rsid w:val="00176C8C"/>
    <w:rsid w:val="00176DAE"/>
    <w:rsid w:val="001774C2"/>
    <w:rsid w:val="00177690"/>
    <w:rsid w:val="001778FE"/>
    <w:rsid w:val="00177A44"/>
    <w:rsid w:val="00177A61"/>
    <w:rsid w:val="00177C5F"/>
    <w:rsid w:val="00177EE1"/>
    <w:rsid w:val="00177EFF"/>
    <w:rsid w:val="00180431"/>
    <w:rsid w:val="00180AA3"/>
    <w:rsid w:val="00180C3F"/>
    <w:rsid w:val="00181345"/>
    <w:rsid w:val="001818F3"/>
    <w:rsid w:val="00181CFC"/>
    <w:rsid w:val="00181D2A"/>
    <w:rsid w:val="00182608"/>
    <w:rsid w:val="00183162"/>
    <w:rsid w:val="00183322"/>
    <w:rsid w:val="00183607"/>
    <w:rsid w:val="00183E15"/>
    <w:rsid w:val="0018409F"/>
    <w:rsid w:val="001840B0"/>
    <w:rsid w:val="00185A5C"/>
    <w:rsid w:val="001863D5"/>
    <w:rsid w:val="001864F4"/>
    <w:rsid w:val="00186AC3"/>
    <w:rsid w:val="00187415"/>
    <w:rsid w:val="00187D68"/>
    <w:rsid w:val="00187EA2"/>
    <w:rsid w:val="0019021C"/>
    <w:rsid w:val="00190618"/>
    <w:rsid w:val="00191267"/>
    <w:rsid w:val="001914C9"/>
    <w:rsid w:val="00191648"/>
    <w:rsid w:val="00192480"/>
    <w:rsid w:val="00193824"/>
    <w:rsid w:val="00193825"/>
    <w:rsid w:val="001942D6"/>
    <w:rsid w:val="00194502"/>
    <w:rsid w:val="00194C70"/>
    <w:rsid w:val="00194CE9"/>
    <w:rsid w:val="00194D3E"/>
    <w:rsid w:val="001950BA"/>
    <w:rsid w:val="001959AD"/>
    <w:rsid w:val="0019607B"/>
    <w:rsid w:val="00196D3D"/>
    <w:rsid w:val="00196E4C"/>
    <w:rsid w:val="001970B1"/>
    <w:rsid w:val="001971AA"/>
    <w:rsid w:val="00197533"/>
    <w:rsid w:val="001976A3"/>
    <w:rsid w:val="001A010C"/>
    <w:rsid w:val="001A02D3"/>
    <w:rsid w:val="001A0843"/>
    <w:rsid w:val="001A0989"/>
    <w:rsid w:val="001A0A7A"/>
    <w:rsid w:val="001A0F4C"/>
    <w:rsid w:val="001A0F9A"/>
    <w:rsid w:val="001A10D6"/>
    <w:rsid w:val="001A22B6"/>
    <w:rsid w:val="001A378C"/>
    <w:rsid w:val="001A3A98"/>
    <w:rsid w:val="001A3D62"/>
    <w:rsid w:val="001A4312"/>
    <w:rsid w:val="001A47A4"/>
    <w:rsid w:val="001A49D7"/>
    <w:rsid w:val="001A4A18"/>
    <w:rsid w:val="001A4A7D"/>
    <w:rsid w:val="001A515A"/>
    <w:rsid w:val="001A5422"/>
    <w:rsid w:val="001A5590"/>
    <w:rsid w:val="001A67C0"/>
    <w:rsid w:val="001A7003"/>
    <w:rsid w:val="001A75F1"/>
    <w:rsid w:val="001A76D9"/>
    <w:rsid w:val="001A78ED"/>
    <w:rsid w:val="001B00D3"/>
    <w:rsid w:val="001B0BD6"/>
    <w:rsid w:val="001B0F21"/>
    <w:rsid w:val="001B1649"/>
    <w:rsid w:val="001B1B11"/>
    <w:rsid w:val="001B2102"/>
    <w:rsid w:val="001B234E"/>
    <w:rsid w:val="001B2B14"/>
    <w:rsid w:val="001B2E0D"/>
    <w:rsid w:val="001B302E"/>
    <w:rsid w:val="001B3051"/>
    <w:rsid w:val="001B3286"/>
    <w:rsid w:val="001B39EB"/>
    <w:rsid w:val="001B48FA"/>
    <w:rsid w:val="001B5358"/>
    <w:rsid w:val="001B59CE"/>
    <w:rsid w:val="001B5B90"/>
    <w:rsid w:val="001B6704"/>
    <w:rsid w:val="001B73F4"/>
    <w:rsid w:val="001B784E"/>
    <w:rsid w:val="001C0207"/>
    <w:rsid w:val="001C07E8"/>
    <w:rsid w:val="001C1299"/>
    <w:rsid w:val="001C1465"/>
    <w:rsid w:val="001C1F76"/>
    <w:rsid w:val="001C1FDE"/>
    <w:rsid w:val="001C20AF"/>
    <w:rsid w:val="001C2121"/>
    <w:rsid w:val="001C2681"/>
    <w:rsid w:val="001C2773"/>
    <w:rsid w:val="001C2AE3"/>
    <w:rsid w:val="001C31F3"/>
    <w:rsid w:val="001C4000"/>
    <w:rsid w:val="001C4283"/>
    <w:rsid w:val="001C42AB"/>
    <w:rsid w:val="001C4C75"/>
    <w:rsid w:val="001C50EB"/>
    <w:rsid w:val="001C53E2"/>
    <w:rsid w:val="001C5A31"/>
    <w:rsid w:val="001C5A36"/>
    <w:rsid w:val="001C5DD1"/>
    <w:rsid w:val="001C6EF4"/>
    <w:rsid w:val="001C75BE"/>
    <w:rsid w:val="001C7737"/>
    <w:rsid w:val="001D0634"/>
    <w:rsid w:val="001D09DC"/>
    <w:rsid w:val="001D0A49"/>
    <w:rsid w:val="001D0FD5"/>
    <w:rsid w:val="001D1F42"/>
    <w:rsid w:val="001D2375"/>
    <w:rsid w:val="001D2A85"/>
    <w:rsid w:val="001D2FD4"/>
    <w:rsid w:val="001D3092"/>
    <w:rsid w:val="001D4D00"/>
    <w:rsid w:val="001D5181"/>
    <w:rsid w:val="001D57CF"/>
    <w:rsid w:val="001D5A64"/>
    <w:rsid w:val="001D5BD4"/>
    <w:rsid w:val="001D5CAD"/>
    <w:rsid w:val="001D67F2"/>
    <w:rsid w:val="001D7568"/>
    <w:rsid w:val="001D7977"/>
    <w:rsid w:val="001D7A80"/>
    <w:rsid w:val="001D7EF0"/>
    <w:rsid w:val="001E0210"/>
    <w:rsid w:val="001E0950"/>
    <w:rsid w:val="001E2090"/>
    <w:rsid w:val="001E2417"/>
    <w:rsid w:val="001E2493"/>
    <w:rsid w:val="001E290C"/>
    <w:rsid w:val="001E3E4D"/>
    <w:rsid w:val="001E4AD7"/>
    <w:rsid w:val="001E4D67"/>
    <w:rsid w:val="001E5257"/>
    <w:rsid w:val="001E6338"/>
    <w:rsid w:val="001E6423"/>
    <w:rsid w:val="001E64B4"/>
    <w:rsid w:val="001E6749"/>
    <w:rsid w:val="001E6AB6"/>
    <w:rsid w:val="001E6C59"/>
    <w:rsid w:val="001E70FD"/>
    <w:rsid w:val="001E7224"/>
    <w:rsid w:val="001E740B"/>
    <w:rsid w:val="001E7520"/>
    <w:rsid w:val="001E7A24"/>
    <w:rsid w:val="001E7DA7"/>
    <w:rsid w:val="001F0062"/>
    <w:rsid w:val="001F04D6"/>
    <w:rsid w:val="001F04E1"/>
    <w:rsid w:val="001F0EEA"/>
    <w:rsid w:val="001F11FE"/>
    <w:rsid w:val="001F128B"/>
    <w:rsid w:val="001F19CD"/>
    <w:rsid w:val="001F1E11"/>
    <w:rsid w:val="001F2355"/>
    <w:rsid w:val="001F23B3"/>
    <w:rsid w:val="001F277F"/>
    <w:rsid w:val="001F2BF3"/>
    <w:rsid w:val="001F366E"/>
    <w:rsid w:val="001F3890"/>
    <w:rsid w:val="001F40A9"/>
    <w:rsid w:val="001F4AE5"/>
    <w:rsid w:val="001F4E01"/>
    <w:rsid w:val="001F4F75"/>
    <w:rsid w:val="001F5DC0"/>
    <w:rsid w:val="001F623C"/>
    <w:rsid w:val="001F662A"/>
    <w:rsid w:val="001F66EE"/>
    <w:rsid w:val="001F6C84"/>
    <w:rsid w:val="001F771F"/>
    <w:rsid w:val="001F7AB8"/>
    <w:rsid w:val="001F7FF0"/>
    <w:rsid w:val="002000C5"/>
    <w:rsid w:val="00200703"/>
    <w:rsid w:val="00200B24"/>
    <w:rsid w:val="00200B6C"/>
    <w:rsid w:val="00200DD7"/>
    <w:rsid w:val="002013A2"/>
    <w:rsid w:val="00201A62"/>
    <w:rsid w:val="00201B24"/>
    <w:rsid w:val="00201BE3"/>
    <w:rsid w:val="00202B03"/>
    <w:rsid w:val="0020348C"/>
    <w:rsid w:val="0020356A"/>
    <w:rsid w:val="00203697"/>
    <w:rsid w:val="00203943"/>
    <w:rsid w:val="00203C64"/>
    <w:rsid w:val="00203E1A"/>
    <w:rsid w:val="00204AAC"/>
    <w:rsid w:val="00204EF2"/>
    <w:rsid w:val="002051C2"/>
    <w:rsid w:val="002056FA"/>
    <w:rsid w:val="0020570B"/>
    <w:rsid w:val="00205C54"/>
    <w:rsid w:val="00205CD8"/>
    <w:rsid w:val="0021003B"/>
    <w:rsid w:val="0021013E"/>
    <w:rsid w:val="0021037D"/>
    <w:rsid w:val="002124C3"/>
    <w:rsid w:val="00212A22"/>
    <w:rsid w:val="00212B89"/>
    <w:rsid w:val="00212E64"/>
    <w:rsid w:val="00212E92"/>
    <w:rsid w:val="002131E2"/>
    <w:rsid w:val="002133DD"/>
    <w:rsid w:val="002133F5"/>
    <w:rsid w:val="00213492"/>
    <w:rsid w:val="002139EF"/>
    <w:rsid w:val="002140FD"/>
    <w:rsid w:val="00214292"/>
    <w:rsid w:val="00214B81"/>
    <w:rsid w:val="00214D70"/>
    <w:rsid w:val="002160D3"/>
    <w:rsid w:val="00216235"/>
    <w:rsid w:val="00216375"/>
    <w:rsid w:val="0021652A"/>
    <w:rsid w:val="00216A13"/>
    <w:rsid w:val="00216DA5"/>
    <w:rsid w:val="002172F4"/>
    <w:rsid w:val="00217306"/>
    <w:rsid w:val="00217864"/>
    <w:rsid w:val="00217D7B"/>
    <w:rsid w:val="00220291"/>
    <w:rsid w:val="002205F7"/>
    <w:rsid w:val="00220768"/>
    <w:rsid w:val="0022139B"/>
    <w:rsid w:val="00221C94"/>
    <w:rsid w:val="0022277C"/>
    <w:rsid w:val="00222C4F"/>
    <w:rsid w:val="00222EF8"/>
    <w:rsid w:val="0022328D"/>
    <w:rsid w:val="00223BCC"/>
    <w:rsid w:val="00223D8D"/>
    <w:rsid w:val="00224B25"/>
    <w:rsid w:val="00225064"/>
    <w:rsid w:val="00225086"/>
    <w:rsid w:val="002251D8"/>
    <w:rsid w:val="00225444"/>
    <w:rsid w:val="00225961"/>
    <w:rsid w:val="00225DD5"/>
    <w:rsid w:val="00226C10"/>
    <w:rsid w:val="002272E5"/>
    <w:rsid w:val="0022735F"/>
    <w:rsid w:val="00227B70"/>
    <w:rsid w:val="00227CF8"/>
    <w:rsid w:val="0023008C"/>
    <w:rsid w:val="002308AD"/>
    <w:rsid w:val="00230965"/>
    <w:rsid w:val="00230F41"/>
    <w:rsid w:val="00231250"/>
    <w:rsid w:val="002319D8"/>
    <w:rsid w:val="00232EB2"/>
    <w:rsid w:val="00232F5E"/>
    <w:rsid w:val="00233207"/>
    <w:rsid w:val="002333BE"/>
    <w:rsid w:val="00233D9D"/>
    <w:rsid w:val="002342F0"/>
    <w:rsid w:val="00235365"/>
    <w:rsid w:val="002353C0"/>
    <w:rsid w:val="002363A3"/>
    <w:rsid w:val="002363F0"/>
    <w:rsid w:val="0023699A"/>
    <w:rsid w:val="00236A17"/>
    <w:rsid w:val="00236D0A"/>
    <w:rsid w:val="002378AF"/>
    <w:rsid w:val="00237B28"/>
    <w:rsid w:val="00237F1E"/>
    <w:rsid w:val="0024057F"/>
    <w:rsid w:val="002425A0"/>
    <w:rsid w:val="0024358B"/>
    <w:rsid w:val="00243A3C"/>
    <w:rsid w:val="00244052"/>
    <w:rsid w:val="0024420E"/>
    <w:rsid w:val="00245B1F"/>
    <w:rsid w:val="00246210"/>
    <w:rsid w:val="0024639D"/>
    <w:rsid w:val="0024656F"/>
    <w:rsid w:val="002466A4"/>
    <w:rsid w:val="00246854"/>
    <w:rsid w:val="00246976"/>
    <w:rsid w:val="00246DD1"/>
    <w:rsid w:val="00247E1E"/>
    <w:rsid w:val="00247E4C"/>
    <w:rsid w:val="0025010C"/>
    <w:rsid w:val="00250224"/>
    <w:rsid w:val="0025053D"/>
    <w:rsid w:val="00250832"/>
    <w:rsid w:val="00250959"/>
    <w:rsid w:val="00250AB4"/>
    <w:rsid w:val="00252701"/>
    <w:rsid w:val="0025276A"/>
    <w:rsid w:val="0025280C"/>
    <w:rsid w:val="00252B7A"/>
    <w:rsid w:val="00252C55"/>
    <w:rsid w:val="00252EB0"/>
    <w:rsid w:val="00252F18"/>
    <w:rsid w:val="00253A9F"/>
    <w:rsid w:val="00254536"/>
    <w:rsid w:val="00254552"/>
    <w:rsid w:val="00254769"/>
    <w:rsid w:val="0025525D"/>
    <w:rsid w:val="002558F4"/>
    <w:rsid w:val="00255AA6"/>
    <w:rsid w:val="00255DEA"/>
    <w:rsid w:val="00256645"/>
    <w:rsid w:val="00256AD0"/>
    <w:rsid w:val="00256D04"/>
    <w:rsid w:val="00256D40"/>
    <w:rsid w:val="00256D98"/>
    <w:rsid w:val="00257378"/>
    <w:rsid w:val="00257609"/>
    <w:rsid w:val="00257C5E"/>
    <w:rsid w:val="00261934"/>
    <w:rsid w:val="00261B02"/>
    <w:rsid w:val="00261BF4"/>
    <w:rsid w:val="00261FED"/>
    <w:rsid w:val="00262564"/>
    <w:rsid w:val="0026273C"/>
    <w:rsid w:val="002627A5"/>
    <w:rsid w:val="00262F26"/>
    <w:rsid w:val="00263762"/>
    <w:rsid w:val="002646BD"/>
    <w:rsid w:val="002655E2"/>
    <w:rsid w:val="0026564E"/>
    <w:rsid w:val="0026627C"/>
    <w:rsid w:val="002665C3"/>
    <w:rsid w:val="002667CC"/>
    <w:rsid w:val="00266C17"/>
    <w:rsid w:val="00266E88"/>
    <w:rsid w:val="002675F0"/>
    <w:rsid w:val="00267B95"/>
    <w:rsid w:val="00267E0E"/>
    <w:rsid w:val="00270396"/>
    <w:rsid w:val="00270FE7"/>
    <w:rsid w:val="002710C0"/>
    <w:rsid w:val="00271366"/>
    <w:rsid w:val="0027198E"/>
    <w:rsid w:val="00271F41"/>
    <w:rsid w:val="0027241C"/>
    <w:rsid w:val="00272FD8"/>
    <w:rsid w:val="002733F6"/>
    <w:rsid w:val="0027389B"/>
    <w:rsid w:val="00273F01"/>
    <w:rsid w:val="002741BD"/>
    <w:rsid w:val="002742D3"/>
    <w:rsid w:val="00274622"/>
    <w:rsid w:val="00274874"/>
    <w:rsid w:val="00274B41"/>
    <w:rsid w:val="002750B5"/>
    <w:rsid w:val="002758A4"/>
    <w:rsid w:val="00275DF2"/>
    <w:rsid w:val="0027611C"/>
    <w:rsid w:val="002761D6"/>
    <w:rsid w:val="00276C17"/>
    <w:rsid w:val="00276F96"/>
    <w:rsid w:val="0027767F"/>
    <w:rsid w:val="00277F64"/>
    <w:rsid w:val="00280392"/>
    <w:rsid w:val="00280AB0"/>
    <w:rsid w:val="002810E1"/>
    <w:rsid w:val="0028124E"/>
    <w:rsid w:val="002813CE"/>
    <w:rsid w:val="00281E7D"/>
    <w:rsid w:val="00282086"/>
    <w:rsid w:val="002824D9"/>
    <w:rsid w:val="002829B9"/>
    <w:rsid w:val="00282BC0"/>
    <w:rsid w:val="002830B5"/>
    <w:rsid w:val="0028365E"/>
    <w:rsid w:val="00283DE7"/>
    <w:rsid w:val="002841B3"/>
    <w:rsid w:val="002846D6"/>
    <w:rsid w:val="002847E6"/>
    <w:rsid w:val="00284BCA"/>
    <w:rsid w:val="00285457"/>
    <w:rsid w:val="002858EF"/>
    <w:rsid w:val="00285F43"/>
    <w:rsid w:val="00286A07"/>
    <w:rsid w:val="00286E0B"/>
    <w:rsid w:val="0028706F"/>
    <w:rsid w:val="002877BE"/>
    <w:rsid w:val="00287A1A"/>
    <w:rsid w:val="00287AC3"/>
    <w:rsid w:val="00287B8F"/>
    <w:rsid w:val="00287D8F"/>
    <w:rsid w:val="00287E2C"/>
    <w:rsid w:val="00290661"/>
    <w:rsid w:val="00290834"/>
    <w:rsid w:val="002915F2"/>
    <w:rsid w:val="00291639"/>
    <w:rsid w:val="002916FA"/>
    <w:rsid w:val="00291BD6"/>
    <w:rsid w:val="00291F70"/>
    <w:rsid w:val="002920E6"/>
    <w:rsid w:val="00292196"/>
    <w:rsid w:val="002927BF"/>
    <w:rsid w:val="00292D0E"/>
    <w:rsid w:val="00294290"/>
    <w:rsid w:val="00294515"/>
    <w:rsid w:val="002945D9"/>
    <w:rsid w:val="00294F3B"/>
    <w:rsid w:val="00295235"/>
    <w:rsid w:val="002953B8"/>
    <w:rsid w:val="00295B5C"/>
    <w:rsid w:val="00295E8C"/>
    <w:rsid w:val="0029605E"/>
    <w:rsid w:val="00296109"/>
    <w:rsid w:val="0029642C"/>
    <w:rsid w:val="0029671B"/>
    <w:rsid w:val="00297772"/>
    <w:rsid w:val="00297EF0"/>
    <w:rsid w:val="002A00CE"/>
    <w:rsid w:val="002A0187"/>
    <w:rsid w:val="002A0333"/>
    <w:rsid w:val="002A06C5"/>
    <w:rsid w:val="002A0A57"/>
    <w:rsid w:val="002A0B2E"/>
    <w:rsid w:val="002A0C78"/>
    <w:rsid w:val="002A1139"/>
    <w:rsid w:val="002A1D27"/>
    <w:rsid w:val="002A1E54"/>
    <w:rsid w:val="002A1EE4"/>
    <w:rsid w:val="002A2206"/>
    <w:rsid w:val="002A2224"/>
    <w:rsid w:val="002A25A0"/>
    <w:rsid w:val="002A25D0"/>
    <w:rsid w:val="002A2A5A"/>
    <w:rsid w:val="002A3694"/>
    <w:rsid w:val="002A44F9"/>
    <w:rsid w:val="002A4722"/>
    <w:rsid w:val="002A5765"/>
    <w:rsid w:val="002A5CD9"/>
    <w:rsid w:val="002A5FA6"/>
    <w:rsid w:val="002A633F"/>
    <w:rsid w:val="002A68C1"/>
    <w:rsid w:val="002A70C2"/>
    <w:rsid w:val="002A7326"/>
    <w:rsid w:val="002A7431"/>
    <w:rsid w:val="002A7D71"/>
    <w:rsid w:val="002B01D6"/>
    <w:rsid w:val="002B0442"/>
    <w:rsid w:val="002B0949"/>
    <w:rsid w:val="002B0C20"/>
    <w:rsid w:val="002B0C68"/>
    <w:rsid w:val="002B11DF"/>
    <w:rsid w:val="002B1455"/>
    <w:rsid w:val="002B148D"/>
    <w:rsid w:val="002B17D9"/>
    <w:rsid w:val="002B1E75"/>
    <w:rsid w:val="002B1F95"/>
    <w:rsid w:val="002B23E4"/>
    <w:rsid w:val="002B2871"/>
    <w:rsid w:val="002B2CA8"/>
    <w:rsid w:val="002B2ECC"/>
    <w:rsid w:val="002B366F"/>
    <w:rsid w:val="002B3757"/>
    <w:rsid w:val="002B3D94"/>
    <w:rsid w:val="002B4210"/>
    <w:rsid w:val="002B444A"/>
    <w:rsid w:val="002B48D4"/>
    <w:rsid w:val="002B517B"/>
    <w:rsid w:val="002B5192"/>
    <w:rsid w:val="002B521B"/>
    <w:rsid w:val="002B527F"/>
    <w:rsid w:val="002B53EB"/>
    <w:rsid w:val="002B5996"/>
    <w:rsid w:val="002B5C7D"/>
    <w:rsid w:val="002B691B"/>
    <w:rsid w:val="002B728A"/>
    <w:rsid w:val="002B75B1"/>
    <w:rsid w:val="002B7A3B"/>
    <w:rsid w:val="002B7F7D"/>
    <w:rsid w:val="002C096F"/>
    <w:rsid w:val="002C09C9"/>
    <w:rsid w:val="002C14DA"/>
    <w:rsid w:val="002C1560"/>
    <w:rsid w:val="002C177F"/>
    <w:rsid w:val="002C1F5D"/>
    <w:rsid w:val="002C2AA3"/>
    <w:rsid w:val="002C2DF4"/>
    <w:rsid w:val="002C3CF7"/>
    <w:rsid w:val="002C40A3"/>
    <w:rsid w:val="002C425B"/>
    <w:rsid w:val="002C51A5"/>
    <w:rsid w:val="002C5528"/>
    <w:rsid w:val="002C5529"/>
    <w:rsid w:val="002C5F03"/>
    <w:rsid w:val="002C5F24"/>
    <w:rsid w:val="002C6842"/>
    <w:rsid w:val="002C7127"/>
    <w:rsid w:val="002C77AC"/>
    <w:rsid w:val="002C77D8"/>
    <w:rsid w:val="002C7A32"/>
    <w:rsid w:val="002D06A0"/>
    <w:rsid w:val="002D0CC9"/>
    <w:rsid w:val="002D0F5E"/>
    <w:rsid w:val="002D10C2"/>
    <w:rsid w:val="002D1156"/>
    <w:rsid w:val="002D12A1"/>
    <w:rsid w:val="002D133E"/>
    <w:rsid w:val="002D13D0"/>
    <w:rsid w:val="002D1611"/>
    <w:rsid w:val="002D1922"/>
    <w:rsid w:val="002D20E5"/>
    <w:rsid w:val="002D297C"/>
    <w:rsid w:val="002D30DD"/>
    <w:rsid w:val="002D32A0"/>
    <w:rsid w:val="002D32BE"/>
    <w:rsid w:val="002D39A5"/>
    <w:rsid w:val="002D3B3E"/>
    <w:rsid w:val="002D3E7C"/>
    <w:rsid w:val="002D3FBE"/>
    <w:rsid w:val="002D4C6E"/>
    <w:rsid w:val="002D5577"/>
    <w:rsid w:val="002D5BAF"/>
    <w:rsid w:val="002D5DD4"/>
    <w:rsid w:val="002D6343"/>
    <w:rsid w:val="002D682E"/>
    <w:rsid w:val="002D6C8C"/>
    <w:rsid w:val="002D6FF6"/>
    <w:rsid w:val="002D727A"/>
    <w:rsid w:val="002D73DC"/>
    <w:rsid w:val="002D766A"/>
    <w:rsid w:val="002D76FB"/>
    <w:rsid w:val="002D7E6E"/>
    <w:rsid w:val="002E0175"/>
    <w:rsid w:val="002E068B"/>
    <w:rsid w:val="002E0DFE"/>
    <w:rsid w:val="002E1302"/>
    <w:rsid w:val="002E1735"/>
    <w:rsid w:val="002E1A8F"/>
    <w:rsid w:val="002E1AF7"/>
    <w:rsid w:val="002E1EA0"/>
    <w:rsid w:val="002E2259"/>
    <w:rsid w:val="002E31FB"/>
    <w:rsid w:val="002E3558"/>
    <w:rsid w:val="002E3BFD"/>
    <w:rsid w:val="002E3CC2"/>
    <w:rsid w:val="002E3D81"/>
    <w:rsid w:val="002E3F31"/>
    <w:rsid w:val="002E4280"/>
    <w:rsid w:val="002E490B"/>
    <w:rsid w:val="002E4A4D"/>
    <w:rsid w:val="002E4BFF"/>
    <w:rsid w:val="002E54C0"/>
    <w:rsid w:val="002E5A51"/>
    <w:rsid w:val="002E5C68"/>
    <w:rsid w:val="002E5DA3"/>
    <w:rsid w:val="002E61B9"/>
    <w:rsid w:val="002E6AE6"/>
    <w:rsid w:val="002E7138"/>
    <w:rsid w:val="002E7285"/>
    <w:rsid w:val="002E76AC"/>
    <w:rsid w:val="002E79E3"/>
    <w:rsid w:val="002F0326"/>
    <w:rsid w:val="002F0349"/>
    <w:rsid w:val="002F0381"/>
    <w:rsid w:val="002F1FE2"/>
    <w:rsid w:val="002F2224"/>
    <w:rsid w:val="002F3A20"/>
    <w:rsid w:val="002F4153"/>
    <w:rsid w:val="002F4508"/>
    <w:rsid w:val="002F4F0F"/>
    <w:rsid w:val="002F50D8"/>
    <w:rsid w:val="002F50E3"/>
    <w:rsid w:val="002F5597"/>
    <w:rsid w:val="002F5738"/>
    <w:rsid w:val="002F5812"/>
    <w:rsid w:val="002F63E8"/>
    <w:rsid w:val="002F6E3E"/>
    <w:rsid w:val="002F719A"/>
    <w:rsid w:val="002F7C8A"/>
    <w:rsid w:val="002F7DB9"/>
    <w:rsid w:val="0030024C"/>
    <w:rsid w:val="003005BA"/>
    <w:rsid w:val="003006C5"/>
    <w:rsid w:val="00300D8E"/>
    <w:rsid w:val="00301D76"/>
    <w:rsid w:val="00302864"/>
    <w:rsid w:val="00302D6C"/>
    <w:rsid w:val="00303063"/>
    <w:rsid w:val="00303494"/>
    <w:rsid w:val="0030368A"/>
    <w:rsid w:val="00303691"/>
    <w:rsid w:val="00303EB8"/>
    <w:rsid w:val="00303F9D"/>
    <w:rsid w:val="00303FEB"/>
    <w:rsid w:val="0030411D"/>
    <w:rsid w:val="0030422A"/>
    <w:rsid w:val="00304869"/>
    <w:rsid w:val="003048EA"/>
    <w:rsid w:val="0030520F"/>
    <w:rsid w:val="0030551C"/>
    <w:rsid w:val="003064CE"/>
    <w:rsid w:val="00306B38"/>
    <w:rsid w:val="00306B46"/>
    <w:rsid w:val="003071E0"/>
    <w:rsid w:val="00307FEC"/>
    <w:rsid w:val="00310099"/>
    <w:rsid w:val="0031032A"/>
    <w:rsid w:val="0031106D"/>
    <w:rsid w:val="00311B18"/>
    <w:rsid w:val="00311C0C"/>
    <w:rsid w:val="00311D20"/>
    <w:rsid w:val="00311D4F"/>
    <w:rsid w:val="00312491"/>
    <w:rsid w:val="00312B0C"/>
    <w:rsid w:val="00312D6B"/>
    <w:rsid w:val="00312E24"/>
    <w:rsid w:val="00313554"/>
    <w:rsid w:val="00313605"/>
    <w:rsid w:val="00313918"/>
    <w:rsid w:val="003139A2"/>
    <w:rsid w:val="00313FE2"/>
    <w:rsid w:val="0031420E"/>
    <w:rsid w:val="00314226"/>
    <w:rsid w:val="003144D8"/>
    <w:rsid w:val="0031468D"/>
    <w:rsid w:val="003149DB"/>
    <w:rsid w:val="00315143"/>
    <w:rsid w:val="003158B9"/>
    <w:rsid w:val="00315A9B"/>
    <w:rsid w:val="00316A5F"/>
    <w:rsid w:val="003175E2"/>
    <w:rsid w:val="003176B8"/>
    <w:rsid w:val="00317CD1"/>
    <w:rsid w:val="00317F3C"/>
    <w:rsid w:val="00317F51"/>
    <w:rsid w:val="00320E70"/>
    <w:rsid w:val="003214F7"/>
    <w:rsid w:val="00321D74"/>
    <w:rsid w:val="003224D3"/>
    <w:rsid w:val="00322732"/>
    <w:rsid w:val="0032293E"/>
    <w:rsid w:val="00322ED0"/>
    <w:rsid w:val="00323045"/>
    <w:rsid w:val="003230E7"/>
    <w:rsid w:val="003232F7"/>
    <w:rsid w:val="00323509"/>
    <w:rsid w:val="00323713"/>
    <w:rsid w:val="0032380F"/>
    <w:rsid w:val="00324172"/>
    <w:rsid w:val="00324D84"/>
    <w:rsid w:val="00325051"/>
    <w:rsid w:val="003250E6"/>
    <w:rsid w:val="00327204"/>
    <w:rsid w:val="0032727D"/>
    <w:rsid w:val="00330103"/>
    <w:rsid w:val="003318D2"/>
    <w:rsid w:val="00331DCB"/>
    <w:rsid w:val="0033214B"/>
    <w:rsid w:val="003327CA"/>
    <w:rsid w:val="00332999"/>
    <w:rsid w:val="00332BE7"/>
    <w:rsid w:val="00333347"/>
    <w:rsid w:val="003347A6"/>
    <w:rsid w:val="00334A59"/>
    <w:rsid w:val="003354D9"/>
    <w:rsid w:val="00335501"/>
    <w:rsid w:val="0033573B"/>
    <w:rsid w:val="00335B58"/>
    <w:rsid w:val="00335BBA"/>
    <w:rsid w:val="00335CFB"/>
    <w:rsid w:val="00336325"/>
    <w:rsid w:val="00336352"/>
    <w:rsid w:val="003364B3"/>
    <w:rsid w:val="00336822"/>
    <w:rsid w:val="003374D5"/>
    <w:rsid w:val="00337858"/>
    <w:rsid w:val="00337CBF"/>
    <w:rsid w:val="003403A3"/>
    <w:rsid w:val="003409B6"/>
    <w:rsid w:val="00340DA6"/>
    <w:rsid w:val="00341085"/>
    <w:rsid w:val="00341433"/>
    <w:rsid w:val="0034146E"/>
    <w:rsid w:val="00341BD8"/>
    <w:rsid w:val="00341E62"/>
    <w:rsid w:val="00342014"/>
    <w:rsid w:val="003428F0"/>
    <w:rsid w:val="00342DD2"/>
    <w:rsid w:val="00342DFB"/>
    <w:rsid w:val="003434DC"/>
    <w:rsid w:val="00343CB1"/>
    <w:rsid w:val="00343CBD"/>
    <w:rsid w:val="0034477D"/>
    <w:rsid w:val="00344865"/>
    <w:rsid w:val="00344E98"/>
    <w:rsid w:val="0034557E"/>
    <w:rsid w:val="003455CD"/>
    <w:rsid w:val="00346150"/>
    <w:rsid w:val="003462F2"/>
    <w:rsid w:val="003473C3"/>
    <w:rsid w:val="00347714"/>
    <w:rsid w:val="00347E96"/>
    <w:rsid w:val="00347EE1"/>
    <w:rsid w:val="0035029B"/>
    <w:rsid w:val="0035096A"/>
    <w:rsid w:val="00351007"/>
    <w:rsid w:val="003511AF"/>
    <w:rsid w:val="00351392"/>
    <w:rsid w:val="00351B46"/>
    <w:rsid w:val="00351F40"/>
    <w:rsid w:val="00352160"/>
    <w:rsid w:val="003528C6"/>
    <w:rsid w:val="0035299E"/>
    <w:rsid w:val="00352A96"/>
    <w:rsid w:val="00352C32"/>
    <w:rsid w:val="00352ED2"/>
    <w:rsid w:val="0035319E"/>
    <w:rsid w:val="00353264"/>
    <w:rsid w:val="003538D6"/>
    <w:rsid w:val="00353A99"/>
    <w:rsid w:val="0035446F"/>
    <w:rsid w:val="00354733"/>
    <w:rsid w:val="00354F33"/>
    <w:rsid w:val="003556F5"/>
    <w:rsid w:val="00355F5C"/>
    <w:rsid w:val="0035635C"/>
    <w:rsid w:val="00356D54"/>
    <w:rsid w:val="003571DE"/>
    <w:rsid w:val="003572A6"/>
    <w:rsid w:val="0035748D"/>
    <w:rsid w:val="0036007C"/>
    <w:rsid w:val="003600A2"/>
    <w:rsid w:val="00360652"/>
    <w:rsid w:val="00360B53"/>
    <w:rsid w:val="0036100C"/>
    <w:rsid w:val="00361127"/>
    <w:rsid w:val="00361837"/>
    <w:rsid w:val="003619BD"/>
    <w:rsid w:val="00361A6D"/>
    <w:rsid w:val="00361BFF"/>
    <w:rsid w:val="00362337"/>
    <w:rsid w:val="003623FE"/>
    <w:rsid w:val="00362558"/>
    <w:rsid w:val="0036299B"/>
    <w:rsid w:val="00362DEC"/>
    <w:rsid w:val="0036330F"/>
    <w:rsid w:val="003638C1"/>
    <w:rsid w:val="00363B90"/>
    <w:rsid w:val="00363C44"/>
    <w:rsid w:val="003641C0"/>
    <w:rsid w:val="003644D1"/>
    <w:rsid w:val="00364E5F"/>
    <w:rsid w:val="00365013"/>
    <w:rsid w:val="00365110"/>
    <w:rsid w:val="00365221"/>
    <w:rsid w:val="003657D5"/>
    <w:rsid w:val="003659EE"/>
    <w:rsid w:val="00365A24"/>
    <w:rsid w:val="00366942"/>
    <w:rsid w:val="00366FF2"/>
    <w:rsid w:val="003672C6"/>
    <w:rsid w:val="003676A7"/>
    <w:rsid w:val="0036771E"/>
    <w:rsid w:val="00370A0D"/>
    <w:rsid w:val="00370CC2"/>
    <w:rsid w:val="003712B3"/>
    <w:rsid w:val="00371F5F"/>
    <w:rsid w:val="00372710"/>
    <w:rsid w:val="00373F99"/>
    <w:rsid w:val="003741E7"/>
    <w:rsid w:val="003743F3"/>
    <w:rsid w:val="0037492A"/>
    <w:rsid w:val="00375E10"/>
    <w:rsid w:val="0037630D"/>
    <w:rsid w:val="00376547"/>
    <w:rsid w:val="003766B2"/>
    <w:rsid w:val="00377643"/>
    <w:rsid w:val="00380143"/>
    <w:rsid w:val="00380199"/>
    <w:rsid w:val="003802CD"/>
    <w:rsid w:val="00380822"/>
    <w:rsid w:val="003809DA"/>
    <w:rsid w:val="00380B3A"/>
    <w:rsid w:val="00381294"/>
    <w:rsid w:val="0038139B"/>
    <w:rsid w:val="0038145E"/>
    <w:rsid w:val="00381990"/>
    <w:rsid w:val="00381B1C"/>
    <w:rsid w:val="00381E22"/>
    <w:rsid w:val="003824A2"/>
    <w:rsid w:val="00382528"/>
    <w:rsid w:val="003826A9"/>
    <w:rsid w:val="00382C36"/>
    <w:rsid w:val="0038455A"/>
    <w:rsid w:val="00384A64"/>
    <w:rsid w:val="00385036"/>
    <w:rsid w:val="00385373"/>
    <w:rsid w:val="003858F7"/>
    <w:rsid w:val="00385D06"/>
    <w:rsid w:val="00386641"/>
    <w:rsid w:val="003868A7"/>
    <w:rsid w:val="00386BD8"/>
    <w:rsid w:val="00386BEB"/>
    <w:rsid w:val="00386C26"/>
    <w:rsid w:val="00387063"/>
    <w:rsid w:val="0038721B"/>
    <w:rsid w:val="00387736"/>
    <w:rsid w:val="00387806"/>
    <w:rsid w:val="0039002A"/>
    <w:rsid w:val="00390309"/>
    <w:rsid w:val="0039052A"/>
    <w:rsid w:val="003905E9"/>
    <w:rsid w:val="0039076E"/>
    <w:rsid w:val="00390E78"/>
    <w:rsid w:val="003910D3"/>
    <w:rsid w:val="003910F9"/>
    <w:rsid w:val="00391350"/>
    <w:rsid w:val="0039136F"/>
    <w:rsid w:val="0039152C"/>
    <w:rsid w:val="0039185C"/>
    <w:rsid w:val="00391DDB"/>
    <w:rsid w:val="00391F73"/>
    <w:rsid w:val="003926BC"/>
    <w:rsid w:val="00392780"/>
    <w:rsid w:val="00392E2C"/>
    <w:rsid w:val="00393543"/>
    <w:rsid w:val="0039361D"/>
    <w:rsid w:val="0039404F"/>
    <w:rsid w:val="0039460F"/>
    <w:rsid w:val="0039490A"/>
    <w:rsid w:val="00394AA8"/>
    <w:rsid w:val="003957D7"/>
    <w:rsid w:val="0039585A"/>
    <w:rsid w:val="00395EA4"/>
    <w:rsid w:val="00396236"/>
    <w:rsid w:val="0039663D"/>
    <w:rsid w:val="00396C04"/>
    <w:rsid w:val="00396D12"/>
    <w:rsid w:val="00396F8B"/>
    <w:rsid w:val="003973BA"/>
    <w:rsid w:val="00397585"/>
    <w:rsid w:val="003A028D"/>
    <w:rsid w:val="003A05BD"/>
    <w:rsid w:val="003A18F7"/>
    <w:rsid w:val="003A1AFB"/>
    <w:rsid w:val="003A1D18"/>
    <w:rsid w:val="003A1F42"/>
    <w:rsid w:val="003A1FA8"/>
    <w:rsid w:val="003A2662"/>
    <w:rsid w:val="003A2FB4"/>
    <w:rsid w:val="003A30B5"/>
    <w:rsid w:val="003A3758"/>
    <w:rsid w:val="003A37FF"/>
    <w:rsid w:val="003A3805"/>
    <w:rsid w:val="003A38EA"/>
    <w:rsid w:val="003A392D"/>
    <w:rsid w:val="003A3FB8"/>
    <w:rsid w:val="003A4019"/>
    <w:rsid w:val="003A4270"/>
    <w:rsid w:val="003A43F6"/>
    <w:rsid w:val="003A5145"/>
    <w:rsid w:val="003A51C7"/>
    <w:rsid w:val="003A54B9"/>
    <w:rsid w:val="003A58F1"/>
    <w:rsid w:val="003A614A"/>
    <w:rsid w:val="003A62DF"/>
    <w:rsid w:val="003A6F3A"/>
    <w:rsid w:val="003A6FEE"/>
    <w:rsid w:val="003A7190"/>
    <w:rsid w:val="003A7462"/>
    <w:rsid w:val="003A7489"/>
    <w:rsid w:val="003A7D75"/>
    <w:rsid w:val="003B019D"/>
    <w:rsid w:val="003B055F"/>
    <w:rsid w:val="003B098A"/>
    <w:rsid w:val="003B0A08"/>
    <w:rsid w:val="003B0E35"/>
    <w:rsid w:val="003B0E98"/>
    <w:rsid w:val="003B1A65"/>
    <w:rsid w:val="003B2202"/>
    <w:rsid w:val="003B24B3"/>
    <w:rsid w:val="003B4DE8"/>
    <w:rsid w:val="003B4DF4"/>
    <w:rsid w:val="003B5F7E"/>
    <w:rsid w:val="003B6540"/>
    <w:rsid w:val="003B6839"/>
    <w:rsid w:val="003B6CA2"/>
    <w:rsid w:val="003B6FC7"/>
    <w:rsid w:val="003B7AA0"/>
    <w:rsid w:val="003B7D4D"/>
    <w:rsid w:val="003C03C6"/>
    <w:rsid w:val="003C062A"/>
    <w:rsid w:val="003C0DCB"/>
    <w:rsid w:val="003C0FBF"/>
    <w:rsid w:val="003C1AE3"/>
    <w:rsid w:val="003C1F71"/>
    <w:rsid w:val="003C2667"/>
    <w:rsid w:val="003C3060"/>
    <w:rsid w:val="003C3A1F"/>
    <w:rsid w:val="003C3C1B"/>
    <w:rsid w:val="003C3D52"/>
    <w:rsid w:val="003C4278"/>
    <w:rsid w:val="003C451E"/>
    <w:rsid w:val="003C4E61"/>
    <w:rsid w:val="003C5094"/>
    <w:rsid w:val="003C595B"/>
    <w:rsid w:val="003C5C7B"/>
    <w:rsid w:val="003C5CAA"/>
    <w:rsid w:val="003C675E"/>
    <w:rsid w:val="003C6C70"/>
    <w:rsid w:val="003C6DDF"/>
    <w:rsid w:val="003C6FF1"/>
    <w:rsid w:val="003C7AAA"/>
    <w:rsid w:val="003C7FB7"/>
    <w:rsid w:val="003D05B7"/>
    <w:rsid w:val="003D0961"/>
    <w:rsid w:val="003D0ABE"/>
    <w:rsid w:val="003D0DAA"/>
    <w:rsid w:val="003D0F02"/>
    <w:rsid w:val="003D0FC2"/>
    <w:rsid w:val="003D1FF2"/>
    <w:rsid w:val="003D2AD4"/>
    <w:rsid w:val="003D2F58"/>
    <w:rsid w:val="003D3176"/>
    <w:rsid w:val="003D484D"/>
    <w:rsid w:val="003D4B30"/>
    <w:rsid w:val="003D5086"/>
    <w:rsid w:val="003D5613"/>
    <w:rsid w:val="003D5AB9"/>
    <w:rsid w:val="003D5B41"/>
    <w:rsid w:val="003D5DEA"/>
    <w:rsid w:val="003D5E3E"/>
    <w:rsid w:val="003D6555"/>
    <w:rsid w:val="003D6653"/>
    <w:rsid w:val="003D6750"/>
    <w:rsid w:val="003D6EFB"/>
    <w:rsid w:val="003D7A90"/>
    <w:rsid w:val="003D7D78"/>
    <w:rsid w:val="003E0071"/>
    <w:rsid w:val="003E0816"/>
    <w:rsid w:val="003E0BE9"/>
    <w:rsid w:val="003E15E6"/>
    <w:rsid w:val="003E1A6D"/>
    <w:rsid w:val="003E1AE7"/>
    <w:rsid w:val="003E1D44"/>
    <w:rsid w:val="003E2C73"/>
    <w:rsid w:val="003E2CEF"/>
    <w:rsid w:val="003E31A6"/>
    <w:rsid w:val="003E37B5"/>
    <w:rsid w:val="003E39D2"/>
    <w:rsid w:val="003E3B74"/>
    <w:rsid w:val="003E3CFA"/>
    <w:rsid w:val="003E3DDB"/>
    <w:rsid w:val="003E4597"/>
    <w:rsid w:val="003E4F9A"/>
    <w:rsid w:val="003E55B0"/>
    <w:rsid w:val="003E5718"/>
    <w:rsid w:val="003E5CD2"/>
    <w:rsid w:val="003E61AC"/>
    <w:rsid w:val="003E629A"/>
    <w:rsid w:val="003E6AB9"/>
    <w:rsid w:val="003E6E38"/>
    <w:rsid w:val="003E6E3F"/>
    <w:rsid w:val="003E706F"/>
    <w:rsid w:val="003E751A"/>
    <w:rsid w:val="003E75CA"/>
    <w:rsid w:val="003E789D"/>
    <w:rsid w:val="003E7EB1"/>
    <w:rsid w:val="003F04EE"/>
    <w:rsid w:val="003F1600"/>
    <w:rsid w:val="003F16AD"/>
    <w:rsid w:val="003F235A"/>
    <w:rsid w:val="003F2E22"/>
    <w:rsid w:val="003F3254"/>
    <w:rsid w:val="003F32F2"/>
    <w:rsid w:val="003F3879"/>
    <w:rsid w:val="003F3D32"/>
    <w:rsid w:val="003F3FD2"/>
    <w:rsid w:val="003F4518"/>
    <w:rsid w:val="003F4B3B"/>
    <w:rsid w:val="003F4ED6"/>
    <w:rsid w:val="003F506E"/>
    <w:rsid w:val="003F557C"/>
    <w:rsid w:val="003F597C"/>
    <w:rsid w:val="003F5E2E"/>
    <w:rsid w:val="003F6912"/>
    <w:rsid w:val="003F6AF6"/>
    <w:rsid w:val="00400363"/>
    <w:rsid w:val="00400527"/>
    <w:rsid w:val="004009E8"/>
    <w:rsid w:val="00400B5A"/>
    <w:rsid w:val="00400F85"/>
    <w:rsid w:val="0040133C"/>
    <w:rsid w:val="004015DA"/>
    <w:rsid w:val="00401CE0"/>
    <w:rsid w:val="004020A8"/>
    <w:rsid w:val="00402248"/>
    <w:rsid w:val="00402497"/>
    <w:rsid w:val="004025F4"/>
    <w:rsid w:val="00402A74"/>
    <w:rsid w:val="004034C8"/>
    <w:rsid w:val="00403C25"/>
    <w:rsid w:val="00403FC6"/>
    <w:rsid w:val="00404986"/>
    <w:rsid w:val="00404A4D"/>
    <w:rsid w:val="00404BC7"/>
    <w:rsid w:val="00404F46"/>
    <w:rsid w:val="00405094"/>
    <w:rsid w:val="00405253"/>
    <w:rsid w:val="004053D1"/>
    <w:rsid w:val="00405614"/>
    <w:rsid w:val="004058C5"/>
    <w:rsid w:val="00405FDD"/>
    <w:rsid w:val="004064B2"/>
    <w:rsid w:val="004067FE"/>
    <w:rsid w:val="00406DB6"/>
    <w:rsid w:val="0040703A"/>
    <w:rsid w:val="00407609"/>
    <w:rsid w:val="0041045C"/>
    <w:rsid w:val="00411F25"/>
    <w:rsid w:val="004121E7"/>
    <w:rsid w:val="00412749"/>
    <w:rsid w:val="00413234"/>
    <w:rsid w:val="004133E1"/>
    <w:rsid w:val="0041379F"/>
    <w:rsid w:val="00414229"/>
    <w:rsid w:val="004143C8"/>
    <w:rsid w:val="004148F3"/>
    <w:rsid w:val="00414C70"/>
    <w:rsid w:val="004159A0"/>
    <w:rsid w:val="00415DA0"/>
    <w:rsid w:val="00415FCF"/>
    <w:rsid w:val="0041625E"/>
    <w:rsid w:val="00416746"/>
    <w:rsid w:val="00416A85"/>
    <w:rsid w:val="00416D77"/>
    <w:rsid w:val="004170FE"/>
    <w:rsid w:val="0041730B"/>
    <w:rsid w:val="00417665"/>
    <w:rsid w:val="00417D48"/>
    <w:rsid w:val="00417EEF"/>
    <w:rsid w:val="0042036D"/>
    <w:rsid w:val="0042045D"/>
    <w:rsid w:val="00420C2B"/>
    <w:rsid w:val="00420D9B"/>
    <w:rsid w:val="00421093"/>
    <w:rsid w:val="0042172C"/>
    <w:rsid w:val="0042262C"/>
    <w:rsid w:val="0042292F"/>
    <w:rsid w:val="00422F75"/>
    <w:rsid w:val="00423A95"/>
    <w:rsid w:val="00423ED3"/>
    <w:rsid w:val="00424225"/>
    <w:rsid w:val="004249E7"/>
    <w:rsid w:val="00424B35"/>
    <w:rsid w:val="00424D84"/>
    <w:rsid w:val="00424F36"/>
    <w:rsid w:val="004257E9"/>
    <w:rsid w:val="0042689F"/>
    <w:rsid w:val="00426A8F"/>
    <w:rsid w:val="00426B38"/>
    <w:rsid w:val="00426CDE"/>
    <w:rsid w:val="00427765"/>
    <w:rsid w:val="00430316"/>
    <w:rsid w:val="00430327"/>
    <w:rsid w:val="0043039A"/>
    <w:rsid w:val="004312A7"/>
    <w:rsid w:val="00431552"/>
    <w:rsid w:val="00431A0E"/>
    <w:rsid w:val="00431AAC"/>
    <w:rsid w:val="00431D84"/>
    <w:rsid w:val="00431DB4"/>
    <w:rsid w:val="004321B6"/>
    <w:rsid w:val="004330F0"/>
    <w:rsid w:val="004335E3"/>
    <w:rsid w:val="00433EB9"/>
    <w:rsid w:val="004341FC"/>
    <w:rsid w:val="00434422"/>
    <w:rsid w:val="004347F2"/>
    <w:rsid w:val="0043500F"/>
    <w:rsid w:val="00435B57"/>
    <w:rsid w:val="00435C56"/>
    <w:rsid w:val="00435C91"/>
    <w:rsid w:val="00436AD4"/>
    <w:rsid w:val="00436FF1"/>
    <w:rsid w:val="00437547"/>
    <w:rsid w:val="0043755A"/>
    <w:rsid w:val="004377C2"/>
    <w:rsid w:val="00437C9C"/>
    <w:rsid w:val="00441500"/>
    <w:rsid w:val="004416AB"/>
    <w:rsid w:val="00441A6D"/>
    <w:rsid w:val="00441CDA"/>
    <w:rsid w:val="00441FF8"/>
    <w:rsid w:val="0044241C"/>
    <w:rsid w:val="00442825"/>
    <w:rsid w:val="00442D36"/>
    <w:rsid w:val="004432B7"/>
    <w:rsid w:val="00443A65"/>
    <w:rsid w:val="00443EFF"/>
    <w:rsid w:val="004443C6"/>
    <w:rsid w:val="004444A9"/>
    <w:rsid w:val="0044456D"/>
    <w:rsid w:val="00444BCD"/>
    <w:rsid w:val="00444C0A"/>
    <w:rsid w:val="00444C0E"/>
    <w:rsid w:val="00444D3A"/>
    <w:rsid w:val="00445F93"/>
    <w:rsid w:val="00446063"/>
    <w:rsid w:val="004461F5"/>
    <w:rsid w:val="00446735"/>
    <w:rsid w:val="0044675A"/>
    <w:rsid w:val="00446AA9"/>
    <w:rsid w:val="004470F1"/>
    <w:rsid w:val="00450DA4"/>
    <w:rsid w:val="00450F10"/>
    <w:rsid w:val="00452239"/>
    <w:rsid w:val="00452359"/>
    <w:rsid w:val="00452376"/>
    <w:rsid w:val="00452D43"/>
    <w:rsid w:val="004530FF"/>
    <w:rsid w:val="0045337F"/>
    <w:rsid w:val="00453993"/>
    <w:rsid w:val="00453A5A"/>
    <w:rsid w:val="00453D4D"/>
    <w:rsid w:val="00453F4D"/>
    <w:rsid w:val="00455911"/>
    <w:rsid w:val="00455CAC"/>
    <w:rsid w:val="004560D1"/>
    <w:rsid w:val="00456879"/>
    <w:rsid w:val="00456C29"/>
    <w:rsid w:val="00457009"/>
    <w:rsid w:val="004579FD"/>
    <w:rsid w:val="00457FD3"/>
    <w:rsid w:val="00460137"/>
    <w:rsid w:val="0046020B"/>
    <w:rsid w:val="00460E24"/>
    <w:rsid w:val="00461A75"/>
    <w:rsid w:val="00461AB0"/>
    <w:rsid w:val="00461E85"/>
    <w:rsid w:val="0046242B"/>
    <w:rsid w:val="004629EB"/>
    <w:rsid w:val="00462EF8"/>
    <w:rsid w:val="00462F8E"/>
    <w:rsid w:val="004644DB"/>
    <w:rsid w:val="00464A78"/>
    <w:rsid w:val="00464AFC"/>
    <w:rsid w:val="0046527A"/>
    <w:rsid w:val="00465434"/>
    <w:rsid w:val="00465B51"/>
    <w:rsid w:val="00465CBE"/>
    <w:rsid w:val="004663B5"/>
    <w:rsid w:val="00466A9B"/>
    <w:rsid w:val="0046759E"/>
    <w:rsid w:val="00470157"/>
    <w:rsid w:val="004701A0"/>
    <w:rsid w:val="00470F77"/>
    <w:rsid w:val="00471532"/>
    <w:rsid w:val="00471A4A"/>
    <w:rsid w:val="00471F02"/>
    <w:rsid w:val="00472140"/>
    <w:rsid w:val="004721E1"/>
    <w:rsid w:val="0047220F"/>
    <w:rsid w:val="004723FA"/>
    <w:rsid w:val="00472454"/>
    <w:rsid w:val="00472583"/>
    <w:rsid w:val="0047259D"/>
    <w:rsid w:val="004726C0"/>
    <w:rsid w:val="00472976"/>
    <w:rsid w:val="004729F5"/>
    <w:rsid w:val="004736FB"/>
    <w:rsid w:val="00474D4D"/>
    <w:rsid w:val="00475808"/>
    <w:rsid w:val="0047581D"/>
    <w:rsid w:val="0047680F"/>
    <w:rsid w:val="00476B76"/>
    <w:rsid w:val="00476CEF"/>
    <w:rsid w:val="00476F46"/>
    <w:rsid w:val="004776DE"/>
    <w:rsid w:val="00477E0D"/>
    <w:rsid w:val="00477E56"/>
    <w:rsid w:val="0048000B"/>
    <w:rsid w:val="00480860"/>
    <w:rsid w:val="00480875"/>
    <w:rsid w:val="00480ABB"/>
    <w:rsid w:val="00480D9B"/>
    <w:rsid w:val="00480E40"/>
    <w:rsid w:val="0048128A"/>
    <w:rsid w:val="00481407"/>
    <w:rsid w:val="004817B2"/>
    <w:rsid w:val="004818B3"/>
    <w:rsid w:val="00481BDE"/>
    <w:rsid w:val="004823B7"/>
    <w:rsid w:val="0048281A"/>
    <w:rsid w:val="004828FF"/>
    <w:rsid w:val="0048291E"/>
    <w:rsid w:val="00482970"/>
    <w:rsid w:val="00483553"/>
    <w:rsid w:val="0048366F"/>
    <w:rsid w:val="00483B7B"/>
    <w:rsid w:val="00483C84"/>
    <w:rsid w:val="00483CFE"/>
    <w:rsid w:val="00483DE8"/>
    <w:rsid w:val="00484A8B"/>
    <w:rsid w:val="00484B45"/>
    <w:rsid w:val="00484BD9"/>
    <w:rsid w:val="00484DBD"/>
    <w:rsid w:val="004859BC"/>
    <w:rsid w:val="00486C07"/>
    <w:rsid w:val="004870D8"/>
    <w:rsid w:val="004878A3"/>
    <w:rsid w:val="00487BD7"/>
    <w:rsid w:val="00487BEC"/>
    <w:rsid w:val="00487DB8"/>
    <w:rsid w:val="00490052"/>
    <w:rsid w:val="00490CB8"/>
    <w:rsid w:val="00490FC2"/>
    <w:rsid w:val="00490FE4"/>
    <w:rsid w:val="00491A9C"/>
    <w:rsid w:val="00491B02"/>
    <w:rsid w:val="00491C29"/>
    <w:rsid w:val="0049276F"/>
    <w:rsid w:val="0049295E"/>
    <w:rsid w:val="00492A48"/>
    <w:rsid w:val="00493D6F"/>
    <w:rsid w:val="004956F5"/>
    <w:rsid w:val="00495A31"/>
    <w:rsid w:val="00495F7D"/>
    <w:rsid w:val="00496318"/>
    <w:rsid w:val="004969EB"/>
    <w:rsid w:val="00496D30"/>
    <w:rsid w:val="00496DE7"/>
    <w:rsid w:val="00496E08"/>
    <w:rsid w:val="00497271"/>
    <w:rsid w:val="004976D0"/>
    <w:rsid w:val="00497974"/>
    <w:rsid w:val="00497A14"/>
    <w:rsid w:val="00497C4C"/>
    <w:rsid w:val="004A019C"/>
    <w:rsid w:val="004A01FF"/>
    <w:rsid w:val="004A0442"/>
    <w:rsid w:val="004A0B92"/>
    <w:rsid w:val="004A0FF2"/>
    <w:rsid w:val="004A11C7"/>
    <w:rsid w:val="004A1393"/>
    <w:rsid w:val="004A13F7"/>
    <w:rsid w:val="004A150D"/>
    <w:rsid w:val="004A1643"/>
    <w:rsid w:val="004A1CA0"/>
    <w:rsid w:val="004A2816"/>
    <w:rsid w:val="004A2C30"/>
    <w:rsid w:val="004A2CF4"/>
    <w:rsid w:val="004A3289"/>
    <w:rsid w:val="004A38FF"/>
    <w:rsid w:val="004A3BD9"/>
    <w:rsid w:val="004A3D7B"/>
    <w:rsid w:val="004A3EEC"/>
    <w:rsid w:val="004A42C3"/>
    <w:rsid w:val="004A4993"/>
    <w:rsid w:val="004A4B17"/>
    <w:rsid w:val="004A5A7F"/>
    <w:rsid w:val="004A61BF"/>
    <w:rsid w:val="004A63C2"/>
    <w:rsid w:val="004A6AE5"/>
    <w:rsid w:val="004A6C4C"/>
    <w:rsid w:val="004A7486"/>
    <w:rsid w:val="004A7A97"/>
    <w:rsid w:val="004A7F68"/>
    <w:rsid w:val="004B006C"/>
    <w:rsid w:val="004B0D31"/>
    <w:rsid w:val="004B18B4"/>
    <w:rsid w:val="004B1C14"/>
    <w:rsid w:val="004B1E37"/>
    <w:rsid w:val="004B24D7"/>
    <w:rsid w:val="004B252C"/>
    <w:rsid w:val="004B29B0"/>
    <w:rsid w:val="004B2BBC"/>
    <w:rsid w:val="004B2C5A"/>
    <w:rsid w:val="004B3533"/>
    <w:rsid w:val="004B37E2"/>
    <w:rsid w:val="004B385A"/>
    <w:rsid w:val="004B3A6E"/>
    <w:rsid w:val="004B3A92"/>
    <w:rsid w:val="004B3DC0"/>
    <w:rsid w:val="004B3F7D"/>
    <w:rsid w:val="004B404F"/>
    <w:rsid w:val="004B44E6"/>
    <w:rsid w:val="004B47DC"/>
    <w:rsid w:val="004B4E61"/>
    <w:rsid w:val="004B53CF"/>
    <w:rsid w:val="004B5E59"/>
    <w:rsid w:val="004B650C"/>
    <w:rsid w:val="004B6FB1"/>
    <w:rsid w:val="004B740C"/>
    <w:rsid w:val="004B7F3F"/>
    <w:rsid w:val="004C05CA"/>
    <w:rsid w:val="004C0661"/>
    <w:rsid w:val="004C083C"/>
    <w:rsid w:val="004C098A"/>
    <w:rsid w:val="004C09A8"/>
    <w:rsid w:val="004C0A85"/>
    <w:rsid w:val="004C135B"/>
    <w:rsid w:val="004C13A1"/>
    <w:rsid w:val="004C13B7"/>
    <w:rsid w:val="004C16C4"/>
    <w:rsid w:val="004C1B37"/>
    <w:rsid w:val="004C24E3"/>
    <w:rsid w:val="004C2A3A"/>
    <w:rsid w:val="004C2FE8"/>
    <w:rsid w:val="004C30D2"/>
    <w:rsid w:val="004C31CE"/>
    <w:rsid w:val="004C43D1"/>
    <w:rsid w:val="004C4456"/>
    <w:rsid w:val="004C4B1D"/>
    <w:rsid w:val="004C4D17"/>
    <w:rsid w:val="004C56FC"/>
    <w:rsid w:val="004C64AA"/>
    <w:rsid w:val="004C6B8E"/>
    <w:rsid w:val="004C7101"/>
    <w:rsid w:val="004C71E1"/>
    <w:rsid w:val="004C7550"/>
    <w:rsid w:val="004C75DD"/>
    <w:rsid w:val="004C7A22"/>
    <w:rsid w:val="004D066F"/>
    <w:rsid w:val="004D079A"/>
    <w:rsid w:val="004D0DAA"/>
    <w:rsid w:val="004D1071"/>
    <w:rsid w:val="004D1146"/>
    <w:rsid w:val="004D1147"/>
    <w:rsid w:val="004D1BA0"/>
    <w:rsid w:val="004D215D"/>
    <w:rsid w:val="004D25D2"/>
    <w:rsid w:val="004D3B89"/>
    <w:rsid w:val="004D3D3E"/>
    <w:rsid w:val="004D405E"/>
    <w:rsid w:val="004D461F"/>
    <w:rsid w:val="004D4E8A"/>
    <w:rsid w:val="004D4EB3"/>
    <w:rsid w:val="004D4F44"/>
    <w:rsid w:val="004D5B97"/>
    <w:rsid w:val="004D63A9"/>
    <w:rsid w:val="004D6772"/>
    <w:rsid w:val="004D769F"/>
    <w:rsid w:val="004D7AE3"/>
    <w:rsid w:val="004E0725"/>
    <w:rsid w:val="004E0B67"/>
    <w:rsid w:val="004E119B"/>
    <w:rsid w:val="004E251B"/>
    <w:rsid w:val="004E2761"/>
    <w:rsid w:val="004E2932"/>
    <w:rsid w:val="004E29B1"/>
    <w:rsid w:val="004E2AEE"/>
    <w:rsid w:val="004E2B4B"/>
    <w:rsid w:val="004E2E1E"/>
    <w:rsid w:val="004E2EAE"/>
    <w:rsid w:val="004E38CA"/>
    <w:rsid w:val="004E3B25"/>
    <w:rsid w:val="004E3E83"/>
    <w:rsid w:val="004E41A8"/>
    <w:rsid w:val="004E437D"/>
    <w:rsid w:val="004E4B6F"/>
    <w:rsid w:val="004E4FB3"/>
    <w:rsid w:val="004E5072"/>
    <w:rsid w:val="004E5391"/>
    <w:rsid w:val="004E601B"/>
    <w:rsid w:val="004E6AFA"/>
    <w:rsid w:val="004E7031"/>
    <w:rsid w:val="004E705E"/>
    <w:rsid w:val="004E73B5"/>
    <w:rsid w:val="004E7E8A"/>
    <w:rsid w:val="004F03B0"/>
    <w:rsid w:val="004F0485"/>
    <w:rsid w:val="004F0555"/>
    <w:rsid w:val="004F0EA9"/>
    <w:rsid w:val="004F115F"/>
    <w:rsid w:val="004F11D8"/>
    <w:rsid w:val="004F20C0"/>
    <w:rsid w:val="004F2385"/>
    <w:rsid w:val="004F253D"/>
    <w:rsid w:val="004F263A"/>
    <w:rsid w:val="004F26CE"/>
    <w:rsid w:val="004F2E0F"/>
    <w:rsid w:val="004F2EA1"/>
    <w:rsid w:val="004F3355"/>
    <w:rsid w:val="004F36AE"/>
    <w:rsid w:val="004F3A02"/>
    <w:rsid w:val="004F3BFF"/>
    <w:rsid w:val="004F4F70"/>
    <w:rsid w:val="004F5060"/>
    <w:rsid w:val="004F5982"/>
    <w:rsid w:val="004F5A9C"/>
    <w:rsid w:val="004F5DE2"/>
    <w:rsid w:val="004F6360"/>
    <w:rsid w:val="004F6B2B"/>
    <w:rsid w:val="004F784B"/>
    <w:rsid w:val="004F7D39"/>
    <w:rsid w:val="004F7E73"/>
    <w:rsid w:val="00500474"/>
    <w:rsid w:val="00500B49"/>
    <w:rsid w:val="005011E6"/>
    <w:rsid w:val="0050193D"/>
    <w:rsid w:val="00501E88"/>
    <w:rsid w:val="00501FAF"/>
    <w:rsid w:val="0050225F"/>
    <w:rsid w:val="0050251B"/>
    <w:rsid w:val="00502647"/>
    <w:rsid w:val="00502C74"/>
    <w:rsid w:val="00502C9F"/>
    <w:rsid w:val="00502D9C"/>
    <w:rsid w:val="005036BA"/>
    <w:rsid w:val="00503EC1"/>
    <w:rsid w:val="00504938"/>
    <w:rsid w:val="00504A10"/>
    <w:rsid w:val="00504DA7"/>
    <w:rsid w:val="00505E85"/>
    <w:rsid w:val="00506712"/>
    <w:rsid w:val="00506D94"/>
    <w:rsid w:val="00507CA5"/>
    <w:rsid w:val="00507EE1"/>
    <w:rsid w:val="00510027"/>
    <w:rsid w:val="0051023B"/>
    <w:rsid w:val="00510556"/>
    <w:rsid w:val="00510D58"/>
    <w:rsid w:val="005116B7"/>
    <w:rsid w:val="005116BF"/>
    <w:rsid w:val="00511FAE"/>
    <w:rsid w:val="00511FF5"/>
    <w:rsid w:val="005123D5"/>
    <w:rsid w:val="005124C7"/>
    <w:rsid w:val="00512A4F"/>
    <w:rsid w:val="00512CB6"/>
    <w:rsid w:val="00512FA5"/>
    <w:rsid w:val="005133F6"/>
    <w:rsid w:val="005140A6"/>
    <w:rsid w:val="00514767"/>
    <w:rsid w:val="00514A9E"/>
    <w:rsid w:val="0051509E"/>
    <w:rsid w:val="005153C1"/>
    <w:rsid w:val="00515623"/>
    <w:rsid w:val="00515CB6"/>
    <w:rsid w:val="00515F14"/>
    <w:rsid w:val="00516068"/>
    <w:rsid w:val="00516265"/>
    <w:rsid w:val="00516394"/>
    <w:rsid w:val="00516782"/>
    <w:rsid w:val="00516AFF"/>
    <w:rsid w:val="005173E5"/>
    <w:rsid w:val="005174D1"/>
    <w:rsid w:val="00517B54"/>
    <w:rsid w:val="00517BC3"/>
    <w:rsid w:val="00520A2D"/>
    <w:rsid w:val="00520DCA"/>
    <w:rsid w:val="00520E5F"/>
    <w:rsid w:val="00520F7A"/>
    <w:rsid w:val="005212FF"/>
    <w:rsid w:val="00521397"/>
    <w:rsid w:val="00521A85"/>
    <w:rsid w:val="005221BD"/>
    <w:rsid w:val="0052339B"/>
    <w:rsid w:val="00523901"/>
    <w:rsid w:val="00523916"/>
    <w:rsid w:val="0052392E"/>
    <w:rsid w:val="0052396F"/>
    <w:rsid w:val="005239DB"/>
    <w:rsid w:val="005243EC"/>
    <w:rsid w:val="0052442A"/>
    <w:rsid w:val="00524FC8"/>
    <w:rsid w:val="00525092"/>
    <w:rsid w:val="005254CF"/>
    <w:rsid w:val="0052551A"/>
    <w:rsid w:val="0052563C"/>
    <w:rsid w:val="00526464"/>
    <w:rsid w:val="00526C6F"/>
    <w:rsid w:val="00527A81"/>
    <w:rsid w:val="00527FC0"/>
    <w:rsid w:val="00527FDA"/>
    <w:rsid w:val="005316A1"/>
    <w:rsid w:val="00531B21"/>
    <w:rsid w:val="0053309A"/>
    <w:rsid w:val="005331EC"/>
    <w:rsid w:val="0053387E"/>
    <w:rsid w:val="00533B58"/>
    <w:rsid w:val="005342BD"/>
    <w:rsid w:val="00534B78"/>
    <w:rsid w:val="00535633"/>
    <w:rsid w:val="00535BBE"/>
    <w:rsid w:val="00536B37"/>
    <w:rsid w:val="00536C9B"/>
    <w:rsid w:val="00536E7C"/>
    <w:rsid w:val="0054067B"/>
    <w:rsid w:val="00540830"/>
    <w:rsid w:val="00540856"/>
    <w:rsid w:val="00540C83"/>
    <w:rsid w:val="00541241"/>
    <w:rsid w:val="00541818"/>
    <w:rsid w:val="00541B64"/>
    <w:rsid w:val="00541E65"/>
    <w:rsid w:val="005420DC"/>
    <w:rsid w:val="0054285E"/>
    <w:rsid w:val="005428DC"/>
    <w:rsid w:val="00542DE8"/>
    <w:rsid w:val="00543AEC"/>
    <w:rsid w:val="005444A3"/>
    <w:rsid w:val="005445C9"/>
    <w:rsid w:val="005459D0"/>
    <w:rsid w:val="00545D4C"/>
    <w:rsid w:val="00545E59"/>
    <w:rsid w:val="0054614A"/>
    <w:rsid w:val="0054628E"/>
    <w:rsid w:val="00546291"/>
    <w:rsid w:val="005466A3"/>
    <w:rsid w:val="00546B52"/>
    <w:rsid w:val="005472E8"/>
    <w:rsid w:val="00547487"/>
    <w:rsid w:val="00547535"/>
    <w:rsid w:val="00547571"/>
    <w:rsid w:val="0054784F"/>
    <w:rsid w:val="00547DED"/>
    <w:rsid w:val="00547F0E"/>
    <w:rsid w:val="00550A2C"/>
    <w:rsid w:val="00551571"/>
    <w:rsid w:val="00551D99"/>
    <w:rsid w:val="00552202"/>
    <w:rsid w:val="00552823"/>
    <w:rsid w:val="005531CF"/>
    <w:rsid w:val="00554724"/>
    <w:rsid w:val="005550A2"/>
    <w:rsid w:val="005552EB"/>
    <w:rsid w:val="005555D8"/>
    <w:rsid w:val="00555826"/>
    <w:rsid w:val="00555A90"/>
    <w:rsid w:val="0055631C"/>
    <w:rsid w:val="00556B16"/>
    <w:rsid w:val="00557283"/>
    <w:rsid w:val="005574B6"/>
    <w:rsid w:val="0055754A"/>
    <w:rsid w:val="00557738"/>
    <w:rsid w:val="00557C30"/>
    <w:rsid w:val="00557C58"/>
    <w:rsid w:val="00557DD5"/>
    <w:rsid w:val="00557E31"/>
    <w:rsid w:val="00560067"/>
    <w:rsid w:val="00560079"/>
    <w:rsid w:val="00560A1A"/>
    <w:rsid w:val="005613E2"/>
    <w:rsid w:val="00561555"/>
    <w:rsid w:val="0056197B"/>
    <w:rsid w:val="00561D6A"/>
    <w:rsid w:val="00561DFC"/>
    <w:rsid w:val="005625C2"/>
    <w:rsid w:val="00562CA0"/>
    <w:rsid w:val="005630F7"/>
    <w:rsid w:val="00563B9A"/>
    <w:rsid w:val="00564DCD"/>
    <w:rsid w:val="00565BCC"/>
    <w:rsid w:val="00565BD1"/>
    <w:rsid w:val="00565BED"/>
    <w:rsid w:val="0056619C"/>
    <w:rsid w:val="005661D6"/>
    <w:rsid w:val="0056678E"/>
    <w:rsid w:val="00566E77"/>
    <w:rsid w:val="00567301"/>
    <w:rsid w:val="0056762E"/>
    <w:rsid w:val="005705FD"/>
    <w:rsid w:val="00570F19"/>
    <w:rsid w:val="00570F5F"/>
    <w:rsid w:val="00571320"/>
    <w:rsid w:val="0057152C"/>
    <w:rsid w:val="00571A9A"/>
    <w:rsid w:val="00571DB0"/>
    <w:rsid w:val="0057218D"/>
    <w:rsid w:val="00572921"/>
    <w:rsid w:val="00572A93"/>
    <w:rsid w:val="005739D3"/>
    <w:rsid w:val="00573AE3"/>
    <w:rsid w:val="00573F31"/>
    <w:rsid w:val="00574783"/>
    <w:rsid w:val="00574B31"/>
    <w:rsid w:val="00574C37"/>
    <w:rsid w:val="00574F17"/>
    <w:rsid w:val="00575386"/>
    <w:rsid w:val="005760A3"/>
    <w:rsid w:val="0057680D"/>
    <w:rsid w:val="00576B6D"/>
    <w:rsid w:val="0057764C"/>
    <w:rsid w:val="00577978"/>
    <w:rsid w:val="00577BF5"/>
    <w:rsid w:val="0058048D"/>
    <w:rsid w:val="005807C6"/>
    <w:rsid w:val="00580869"/>
    <w:rsid w:val="00580CC6"/>
    <w:rsid w:val="0058132A"/>
    <w:rsid w:val="00581597"/>
    <w:rsid w:val="00581698"/>
    <w:rsid w:val="00581B3A"/>
    <w:rsid w:val="00581BA3"/>
    <w:rsid w:val="00581CFD"/>
    <w:rsid w:val="00581D39"/>
    <w:rsid w:val="005821C4"/>
    <w:rsid w:val="00582A0E"/>
    <w:rsid w:val="00582C92"/>
    <w:rsid w:val="00583123"/>
    <w:rsid w:val="00583207"/>
    <w:rsid w:val="00583646"/>
    <w:rsid w:val="005839D1"/>
    <w:rsid w:val="00584117"/>
    <w:rsid w:val="005849D4"/>
    <w:rsid w:val="00584B51"/>
    <w:rsid w:val="00584C37"/>
    <w:rsid w:val="00585736"/>
    <w:rsid w:val="0058587D"/>
    <w:rsid w:val="00585F13"/>
    <w:rsid w:val="00586143"/>
    <w:rsid w:val="00587234"/>
    <w:rsid w:val="005901E6"/>
    <w:rsid w:val="005903F1"/>
    <w:rsid w:val="00590779"/>
    <w:rsid w:val="00590865"/>
    <w:rsid w:val="00591690"/>
    <w:rsid w:val="00591797"/>
    <w:rsid w:val="005919C2"/>
    <w:rsid w:val="00591A16"/>
    <w:rsid w:val="00591C34"/>
    <w:rsid w:val="00592201"/>
    <w:rsid w:val="00592B41"/>
    <w:rsid w:val="00592B7B"/>
    <w:rsid w:val="00592E20"/>
    <w:rsid w:val="00592F05"/>
    <w:rsid w:val="00593580"/>
    <w:rsid w:val="00593711"/>
    <w:rsid w:val="005941E4"/>
    <w:rsid w:val="00594406"/>
    <w:rsid w:val="00594C92"/>
    <w:rsid w:val="00594CA4"/>
    <w:rsid w:val="005952CC"/>
    <w:rsid w:val="0059624C"/>
    <w:rsid w:val="00596492"/>
    <w:rsid w:val="005964EA"/>
    <w:rsid w:val="0059661D"/>
    <w:rsid w:val="005967D3"/>
    <w:rsid w:val="00596E85"/>
    <w:rsid w:val="005A0251"/>
    <w:rsid w:val="005A0735"/>
    <w:rsid w:val="005A07D1"/>
    <w:rsid w:val="005A114E"/>
    <w:rsid w:val="005A17F5"/>
    <w:rsid w:val="005A1D38"/>
    <w:rsid w:val="005A22B2"/>
    <w:rsid w:val="005A2409"/>
    <w:rsid w:val="005A24F5"/>
    <w:rsid w:val="005A35ED"/>
    <w:rsid w:val="005A3930"/>
    <w:rsid w:val="005A3B17"/>
    <w:rsid w:val="005A3E8F"/>
    <w:rsid w:val="005A3EB8"/>
    <w:rsid w:val="005A4877"/>
    <w:rsid w:val="005A4CBF"/>
    <w:rsid w:val="005A4D0A"/>
    <w:rsid w:val="005A4E82"/>
    <w:rsid w:val="005A518D"/>
    <w:rsid w:val="005A51E4"/>
    <w:rsid w:val="005A5F57"/>
    <w:rsid w:val="005A6723"/>
    <w:rsid w:val="005A6C78"/>
    <w:rsid w:val="005A6CF9"/>
    <w:rsid w:val="005A6D8C"/>
    <w:rsid w:val="005A734F"/>
    <w:rsid w:val="005A73F6"/>
    <w:rsid w:val="005A7544"/>
    <w:rsid w:val="005A7D53"/>
    <w:rsid w:val="005A7D72"/>
    <w:rsid w:val="005A7F0D"/>
    <w:rsid w:val="005A7F6D"/>
    <w:rsid w:val="005B0212"/>
    <w:rsid w:val="005B0CCE"/>
    <w:rsid w:val="005B12EF"/>
    <w:rsid w:val="005B17D4"/>
    <w:rsid w:val="005B1C4C"/>
    <w:rsid w:val="005B2937"/>
    <w:rsid w:val="005B2C54"/>
    <w:rsid w:val="005B3231"/>
    <w:rsid w:val="005B3C08"/>
    <w:rsid w:val="005B402C"/>
    <w:rsid w:val="005B4148"/>
    <w:rsid w:val="005B4198"/>
    <w:rsid w:val="005B42AC"/>
    <w:rsid w:val="005B471C"/>
    <w:rsid w:val="005B4ADA"/>
    <w:rsid w:val="005B4F01"/>
    <w:rsid w:val="005B563C"/>
    <w:rsid w:val="005B58CC"/>
    <w:rsid w:val="005B5AF5"/>
    <w:rsid w:val="005B6119"/>
    <w:rsid w:val="005B6B88"/>
    <w:rsid w:val="005B7194"/>
    <w:rsid w:val="005B77A2"/>
    <w:rsid w:val="005B78CD"/>
    <w:rsid w:val="005B7C28"/>
    <w:rsid w:val="005C0332"/>
    <w:rsid w:val="005C04D6"/>
    <w:rsid w:val="005C0F7D"/>
    <w:rsid w:val="005C15FF"/>
    <w:rsid w:val="005C1665"/>
    <w:rsid w:val="005C1D90"/>
    <w:rsid w:val="005C1FFA"/>
    <w:rsid w:val="005C366E"/>
    <w:rsid w:val="005C3870"/>
    <w:rsid w:val="005C3DA4"/>
    <w:rsid w:val="005C429A"/>
    <w:rsid w:val="005C4E4C"/>
    <w:rsid w:val="005C50C4"/>
    <w:rsid w:val="005C6285"/>
    <w:rsid w:val="005C63FF"/>
    <w:rsid w:val="005C6716"/>
    <w:rsid w:val="005C6C13"/>
    <w:rsid w:val="005C7149"/>
    <w:rsid w:val="005D06C4"/>
    <w:rsid w:val="005D0E77"/>
    <w:rsid w:val="005D1EE7"/>
    <w:rsid w:val="005D22B5"/>
    <w:rsid w:val="005D248A"/>
    <w:rsid w:val="005D250E"/>
    <w:rsid w:val="005D25FF"/>
    <w:rsid w:val="005D2A7D"/>
    <w:rsid w:val="005D2DDE"/>
    <w:rsid w:val="005D2F59"/>
    <w:rsid w:val="005D3096"/>
    <w:rsid w:val="005D34A7"/>
    <w:rsid w:val="005D3852"/>
    <w:rsid w:val="005D3C15"/>
    <w:rsid w:val="005D4085"/>
    <w:rsid w:val="005D42A8"/>
    <w:rsid w:val="005D43D9"/>
    <w:rsid w:val="005D4B24"/>
    <w:rsid w:val="005D5BFA"/>
    <w:rsid w:val="005D5FCA"/>
    <w:rsid w:val="005D663F"/>
    <w:rsid w:val="005D7436"/>
    <w:rsid w:val="005D79CB"/>
    <w:rsid w:val="005D7D70"/>
    <w:rsid w:val="005E0A8C"/>
    <w:rsid w:val="005E0E2B"/>
    <w:rsid w:val="005E12A8"/>
    <w:rsid w:val="005E1EC1"/>
    <w:rsid w:val="005E2011"/>
    <w:rsid w:val="005E227B"/>
    <w:rsid w:val="005E24CE"/>
    <w:rsid w:val="005E3A1B"/>
    <w:rsid w:val="005E3A95"/>
    <w:rsid w:val="005E4128"/>
    <w:rsid w:val="005E5166"/>
    <w:rsid w:val="005E546A"/>
    <w:rsid w:val="005E60C3"/>
    <w:rsid w:val="005E6FD7"/>
    <w:rsid w:val="005E7791"/>
    <w:rsid w:val="005E7AF5"/>
    <w:rsid w:val="005E7B14"/>
    <w:rsid w:val="005E7CF4"/>
    <w:rsid w:val="005F0373"/>
    <w:rsid w:val="005F07AB"/>
    <w:rsid w:val="005F2357"/>
    <w:rsid w:val="005F2CA5"/>
    <w:rsid w:val="005F2DC7"/>
    <w:rsid w:val="005F4576"/>
    <w:rsid w:val="005F4AFE"/>
    <w:rsid w:val="005F4B24"/>
    <w:rsid w:val="005F4D5C"/>
    <w:rsid w:val="005F5332"/>
    <w:rsid w:val="005F5505"/>
    <w:rsid w:val="005F5730"/>
    <w:rsid w:val="005F5F65"/>
    <w:rsid w:val="005F647E"/>
    <w:rsid w:val="005F701B"/>
    <w:rsid w:val="005F7870"/>
    <w:rsid w:val="005F7E2E"/>
    <w:rsid w:val="005F7F53"/>
    <w:rsid w:val="00600043"/>
    <w:rsid w:val="00600AE1"/>
    <w:rsid w:val="00600D8F"/>
    <w:rsid w:val="006011B5"/>
    <w:rsid w:val="00601369"/>
    <w:rsid w:val="006013C1"/>
    <w:rsid w:val="006016BA"/>
    <w:rsid w:val="006019D7"/>
    <w:rsid w:val="00601E34"/>
    <w:rsid w:val="00601ED0"/>
    <w:rsid w:val="00602A5F"/>
    <w:rsid w:val="00602B0E"/>
    <w:rsid w:val="00602D83"/>
    <w:rsid w:val="006030DF"/>
    <w:rsid w:val="0060323B"/>
    <w:rsid w:val="006033B8"/>
    <w:rsid w:val="00604654"/>
    <w:rsid w:val="00604800"/>
    <w:rsid w:val="006055CF"/>
    <w:rsid w:val="006058FB"/>
    <w:rsid w:val="00605927"/>
    <w:rsid w:val="00605CF1"/>
    <w:rsid w:val="0060639C"/>
    <w:rsid w:val="006066EC"/>
    <w:rsid w:val="00606A6E"/>
    <w:rsid w:val="00607B48"/>
    <w:rsid w:val="00607C42"/>
    <w:rsid w:val="00610B06"/>
    <w:rsid w:val="00610BB8"/>
    <w:rsid w:val="006111AE"/>
    <w:rsid w:val="006114AD"/>
    <w:rsid w:val="00611C53"/>
    <w:rsid w:val="00611FCD"/>
    <w:rsid w:val="00612053"/>
    <w:rsid w:val="00612961"/>
    <w:rsid w:val="00612A15"/>
    <w:rsid w:val="00612D5E"/>
    <w:rsid w:val="00613255"/>
    <w:rsid w:val="00613859"/>
    <w:rsid w:val="00613F36"/>
    <w:rsid w:val="00613F4F"/>
    <w:rsid w:val="006144B5"/>
    <w:rsid w:val="006145BF"/>
    <w:rsid w:val="00614876"/>
    <w:rsid w:val="0061512F"/>
    <w:rsid w:val="00616285"/>
    <w:rsid w:val="006167B3"/>
    <w:rsid w:val="00620326"/>
    <w:rsid w:val="00620372"/>
    <w:rsid w:val="00621018"/>
    <w:rsid w:val="00621B78"/>
    <w:rsid w:val="006221B6"/>
    <w:rsid w:val="006224D1"/>
    <w:rsid w:val="00623230"/>
    <w:rsid w:val="00623323"/>
    <w:rsid w:val="00623757"/>
    <w:rsid w:val="00623E46"/>
    <w:rsid w:val="00624039"/>
    <w:rsid w:val="0062432A"/>
    <w:rsid w:val="0062481B"/>
    <w:rsid w:val="00624B85"/>
    <w:rsid w:val="00624BC1"/>
    <w:rsid w:val="006257E1"/>
    <w:rsid w:val="0062616C"/>
    <w:rsid w:val="00626496"/>
    <w:rsid w:val="00627327"/>
    <w:rsid w:val="00627D10"/>
    <w:rsid w:val="00631B8D"/>
    <w:rsid w:val="00631C90"/>
    <w:rsid w:val="0063226D"/>
    <w:rsid w:val="006326CF"/>
    <w:rsid w:val="0063295C"/>
    <w:rsid w:val="00633A37"/>
    <w:rsid w:val="006349CB"/>
    <w:rsid w:val="00634CA4"/>
    <w:rsid w:val="00634F92"/>
    <w:rsid w:val="00635E48"/>
    <w:rsid w:val="00636007"/>
    <w:rsid w:val="00636C35"/>
    <w:rsid w:val="00636E0C"/>
    <w:rsid w:val="00636EF4"/>
    <w:rsid w:val="00636F3C"/>
    <w:rsid w:val="0063714B"/>
    <w:rsid w:val="0063717F"/>
    <w:rsid w:val="006375C4"/>
    <w:rsid w:val="0064003D"/>
    <w:rsid w:val="00640B23"/>
    <w:rsid w:val="00641272"/>
    <w:rsid w:val="00641872"/>
    <w:rsid w:val="00641B2D"/>
    <w:rsid w:val="00641CC4"/>
    <w:rsid w:val="00642BBF"/>
    <w:rsid w:val="00642EE2"/>
    <w:rsid w:val="0064364F"/>
    <w:rsid w:val="00643C53"/>
    <w:rsid w:val="00643CDC"/>
    <w:rsid w:val="00643D7C"/>
    <w:rsid w:val="00643FBD"/>
    <w:rsid w:val="00645740"/>
    <w:rsid w:val="0064691E"/>
    <w:rsid w:val="00646A01"/>
    <w:rsid w:val="00646DEE"/>
    <w:rsid w:val="006478B6"/>
    <w:rsid w:val="00647AE8"/>
    <w:rsid w:val="00647BA7"/>
    <w:rsid w:val="00647E84"/>
    <w:rsid w:val="00650671"/>
    <w:rsid w:val="006513A1"/>
    <w:rsid w:val="00652072"/>
    <w:rsid w:val="0065318F"/>
    <w:rsid w:val="006542F1"/>
    <w:rsid w:val="0065463E"/>
    <w:rsid w:val="0065498C"/>
    <w:rsid w:val="00654B3C"/>
    <w:rsid w:val="0065636E"/>
    <w:rsid w:val="0065640F"/>
    <w:rsid w:val="00656918"/>
    <w:rsid w:val="00656D47"/>
    <w:rsid w:val="00656DDD"/>
    <w:rsid w:val="0066071F"/>
    <w:rsid w:val="00660ACE"/>
    <w:rsid w:val="00660F8F"/>
    <w:rsid w:val="0066107D"/>
    <w:rsid w:val="00661DE4"/>
    <w:rsid w:val="00661F57"/>
    <w:rsid w:val="006620D8"/>
    <w:rsid w:val="006625F0"/>
    <w:rsid w:val="00662612"/>
    <w:rsid w:val="00662ABE"/>
    <w:rsid w:val="00663022"/>
    <w:rsid w:val="006636B6"/>
    <w:rsid w:val="0066399F"/>
    <w:rsid w:val="006639E9"/>
    <w:rsid w:val="00663A56"/>
    <w:rsid w:val="00663B44"/>
    <w:rsid w:val="00663F50"/>
    <w:rsid w:val="00664995"/>
    <w:rsid w:val="00664D46"/>
    <w:rsid w:val="00665456"/>
    <w:rsid w:val="0066549A"/>
    <w:rsid w:val="0066550A"/>
    <w:rsid w:val="00665820"/>
    <w:rsid w:val="00666024"/>
    <w:rsid w:val="00666047"/>
    <w:rsid w:val="00666C80"/>
    <w:rsid w:val="00667783"/>
    <w:rsid w:val="00667B08"/>
    <w:rsid w:val="0067030A"/>
    <w:rsid w:val="00670C84"/>
    <w:rsid w:val="00671255"/>
    <w:rsid w:val="0067159F"/>
    <w:rsid w:val="00671A24"/>
    <w:rsid w:val="00671EFD"/>
    <w:rsid w:val="00671F08"/>
    <w:rsid w:val="00672645"/>
    <w:rsid w:val="006726A1"/>
    <w:rsid w:val="006726B2"/>
    <w:rsid w:val="006727D3"/>
    <w:rsid w:val="00673180"/>
    <w:rsid w:val="00673784"/>
    <w:rsid w:val="00674234"/>
    <w:rsid w:val="00674705"/>
    <w:rsid w:val="00674FE7"/>
    <w:rsid w:val="006754BE"/>
    <w:rsid w:val="00675961"/>
    <w:rsid w:val="00676700"/>
    <w:rsid w:val="00676758"/>
    <w:rsid w:val="006767E3"/>
    <w:rsid w:val="0067680B"/>
    <w:rsid w:val="00676BA8"/>
    <w:rsid w:val="00676F54"/>
    <w:rsid w:val="006770BB"/>
    <w:rsid w:val="00677467"/>
    <w:rsid w:val="00680021"/>
    <w:rsid w:val="00680154"/>
    <w:rsid w:val="00680384"/>
    <w:rsid w:val="00680448"/>
    <w:rsid w:val="00680579"/>
    <w:rsid w:val="00680A5D"/>
    <w:rsid w:val="00681105"/>
    <w:rsid w:val="0068165A"/>
    <w:rsid w:val="00681AAF"/>
    <w:rsid w:val="00681D40"/>
    <w:rsid w:val="00682340"/>
    <w:rsid w:val="006829E6"/>
    <w:rsid w:val="00682BE2"/>
    <w:rsid w:val="00682DD7"/>
    <w:rsid w:val="00682EED"/>
    <w:rsid w:val="00683678"/>
    <w:rsid w:val="00683A76"/>
    <w:rsid w:val="00683C7E"/>
    <w:rsid w:val="00683DB5"/>
    <w:rsid w:val="0068402C"/>
    <w:rsid w:val="006840EB"/>
    <w:rsid w:val="00684B4A"/>
    <w:rsid w:val="00684B75"/>
    <w:rsid w:val="00685100"/>
    <w:rsid w:val="006854F1"/>
    <w:rsid w:val="00685B14"/>
    <w:rsid w:val="00685D08"/>
    <w:rsid w:val="006864F1"/>
    <w:rsid w:val="00686524"/>
    <w:rsid w:val="00686F5D"/>
    <w:rsid w:val="00687298"/>
    <w:rsid w:val="006874F6"/>
    <w:rsid w:val="0068758F"/>
    <w:rsid w:val="0069090C"/>
    <w:rsid w:val="0069166C"/>
    <w:rsid w:val="0069172D"/>
    <w:rsid w:val="006918A7"/>
    <w:rsid w:val="0069230B"/>
    <w:rsid w:val="00693212"/>
    <w:rsid w:val="006935F1"/>
    <w:rsid w:val="00693751"/>
    <w:rsid w:val="00693813"/>
    <w:rsid w:val="00693B84"/>
    <w:rsid w:val="006945D0"/>
    <w:rsid w:val="006947CE"/>
    <w:rsid w:val="00695587"/>
    <w:rsid w:val="006955F3"/>
    <w:rsid w:val="006968E6"/>
    <w:rsid w:val="00696E6C"/>
    <w:rsid w:val="00696E9D"/>
    <w:rsid w:val="00696FB0"/>
    <w:rsid w:val="00697040"/>
    <w:rsid w:val="006977D2"/>
    <w:rsid w:val="006978E9"/>
    <w:rsid w:val="00697C07"/>
    <w:rsid w:val="00697EF6"/>
    <w:rsid w:val="006A08CE"/>
    <w:rsid w:val="006A0B09"/>
    <w:rsid w:val="006A0D7B"/>
    <w:rsid w:val="006A10B2"/>
    <w:rsid w:val="006A13BA"/>
    <w:rsid w:val="006A16DB"/>
    <w:rsid w:val="006A1AA3"/>
    <w:rsid w:val="006A1ACA"/>
    <w:rsid w:val="006A2C88"/>
    <w:rsid w:val="006A3229"/>
    <w:rsid w:val="006A3562"/>
    <w:rsid w:val="006A37E7"/>
    <w:rsid w:val="006A4118"/>
    <w:rsid w:val="006A4206"/>
    <w:rsid w:val="006A4ACF"/>
    <w:rsid w:val="006A4BD2"/>
    <w:rsid w:val="006A5388"/>
    <w:rsid w:val="006A554A"/>
    <w:rsid w:val="006A55B0"/>
    <w:rsid w:val="006A60B4"/>
    <w:rsid w:val="006A61CD"/>
    <w:rsid w:val="006A6F86"/>
    <w:rsid w:val="006A7128"/>
    <w:rsid w:val="006A7227"/>
    <w:rsid w:val="006A7413"/>
    <w:rsid w:val="006B03E7"/>
    <w:rsid w:val="006B0690"/>
    <w:rsid w:val="006B0809"/>
    <w:rsid w:val="006B0812"/>
    <w:rsid w:val="006B125B"/>
    <w:rsid w:val="006B13B5"/>
    <w:rsid w:val="006B22C9"/>
    <w:rsid w:val="006B2611"/>
    <w:rsid w:val="006B2A27"/>
    <w:rsid w:val="006B317A"/>
    <w:rsid w:val="006B32F9"/>
    <w:rsid w:val="006B3653"/>
    <w:rsid w:val="006B366C"/>
    <w:rsid w:val="006B3894"/>
    <w:rsid w:val="006B3C0F"/>
    <w:rsid w:val="006B3E3C"/>
    <w:rsid w:val="006B41BF"/>
    <w:rsid w:val="006B46AD"/>
    <w:rsid w:val="006B4A02"/>
    <w:rsid w:val="006B4D1F"/>
    <w:rsid w:val="006B51E6"/>
    <w:rsid w:val="006B54D6"/>
    <w:rsid w:val="006B5576"/>
    <w:rsid w:val="006B5723"/>
    <w:rsid w:val="006B5D88"/>
    <w:rsid w:val="006B6783"/>
    <w:rsid w:val="006B6B1D"/>
    <w:rsid w:val="006B6D1B"/>
    <w:rsid w:val="006B76B2"/>
    <w:rsid w:val="006C04CE"/>
    <w:rsid w:val="006C0709"/>
    <w:rsid w:val="006C0732"/>
    <w:rsid w:val="006C15B9"/>
    <w:rsid w:val="006C183D"/>
    <w:rsid w:val="006C1F56"/>
    <w:rsid w:val="006C216A"/>
    <w:rsid w:val="006C24A5"/>
    <w:rsid w:val="006C2E1B"/>
    <w:rsid w:val="006C3162"/>
    <w:rsid w:val="006C3237"/>
    <w:rsid w:val="006C32F5"/>
    <w:rsid w:val="006C3614"/>
    <w:rsid w:val="006C3C94"/>
    <w:rsid w:val="006C3E67"/>
    <w:rsid w:val="006C40E8"/>
    <w:rsid w:val="006C44C9"/>
    <w:rsid w:val="006C4A1C"/>
    <w:rsid w:val="006C4E88"/>
    <w:rsid w:val="006C50DA"/>
    <w:rsid w:val="006C61EC"/>
    <w:rsid w:val="006C7403"/>
    <w:rsid w:val="006C7883"/>
    <w:rsid w:val="006D0377"/>
    <w:rsid w:val="006D0417"/>
    <w:rsid w:val="006D1B6E"/>
    <w:rsid w:val="006D2765"/>
    <w:rsid w:val="006D27D3"/>
    <w:rsid w:val="006D2C8F"/>
    <w:rsid w:val="006D2CDF"/>
    <w:rsid w:val="006D2FD4"/>
    <w:rsid w:val="006D326F"/>
    <w:rsid w:val="006D334C"/>
    <w:rsid w:val="006D3472"/>
    <w:rsid w:val="006D35ED"/>
    <w:rsid w:val="006D4C01"/>
    <w:rsid w:val="006D50D6"/>
    <w:rsid w:val="006D5919"/>
    <w:rsid w:val="006D6215"/>
    <w:rsid w:val="006D638E"/>
    <w:rsid w:val="006D6430"/>
    <w:rsid w:val="006D6434"/>
    <w:rsid w:val="006D6570"/>
    <w:rsid w:val="006D6E2A"/>
    <w:rsid w:val="006D6EAE"/>
    <w:rsid w:val="006D7269"/>
    <w:rsid w:val="006D7704"/>
    <w:rsid w:val="006E019D"/>
    <w:rsid w:val="006E031F"/>
    <w:rsid w:val="006E0848"/>
    <w:rsid w:val="006E0F83"/>
    <w:rsid w:val="006E1877"/>
    <w:rsid w:val="006E1A1D"/>
    <w:rsid w:val="006E2142"/>
    <w:rsid w:val="006E2312"/>
    <w:rsid w:val="006E27F2"/>
    <w:rsid w:val="006E2961"/>
    <w:rsid w:val="006E2E4E"/>
    <w:rsid w:val="006E2F3F"/>
    <w:rsid w:val="006E30FF"/>
    <w:rsid w:val="006E3285"/>
    <w:rsid w:val="006E3939"/>
    <w:rsid w:val="006E43C3"/>
    <w:rsid w:val="006E4537"/>
    <w:rsid w:val="006E4B73"/>
    <w:rsid w:val="006E4D1E"/>
    <w:rsid w:val="006E531E"/>
    <w:rsid w:val="006E53D7"/>
    <w:rsid w:val="006E5443"/>
    <w:rsid w:val="006E5653"/>
    <w:rsid w:val="006E58BB"/>
    <w:rsid w:val="006E5BA8"/>
    <w:rsid w:val="006E6400"/>
    <w:rsid w:val="006E6406"/>
    <w:rsid w:val="006E64D5"/>
    <w:rsid w:val="006E652C"/>
    <w:rsid w:val="006E673E"/>
    <w:rsid w:val="006E67EB"/>
    <w:rsid w:val="006E6D99"/>
    <w:rsid w:val="006E75D5"/>
    <w:rsid w:val="006E7667"/>
    <w:rsid w:val="006E7807"/>
    <w:rsid w:val="006F000E"/>
    <w:rsid w:val="006F079A"/>
    <w:rsid w:val="006F08EF"/>
    <w:rsid w:val="006F09FA"/>
    <w:rsid w:val="006F0DB1"/>
    <w:rsid w:val="006F0FD2"/>
    <w:rsid w:val="006F1603"/>
    <w:rsid w:val="006F1B03"/>
    <w:rsid w:val="006F22C7"/>
    <w:rsid w:val="006F274A"/>
    <w:rsid w:val="006F27DA"/>
    <w:rsid w:val="006F2A40"/>
    <w:rsid w:val="006F2D68"/>
    <w:rsid w:val="006F3056"/>
    <w:rsid w:val="006F47E4"/>
    <w:rsid w:val="006F4A7D"/>
    <w:rsid w:val="006F5116"/>
    <w:rsid w:val="006F513A"/>
    <w:rsid w:val="006F522F"/>
    <w:rsid w:val="006F588C"/>
    <w:rsid w:val="006F5C97"/>
    <w:rsid w:val="006F6114"/>
    <w:rsid w:val="006F624A"/>
    <w:rsid w:val="006F70B1"/>
    <w:rsid w:val="006F72A0"/>
    <w:rsid w:val="006F7846"/>
    <w:rsid w:val="00700232"/>
    <w:rsid w:val="0070052D"/>
    <w:rsid w:val="007005C1"/>
    <w:rsid w:val="00700DF7"/>
    <w:rsid w:val="00700E3E"/>
    <w:rsid w:val="00700EC6"/>
    <w:rsid w:val="0070133A"/>
    <w:rsid w:val="00701402"/>
    <w:rsid w:val="00701C9E"/>
    <w:rsid w:val="007022D6"/>
    <w:rsid w:val="00702945"/>
    <w:rsid w:val="00702979"/>
    <w:rsid w:val="00702C11"/>
    <w:rsid w:val="007030E6"/>
    <w:rsid w:val="0070319C"/>
    <w:rsid w:val="00703262"/>
    <w:rsid w:val="00703291"/>
    <w:rsid w:val="00703F7B"/>
    <w:rsid w:val="00703FAF"/>
    <w:rsid w:val="00704729"/>
    <w:rsid w:val="00704B3E"/>
    <w:rsid w:val="00704C11"/>
    <w:rsid w:val="00704C42"/>
    <w:rsid w:val="00705330"/>
    <w:rsid w:val="007060CA"/>
    <w:rsid w:val="007063FA"/>
    <w:rsid w:val="0070659C"/>
    <w:rsid w:val="00706623"/>
    <w:rsid w:val="00706FE7"/>
    <w:rsid w:val="00707163"/>
    <w:rsid w:val="0070720D"/>
    <w:rsid w:val="007073B6"/>
    <w:rsid w:val="00707FE8"/>
    <w:rsid w:val="00710099"/>
    <w:rsid w:val="007103B1"/>
    <w:rsid w:val="00710DC9"/>
    <w:rsid w:val="00711A11"/>
    <w:rsid w:val="00711A92"/>
    <w:rsid w:val="00711B9C"/>
    <w:rsid w:val="007128ED"/>
    <w:rsid w:val="007131DF"/>
    <w:rsid w:val="007135FE"/>
    <w:rsid w:val="00713850"/>
    <w:rsid w:val="007147D7"/>
    <w:rsid w:val="007148BA"/>
    <w:rsid w:val="00714DAB"/>
    <w:rsid w:val="0071503C"/>
    <w:rsid w:val="007150D5"/>
    <w:rsid w:val="00715381"/>
    <w:rsid w:val="00715AA0"/>
    <w:rsid w:val="0071655E"/>
    <w:rsid w:val="00716B45"/>
    <w:rsid w:val="00716BC0"/>
    <w:rsid w:val="00716CFC"/>
    <w:rsid w:val="00717940"/>
    <w:rsid w:val="00717B94"/>
    <w:rsid w:val="00717D49"/>
    <w:rsid w:val="00717D98"/>
    <w:rsid w:val="00720449"/>
    <w:rsid w:val="00720D43"/>
    <w:rsid w:val="00720FFB"/>
    <w:rsid w:val="0072108E"/>
    <w:rsid w:val="00721B91"/>
    <w:rsid w:val="00722123"/>
    <w:rsid w:val="00722155"/>
    <w:rsid w:val="007224CF"/>
    <w:rsid w:val="00722638"/>
    <w:rsid w:val="00722869"/>
    <w:rsid w:val="00722A8B"/>
    <w:rsid w:val="0072352E"/>
    <w:rsid w:val="00723C08"/>
    <w:rsid w:val="0072453D"/>
    <w:rsid w:val="007245D5"/>
    <w:rsid w:val="007246ED"/>
    <w:rsid w:val="00724779"/>
    <w:rsid w:val="00724DEB"/>
    <w:rsid w:val="00725447"/>
    <w:rsid w:val="00726B2B"/>
    <w:rsid w:val="00726DCE"/>
    <w:rsid w:val="00727C62"/>
    <w:rsid w:val="00727EC6"/>
    <w:rsid w:val="00727F39"/>
    <w:rsid w:val="00730BFC"/>
    <w:rsid w:val="00730E47"/>
    <w:rsid w:val="00730F7B"/>
    <w:rsid w:val="007310F3"/>
    <w:rsid w:val="007311B5"/>
    <w:rsid w:val="00731491"/>
    <w:rsid w:val="0073184A"/>
    <w:rsid w:val="00731C50"/>
    <w:rsid w:val="007320EB"/>
    <w:rsid w:val="007323D0"/>
    <w:rsid w:val="0073297A"/>
    <w:rsid w:val="00732F02"/>
    <w:rsid w:val="00733468"/>
    <w:rsid w:val="007334A0"/>
    <w:rsid w:val="00733EE2"/>
    <w:rsid w:val="007346FE"/>
    <w:rsid w:val="00734913"/>
    <w:rsid w:val="00734E7C"/>
    <w:rsid w:val="00735AEB"/>
    <w:rsid w:val="00735DB8"/>
    <w:rsid w:val="00735DDC"/>
    <w:rsid w:val="00735E9B"/>
    <w:rsid w:val="0073655C"/>
    <w:rsid w:val="007368A1"/>
    <w:rsid w:val="00736C4F"/>
    <w:rsid w:val="007372CC"/>
    <w:rsid w:val="0073762B"/>
    <w:rsid w:val="00737831"/>
    <w:rsid w:val="007402E0"/>
    <w:rsid w:val="00740677"/>
    <w:rsid w:val="00740775"/>
    <w:rsid w:val="007408E3"/>
    <w:rsid w:val="00740FD0"/>
    <w:rsid w:val="00741016"/>
    <w:rsid w:val="0074155E"/>
    <w:rsid w:val="00741DB3"/>
    <w:rsid w:val="00742122"/>
    <w:rsid w:val="00742406"/>
    <w:rsid w:val="007428BB"/>
    <w:rsid w:val="00743718"/>
    <w:rsid w:val="007438AE"/>
    <w:rsid w:val="00743E85"/>
    <w:rsid w:val="0074409D"/>
    <w:rsid w:val="007442FA"/>
    <w:rsid w:val="007452D8"/>
    <w:rsid w:val="00746774"/>
    <w:rsid w:val="00746FD2"/>
    <w:rsid w:val="007476F7"/>
    <w:rsid w:val="007477E1"/>
    <w:rsid w:val="00747ACC"/>
    <w:rsid w:val="00747FED"/>
    <w:rsid w:val="007500A2"/>
    <w:rsid w:val="007500CD"/>
    <w:rsid w:val="0075017A"/>
    <w:rsid w:val="00750234"/>
    <w:rsid w:val="00750451"/>
    <w:rsid w:val="0075053D"/>
    <w:rsid w:val="0075055C"/>
    <w:rsid w:val="00750AF5"/>
    <w:rsid w:val="00750BD0"/>
    <w:rsid w:val="00750FA2"/>
    <w:rsid w:val="00750FBB"/>
    <w:rsid w:val="00751106"/>
    <w:rsid w:val="00751CE0"/>
    <w:rsid w:val="00751D47"/>
    <w:rsid w:val="00752FDC"/>
    <w:rsid w:val="0075313C"/>
    <w:rsid w:val="00753508"/>
    <w:rsid w:val="0075365D"/>
    <w:rsid w:val="00753B68"/>
    <w:rsid w:val="007546C4"/>
    <w:rsid w:val="00754A85"/>
    <w:rsid w:val="00754B11"/>
    <w:rsid w:val="00754C1F"/>
    <w:rsid w:val="00754D14"/>
    <w:rsid w:val="007553E4"/>
    <w:rsid w:val="00755DA8"/>
    <w:rsid w:val="007562AB"/>
    <w:rsid w:val="007568B8"/>
    <w:rsid w:val="00756E1C"/>
    <w:rsid w:val="007572F3"/>
    <w:rsid w:val="007572FB"/>
    <w:rsid w:val="00757858"/>
    <w:rsid w:val="00757894"/>
    <w:rsid w:val="00757B0F"/>
    <w:rsid w:val="00760018"/>
    <w:rsid w:val="00760EEB"/>
    <w:rsid w:val="007610D4"/>
    <w:rsid w:val="0076126C"/>
    <w:rsid w:val="00761AC9"/>
    <w:rsid w:val="00761C93"/>
    <w:rsid w:val="007623C2"/>
    <w:rsid w:val="0076261F"/>
    <w:rsid w:val="007627F3"/>
    <w:rsid w:val="00762B70"/>
    <w:rsid w:val="00762FA8"/>
    <w:rsid w:val="00763082"/>
    <w:rsid w:val="007641AF"/>
    <w:rsid w:val="00764A2A"/>
    <w:rsid w:val="00764DD0"/>
    <w:rsid w:val="00764DDE"/>
    <w:rsid w:val="0076505B"/>
    <w:rsid w:val="00765AC6"/>
    <w:rsid w:val="00765CA9"/>
    <w:rsid w:val="00765FAA"/>
    <w:rsid w:val="00766A43"/>
    <w:rsid w:val="00766C85"/>
    <w:rsid w:val="0076744A"/>
    <w:rsid w:val="00767A9D"/>
    <w:rsid w:val="00767DF8"/>
    <w:rsid w:val="00767F81"/>
    <w:rsid w:val="007702F6"/>
    <w:rsid w:val="007714B4"/>
    <w:rsid w:val="00771869"/>
    <w:rsid w:val="00771CE2"/>
    <w:rsid w:val="00771D0A"/>
    <w:rsid w:val="0077204A"/>
    <w:rsid w:val="007722C8"/>
    <w:rsid w:val="00772777"/>
    <w:rsid w:val="00772A02"/>
    <w:rsid w:val="00772D11"/>
    <w:rsid w:val="00772D36"/>
    <w:rsid w:val="00772DC4"/>
    <w:rsid w:val="007730DD"/>
    <w:rsid w:val="00773602"/>
    <w:rsid w:val="00773CCD"/>
    <w:rsid w:val="00773EF7"/>
    <w:rsid w:val="007749FD"/>
    <w:rsid w:val="00774B21"/>
    <w:rsid w:val="00775398"/>
    <w:rsid w:val="00775DE0"/>
    <w:rsid w:val="0077663E"/>
    <w:rsid w:val="007767DC"/>
    <w:rsid w:val="0077687A"/>
    <w:rsid w:val="00776C5D"/>
    <w:rsid w:val="00776DAE"/>
    <w:rsid w:val="007772DF"/>
    <w:rsid w:val="0077760B"/>
    <w:rsid w:val="00777700"/>
    <w:rsid w:val="0077799B"/>
    <w:rsid w:val="00777C39"/>
    <w:rsid w:val="007805D6"/>
    <w:rsid w:val="00780C67"/>
    <w:rsid w:val="00780E5B"/>
    <w:rsid w:val="00781568"/>
    <w:rsid w:val="00781674"/>
    <w:rsid w:val="007828A0"/>
    <w:rsid w:val="00782D42"/>
    <w:rsid w:val="00782F6D"/>
    <w:rsid w:val="00783363"/>
    <w:rsid w:val="00783505"/>
    <w:rsid w:val="00783CEA"/>
    <w:rsid w:val="00784994"/>
    <w:rsid w:val="00784D3C"/>
    <w:rsid w:val="007860E9"/>
    <w:rsid w:val="007864EB"/>
    <w:rsid w:val="007864F4"/>
    <w:rsid w:val="007865B3"/>
    <w:rsid w:val="007868A9"/>
    <w:rsid w:val="00786EAD"/>
    <w:rsid w:val="007902DE"/>
    <w:rsid w:val="00790AC0"/>
    <w:rsid w:val="00790BC0"/>
    <w:rsid w:val="00790BE2"/>
    <w:rsid w:val="007912CB"/>
    <w:rsid w:val="007913BC"/>
    <w:rsid w:val="00791688"/>
    <w:rsid w:val="00791800"/>
    <w:rsid w:val="00792157"/>
    <w:rsid w:val="00792578"/>
    <w:rsid w:val="00792C20"/>
    <w:rsid w:val="00793F8C"/>
    <w:rsid w:val="007945A9"/>
    <w:rsid w:val="00794BB8"/>
    <w:rsid w:val="00794F1F"/>
    <w:rsid w:val="00794FB2"/>
    <w:rsid w:val="00795287"/>
    <w:rsid w:val="0079559B"/>
    <w:rsid w:val="0079588D"/>
    <w:rsid w:val="00795911"/>
    <w:rsid w:val="00795A18"/>
    <w:rsid w:val="00795A60"/>
    <w:rsid w:val="00796037"/>
    <w:rsid w:val="00796660"/>
    <w:rsid w:val="007967B3"/>
    <w:rsid w:val="00796DCD"/>
    <w:rsid w:val="007976BB"/>
    <w:rsid w:val="00797FE3"/>
    <w:rsid w:val="007A0258"/>
    <w:rsid w:val="007A0C57"/>
    <w:rsid w:val="007A0E68"/>
    <w:rsid w:val="007A166C"/>
    <w:rsid w:val="007A168B"/>
    <w:rsid w:val="007A1BC0"/>
    <w:rsid w:val="007A231F"/>
    <w:rsid w:val="007A2779"/>
    <w:rsid w:val="007A3188"/>
    <w:rsid w:val="007A3625"/>
    <w:rsid w:val="007A39EE"/>
    <w:rsid w:val="007A3AE7"/>
    <w:rsid w:val="007A3DD9"/>
    <w:rsid w:val="007A41A0"/>
    <w:rsid w:val="007A52EB"/>
    <w:rsid w:val="007A5369"/>
    <w:rsid w:val="007A64C4"/>
    <w:rsid w:val="007A6D2A"/>
    <w:rsid w:val="007A7EB5"/>
    <w:rsid w:val="007B0B68"/>
    <w:rsid w:val="007B1284"/>
    <w:rsid w:val="007B1438"/>
    <w:rsid w:val="007B1DF2"/>
    <w:rsid w:val="007B2282"/>
    <w:rsid w:val="007B2503"/>
    <w:rsid w:val="007B3185"/>
    <w:rsid w:val="007B369D"/>
    <w:rsid w:val="007B3930"/>
    <w:rsid w:val="007B45BB"/>
    <w:rsid w:val="007B45E4"/>
    <w:rsid w:val="007B4BB7"/>
    <w:rsid w:val="007B4C19"/>
    <w:rsid w:val="007B5470"/>
    <w:rsid w:val="007B5613"/>
    <w:rsid w:val="007B5A24"/>
    <w:rsid w:val="007B5AEC"/>
    <w:rsid w:val="007B605C"/>
    <w:rsid w:val="007B623E"/>
    <w:rsid w:val="007B6317"/>
    <w:rsid w:val="007B6B0E"/>
    <w:rsid w:val="007C0908"/>
    <w:rsid w:val="007C2E6D"/>
    <w:rsid w:val="007C325B"/>
    <w:rsid w:val="007C3599"/>
    <w:rsid w:val="007C3B5C"/>
    <w:rsid w:val="007C3BFC"/>
    <w:rsid w:val="007C4762"/>
    <w:rsid w:val="007C4880"/>
    <w:rsid w:val="007C54AE"/>
    <w:rsid w:val="007C5AB1"/>
    <w:rsid w:val="007C69E8"/>
    <w:rsid w:val="007C6A5C"/>
    <w:rsid w:val="007C6E86"/>
    <w:rsid w:val="007C7287"/>
    <w:rsid w:val="007C7DCC"/>
    <w:rsid w:val="007C7F99"/>
    <w:rsid w:val="007D0D1C"/>
    <w:rsid w:val="007D1EE5"/>
    <w:rsid w:val="007D1F40"/>
    <w:rsid w:val="007D1FCA"/>
    <w:rsid w:val="007D21F0"/>
    <w:rsid w:val="007D2805"/>
    <w:rsid w:val="007D3B2A"/>
    <w:rsid w:val="007D4397"/>
    <w:rsid w:val="007D5367"/>
    <w:rsid w:val="007D6012"/>
    <w:rsid w:val="007D6777"/>
    <w:rsid w:val="007D6A63"/>
    <w:rsid w:val="007D6EEF"/>
    <w:rsid w:val="007D7280"/>
    <w:rsid w:val="007D72B9"/>
    <w:rsid w:val="007D7F8D"/>
    <w:rsid w:val="007E0249"/>
    <w:rsid w:val="007E0F4A"/>
    <w:rsid w:val="007E11A2"/>
    <w:rsid w:val="007E15C2"/>
    <w:rsid w:val="007E17C9"/>
    <w:rsid w:val="007E17D4"/>
    <w:rsid w:val="007E1F20"/>
    <w:rsid w:val="007E1F9A"/>
    <w:rsid w:val="007E224E"/>
    <w:rsid w:val="007E236F"/>
    <w:rsid w:val="007E291C"/>
    <w:rsid w:val="007E2939"/>
    <w:rsid w:val="007E31CD"/>
    <w:rsid w:val="007E32F5"/>
    <w:rsid w:val="007E3667"/>
    <w:rsid w:val="007E493D"/>
    <w:rsid w:val="007E5647"/>
    <w:rsid w:val="007E5B6C"/>
    <w:rsid w:val="007E6278"/>
    <w:rsid w:val="007E644A"/>
    <w:rsid w:val="007E65BD"/>
    <w:rsid w:val="007E7FAF"/>
    <w:rsid w:val="007F0422"/>
    <w:rsid w:val="007F1B01"/>
    <w:rsid w:val="007F1D28"/>
    <w:rsid w:val="007F1FCB"/>
    <w:rsid w:val="007F20D0"/>
    <w:rsid w:val="007F2705"/>
    <w:rsid w:val="007F3092"/>
    <w:rsid w:val="007F30B6"/>
    <w:rsid w:val="007F33D4"/>
    <w:rsid w:val="007F3DDD"/>
    <w:rsid w:val="007F45D4"/>
    <w:rsid w:val="007F47DE"/>
    <w:rsid w:val="007F5412"/>
    <w:rsid w:val="007F5ABC"/>
    <w:rsid w:val="007F6AB3"/>
    <w:rsid w:val="007F6AB5"/>
    <w:rsid w:val="007F73C3"/>
    <w:rsid w:val="00800BD9"/>
    <w:rsid w:val="008016D0"/>
    <w:rsid w:val="00801998"/>
    <w:rsid w:val="008019B7"/>
    <w:rsid w:val="00801FC8"/>
    <w:rsid w:val="0080201E"/>
    <w:rsid w:val="0080230B"/>
    <w:rsid w:val="00802ABE"/>
    <w:rsid w:val="00802CF3"/>
    <w:rsid w:val="0080351E"/>
    <w:rsid w:val="0080367B"/>
    <w:rsid w:val="008037D4"/>
    <w:rsid w:val="008045CF"/>
    <w:rsid w:val="00804BD1"/>
    <w:rsid w:val="00806488"/>
    <w:rsid w:val="0080790D"/>
    <w:rsid w:val="00807D62"/>
    <w:rsid w:val="00807FAB"/>
    <w:rsid w:val="00810436"/>
    <w:rsid w:val="0081060F"/>
    <w:rsid w:val="00810A8B"/>
    <w:rsid w:val="00810CF3"/>
    <w:rsid w:val="008111C5"/>
    <w:rsid w:val="00811372"/>
    <w:rsid w:val="008117FA"/>
    <w:rsid w:val="00811ADA"/>
    <w:rsid w:val="00812223"/>
    <w:rsid w:val="00812C14"/>
    <w:rsid w:val="00812D07"/>
    <w:rsid w:val="00812EC5"/>
    <w:rsid w:val="00813186"/>
    <w:rsid w:val="0081349E"/>
    <w:rsid w:val="008138CF"/>
    <w:rsid w:val="008141F1"/>
    <w:rsid w:val="00814490"/>
    <w:rsid w:val="00815592"/>
    <w:rsid w:val="0081569C"/>
    <w:rsid w:val="00815E88"/>
    <w:rsid w:val="00816982"/>
    <w:rsid w:val="00816B3B"/>
    <w:rsid w:val="00817984"/>
    <w:rsid w:val="0082017F"/>
    <w:rsid w:val="008202B9"/>
    <w:rsid w:val="008212A6"/>
    <w:rsid w:val="008216C4"/>
    <w:rsid w:val="008219F7"/>
    <w:rsid w:val="00821E2B"/>
    <w:rsid w:val="0082208D"/>
    <w:rsid w:val="0082243C"/>
    <w:rsid w:val="0082313D"/>
    <w:rsid w:val="00823622"/>
    <w:rsid w:val="008236B4"/>
    <w:rsid w:val="00823B29"/>
    <w:rsid w:val="00823C75"/>
    <w:rsid w:val="0082481C"/>
    <w:rsid w:val="008252FD"/>
    <w:rsid w:val="00825420"/>
    <w:rsid w:val="00825F3D"/>
    <w:rsid w:val="0082647C"/>
    <w:rsid w:val="0082657D"/>
    <w:rsid w:val="00827524"/>
    <w:rsid w:val="00827711"/>
    <w:rsid w:val="00827B2E"/>
    <w:rsid w:val="00827DDD"/>
    <w:rsid w:val="008304DD"/>
    <w:rsid w:val="00830959"/>
    <w:rsid w:val="00830C4B"/>
    <w:rsid w:val="00830D01"/>
    <w:rsid w:val="00830ECD"/>
    <w:rsid w:val="00831F6B"/>
    <w:rsid w:val="008322A2"/>
    <w:rsid w:val="00832781"/>
    <w:rsid w:val="008327A3"/>
    <w:rsid w:val="0083312F"/>
    <w:rsid w:val="00833561"/>
    <w:rsid w:val="00833D11"/>
    <w:rsid w:val="00834AEB"/>
    <w:rsid w:val="00834E2C"/>
    <w:rsid w:val="008356B8"/>
    <w:rsid w:val="008356DA"/>
    <w:rsid w:val="00835812"/>
    <w:rsid w:val="00835DB6"/>
    <w:rsid w:val="00835F0F"/>
    <w:rsid w:val="00836C95"/>
    <w:rsid w:val="00836CF2"/>
    <w:rsid w:val="00837924"/>
    <w:rsid w:val="00840B24"/>
    <w:rsid w:val="00841086"/>
    <w:rsid w:val="008411A1"/>
    <w:rsid w:val="00841302"/>
    <w:rsid w:val="00842D8E"/>
    <w:rsid w:val="00843220"/>
    <w:rsid w:val="0084345F"/>
    <w:rsid w:val="0084359C"/>
    <w:rsid w:val="00844923"/>
    <w:rsid w:val="00844E8E"/>
    <w:rsid w:val="008450B3"/>
    <w:rsid w:val="00845942"/>
    <w:rsid w:val="00845992"/>
    <w:rsid w:val="00846142"/>
    <w:rsid w:val="0084638B"/>
    <w:rsid w:val="00846F62"/>
    <w:rsid w:val="008470CF"/>
    <w:rsid w:val="00847230"/>
    <w:rsid w:val="0084751D"/>
    <w:rsid w:val="00847669"/>
    <w:rsid w:val="00847888"/>
    <w:rsid w:val="00850198"/>
    <w:rsid w:val="0085022D"/>
    <w:rsid w:val="00850578"/>
    <w:rsid w:val="00850974"/>
    <w:rsid w:val="00851980"/>
    <w:rsid w:val="00852762"/>
    <w:rsid w:val="00853DFB"/>
    <w:rsid w:val="00854158"/>
    <w:rsid w:val="008544AE"/>
    <w:rsid w:val="00854550"/>
    <w:rsid w:val="00854593"/>
    <w:rsid w:val="008546ED"/>
    <w:rsid w:val="008548BF"/>
    <w:rsid w:val="008549C2"/>
    <w:rsid w:val="00854CF5"/>
    <w:rsid w:val="00854E0C"/>
    <w:rsid w:val="00855107"/>
    <w:rsid w:val="00855C65"/>
    <w:rsid w:val="00855DC8"/>
    <w:rsid w:val="008561D6"/>
    <w:rsid w:val="008565F1"/>
    <w:rsid w:val="00856B3C"/>
    <w:rsid w:val="00856CD2"/>
    <w:rsid w:val="00857417"/>
    <w:rsid w:val="00857761"/>
    <w:rsid w:val="00857F91"/>
    <w:rsid w:val="00857FAF"/>
    <w:rsid w:val="008600D8"/>
    <w:rsid w:val="008603E4"/>
    <w:rsid w:val="00860624"/>
    <w:rsid w:val="00860EC3"/>
    <w:rsid w:val="00861400"/>
    <w:rsid w:val="0086167F"/>
    <w:rsid w:val="0086190A"/>
    <w:rsid w:val="00862473"/>
    <w:rsid w:val="008628BD"/>
    <w:rsid w:val="0086292E"/>
    <w:rsid w:val="00862E7D"/>
    <w:rsid w:val="00863FDF"/>
    <w:rsid w:val="008661C6"/>
    <w:rsid w:val="008662AB"/>
    <w:rsid w:val="00866BCA"/>
    <w:rsid w:val="008675FC"/>
    <w:rsid w:val="00867A7D"/>
    <w:rsid w:val="00867CFF"/>
    <w:rsid w:val="00871531"/>
    <w:rsid w:val="008718B0"/>
    <w:rsid w:val="008718B9"/>
    <w:rsid w:val="008719F7"/>
    <w:rsid w:val="00871F32"/>
    <w:rsid w:val="008725F4"/>
    <w:rsid w:val="008729BE"/>
    <w:rsid w:val="00872CC8"/>
    <w:rsid w:val="00872D50"/>
    <w:rsid w:val="00873415"/>
    <w:rsid w:val="00873F4E"/>
    <w:rsid w:val="008741B2"/>
    <w:rsid w:val="008745D8"/>
    <w:rsid w:val="0087561F"/>
    <w:rsid w:val="00876869"/>
    <w:rsid w:val="00876BFC"/>
    <w:rsid w:val="008774D4"/>
    <w:rsid w:val="00877A64"/>
    <w:rsid w:val="0088012B"/>
    <w:rsid w:val="00880288"/>
    <w:rsid w:val="0088052E"/>
    <w:rsid w:val="0088064C"/>
    <w:rsid w:val="008808CA"/>
    <w:rsid w:val="00880FF5"/>
    <w:rsid w:val="00881210"/>
    <w:rsid w:val="008816B9"/>
    <w:rsid w:val="00881803"/>
    <w:rsid w:val="00881817"/>
    <w:rsid w:val="0088189D"/>
    <w:rsid w:val="00881AFE"/>
    <w:rsid w:val="00882F6C"/>
    <w:rsid w:val="00883B1D"/>
    <w:rsid w:val="00883F3E"/>
    <w:rsid w:val="008841AB"/>
    <w:rsid w:val="008842AD"/>
    <w:rsid w:val="008842B2"/>
    <w:rsid w:val="00884325"/>
    <w:rsid w:val="00884D9A"/>
    <w:rsid w:val="008856D6"/>
    <w:rsid w:val="00885973"/>
    <w:rsid w:val="00885BEC"/>
    <w:rsid w:val="00885EB1"/>
    <w:rsid w:val="00885F1A"/>
    <w:rsid w:val="00886076"/>
    <w:rsid w:val="008861FE"/>
    <w:rsid w:val="00886B5A"/>
    <w:rsid w:val="00886BA2"/>
    <w:rsid w:val="00886C32"/>
    <w:rsid w:val="00887147"/>
    <w:rsid w:val="00887C10"/>
    <w:rsid w:val="00887C43"/>
    <w:rsid w:val="00887C6B"/>
    <w:rsid w:val="0089018A"/>
    <w:rsid w:val="00890202"/>
    <w:rsid w:val="00890739"/>
    <w:rsid w:val="00890976"/>
    <w:rsid w:val="00891022"/>
    <w:rsid w:val="00891085"/>
    <w:rsid w:val="00891413"/>
    <w:rsid w:val="0089200F"/>
    <w:rsid w:val="008920D8"/>
    <w:rsid w:val="00892739"/>
    <w:rsid w:val="00892773"/>
    <w:rsid w:val="00892913"/>
    <w:rsid w:val="00893047"/>
    <w:rsid w:val="0089368D"/>
    <w:rsid w:val="00893F80"/>
    <w:rsid w:val="00893FE7"/>
    <w:rsid w:val="00894037"/>
    <w:rsid w:val="00894324"/>
    <w:rsid w:val="00894388"/>
    <w:rsid w:val="00894D96"/>
    <w:rsid w:val="00894DA7"/>
    <w:rsid w:val="00894DBA"/>
    <w:rsid w:val="00895B6B"/>
    <w:rsid w:val="00895F0F"/>
    <w:rsid w:val="008962C4"/>
    <w:rsid w:val="008966C3"/>
    <w:rsid w:val="00896E1D"/>
    <w:rsid w:val="00897ED9"/>
    <w:rsid w:val="008A02F0"/>
    <w:rsid w:val="008A035A"/>
    <w:rsid w:val="008A042A"/>
    <w:rsid w:val="008A07C4"/>
    <w:rsid w:val="008A0928"/>
    <w:rsid w:val="008A0B20"/>
    <w:rsid w:val="008A1A66"/>
    <w:rsid w:val="008A1AFA"/>
    <w:rsid w:val="008A1F02"/>
    <w:rsid w:val="008A1F04"/>
    <w:rsid w:val="008A22ED"/>
    <w:rsid w:val="008A2952"/>
    <w:rsid w:val="008A2D4A"/>
    <w:rsid w:val="008A2F37"/>
    <w:rsid w:val="008A3116"/>
    <w:rsid w:val="008A33CF"/>
    <w:rsid w:val="008A3B1C"/>
    <w:rsid w:val="008A3DC2"/>
    <w:rsid w:val="008A3EFB"/>
    <w:rsid w:val="008A4365"/>
    <w:rsid w:val="008A4698"/>
    <w:rsid w:val="008A4DFD"/>
    <w:rsid w:val="008A4F68"/>
    <w:rsid w:val="008A5046"/>
    <w:rsid w:val="008A5340"/>
    <w:rsid w:val="008A5AC7"/>
    <w:rsid w:val="008A5F45"/>
    <w:rsid w:val="008A5F7C"/>
    <w:rsid w:val="008A602B"/>
    <w:rsid w:val="008A6610"/>
    <w:rsid w:val="008A6715"/>
    <w:rsid w:val="008A6B45"/>
    <w:rsid w:val="008A7A58"/>
    <w:rsid w:val="008B026F"/>
    <w:rsid w:val="008B03FB"/>
    <w:rsid w:val="008B0A2D"/>
    <w:rsid w:val="008B0A4C"/>
    <w:rsid w:val="008B0AD9"/>
    <w:rsid w:val="008B0BBD"/>
    <w:rsid w:val="008B14EF"/>
    <w:rsid w:val="008B177D"/>
    <w:rsid w:val="008B2030"/>
    <w:rsid w:val="008B27CB"/>
    <w:rsid w:val="008B31CE"/>
    <w:rsid w:val="008B335C"/>
    <w:rsid w:val="008B336A"/>
    <w:rsid w:val="008B3503"/>
    <w:rsid w:val="008B370C"/>
    <w:rsid w:val="008B400C"/>
    <w:rsid w:val="008B45B8"/>
    <w:rsid w:val="008B4B73"/>
    <w:rsid w:val="008B4FF5"/>
    <w:rsid w:val="008B5320"/>
    <w:rsid w:val="008B5607"/>
    <w:rsid w:val="008B5785"/>
    <w:rsid w:val="008B5E41"/>
    <w:rsid w:val="008B5EA0"/>
    <w:rsid w:val="008B6ADA"/>
    <w:rsid w:val="008B6ECA"/>
    <w:rsid w:val="008B7EB1"/>
    <w:rsid w:val="008C0A83"/>
    <w:rsid w:val="008C1025"/>
    <w:rsid w:val="008C1A64"/>
    <w:rsid w:val="008C2622"/>
    <w:rsid w:val="008C2B37"/>
    <w:rsid w:val="008C2D37"/>
    <w:rsid w:val="008C2E18"/>
    <w:rsid w:val="008C3858"/>
    <w:rsid w:val="008C3A66"/>
    <w:rsid w:val="008C3A68"/>
    <w:rsid w:val="008C4247"/>
    <w:rsid w:val="008C45BD"/>
    <w:rsid w:val="008C48EF"/>
    <w:rsid w:val="008C4B74"/>
    <w:rsid w:val="008C596E"/>
    <w:rsid w:val="008C6BC3"/>
    <w:rsid w:val="008C6E6F"/>
    <w:rsid w:val="008C6E85"/>
    <w:rsid w:val="008C76C9"/>
    <w:rsid w:val="008D0142"/>
    <w:rsid w:val="008D03F6"/>
    <w:rsid w:val="008D0BF0"/>
    <w:rsid w:val="008D1361"/>
    <w:rsid w:val="008D1615"/>
    <w:rsid w:val="008D1CD8"/>
    <w:rsid w:val="008D2887"/>
    <w:rsid w:val="008D2995"/>
    <w:rsid w:val="008D2D3F"/>
    <w:rsid w:val="008D3325"/>
    <w:rsid w:val="008D351A"/>
    <w:rsid w:val="008D391A"/>
    <w:rsid w:val="008D3941"/>
    <w:rsid w:val="008D4171"/>
    <w:rsid w:val="008D4B5C"/>
    <w:rsid w:val="008D50E7"/>
    <w:rsid w:val="008D571B"/>
    <w:rsid w:val="008D582E"/>
    <w:rsid w:val="008D6724"/>
    <w:rsid w:val="008D69C8"/>
    <w:rsid w:val="008D6CE9"/>
    <w:rsid w:val="008D6D65"/>
    <w:rsid w:val="008D70CB"/>
    <w:rsid w:val="008D7A9E"/>
    <w:rsid w:val="008D7E37"/>
    <w:rsid w:val="008D7FB5"/>
    <w:rsid w:val="008E031C"/>
    <w:rsid w:val="008E0D19"/>
    <w:rsid w:val="008E0ECA"/>
    <w:rsid w:val="008E1FE5"/>
    <w:rsid w:val="008E28FB"/>
    <w:rsid w:val="008E2A93"/>
    <w:rsid w:val="008E2FD1"/>
    <w:rsid w:val="008E321C"/>
    <w:rsid w:val="008E3388"/>
    <w:rsid w:val="008E369D"/>
    <w:rsid w:val="008E3AF0"/>
    <w:rsid w:val="008E3AF1"/>
    <w:rsid w:val="008E3AFE"/>
    <w:rsid w:val="008E3E10"/>
    <w:rsid w:val="008E4487"/>
    <w:rsid w:val="008E49B7"/>
    <w:rsid w:val="008E4FC4"/>
    <w:rsid w:val="008E50F3"/>
    <w:rsid w:val="008E5E44"/>
    <w:rsid w:val="008E61F1"/>
    <w:rsid w:val="008E62F1"/>
    <w:rsid w:val="008E6BCC"/>
    <w:rsid w:val="008E7365"/>
    <w:rsid w:val="008F056D"/>
    <w:rsid w:val="008F0C66"/>
    <w:rsid w:val="008F0F4F"/>
    <w:rsid w:val="008F125F"/>
    <w:rsid w:val="008F18B3"/>
    <w:rsid w:val="008F2340"/>
    <w:rsid w:val="008F2421"/>
    <w:rsid w:val="008F2544"/>
    <w:rsid w:val="008F2C8F"/>
    <w:rsid w:val="008F37EA"/>
    <w:rsid w:val="008F38C3"/>
    <w:rsid w:val="008F41B1"/>
    <w:rsid w:val="008F4822"/>
    <w:rsid w:val="008F51BA"/>
    <w:rsid w:val="008F5EDA"/>
    <w:rsid w:val="008F5EFD"/>
    <w:rsid w:val="008F617D"/>
    <w:rsid w:val="008F63C7"/>
    <w:rsid w:val="008F67B2"/>
    <w:rsid w:val="008F6BB3"/>
    <w:rsid w:val="008F6D57"/>
    <w:rsid w:val="008F7DFA"/>
    <w:rsid w:val="009002AE"/>
    <w:rsid w:val="00900576"/>
    <w:rsid w:val="00900984"/>
    <w:rsid w:val="00900BFF"/>
    <w:rsid w:val="0090124B"/>
    <w:rsid w:val="009012FB"/>
    <w:rsid w:val="00901C8B"/>
    <w:rsid w:val="00902172"/>
    <w:rsid w:val="00902B06"/>
    <w:rsid w:val="00902DD8"/>
    <w:rsid w:val="00902F0C"/>
    <w:rsid w:val="00902F81"/>
    <w:rsid w:val="009032A5"/>
    <w:rsid w:val="009038C4"/>
    <w:rsid w:val="009040CC"/>
    <w:rsid w:val="009043C3"/>
    <w:rsid w:val="00904777"/>
    <w:rsid w:val="0090501B"/>
    <w:rsid w:val="0090567B"/>
    <w:rsid w:val="009059E4"/>
    <w:rsid w:val="00906B86"/>
    <w:rsid w:val="00907795"/>
    <w:rsid w:val="00907925"/>
    <w:rsid w:val="00907B24"/>
    <w:rsid w:val="00907CE1"/>
    <w:rsid w:val="00907EAA"/>
    <w:rsid w:val="009102DA"/>
    <w:rsid w:val="00910A1E"/>
    <w:rsid w:val="00910A8B"/>
    <w:rsid w:val="009112EB"/>
    <w:rsid w:val="009112F3"/>
    <w:rsid w:val="00911428"/>
    <w:rsid w:val="0091155D"/>
    <w:rsid w:val="009118B7"/>
    <w:rsid w:val="00912667"/>
    <w:rsid w:val="00912703"/>
    <w:rsid w:val="00912A88"/>
    <w:rsid w:val="00912BDE"/>
    <w:rsid w:val="00912E3A"/>
    <w:rsid w:val="00912EBE"/>
    <w:rsid w:val="009131FE"/>
    <w:rsid w:val="0091356A"/>
    <w:rsid w:val="00913A3D"/>
    <w:rsid w:val="00913E5C"/>
    <w:rsid w:val="00913EF5"/>
    <w:rsid w:val="00914003"/>
    <w:rsid w:val="009145FB"/>
    <w:rsid w:val="00914BD0"/>
    <w:rsid w:val="00914D0A"/>
    <w:rsid w:val="00914D77"/>
    <w:rsid w:val="00915371"/>
    <w:rsid w:val="0091547C"/>
    <w:rsid w:val="00915570"/>
    <w:rsid w:val="00915849"/>
    <w:rsid w:val="00915866"/>
    <w:rsid w:val="00915FC2"/>
    <w:rsid w:val="0091624E"/>
    <w:rsid w:val="0091696E"/>
    <w:rsid w:val="00916AD4"/>
    <w:rsid w:val="009172D5"/>
    <w:rsid w:val="00917CB8"/>
    <w:rsid w:val="00917D08"/>
    <w:rsid w:val="009201DF"/>
    <w:rsid w:val="00920E1E"/>
    <w:rsid w:val="00921218"/>
    <w:rsid w:val="0092125F"/>
    <w:rsid w:val="00921651"/>
    <w:rsid w:val="00921977"/>
    <w:rsid w:val="00921D62"/>
    <w:rsid w:val="00921D90"/>
    <w:rsid w:val="0092207B"/>
    <w:rsid w:val="00922665"/>
    <w:rsid w:val="0092286A"/>
    <w:rsid w:val="00922997"/>
    <w:rsid w:val="00922BD3"/>
    <w:rsid w:val="00924077"/>
    <w:rsid w:val="009245F6"/>
    <w:rsid w:val="00925BC4"/>
    <w:rsid w:val="00925C98"/>
    <w:rsid w:val="00925D04"/>
    <w:rsid w:val="00926454"/>
    <w:rsid w:val="0092669D"/>
    <w:rsid w:val="00926B80"/>
    <w:rsid w:val="00927186"/>
    <w:rsid w:val="009275A8"/>
    <w:rsid w:val="009276ED"/>
    <w:rsid w:val="00927B5F"/>
    <w:rsid w:val="00927BA8"/>
    <w:rsid w:val="00927C74"/>
    <w:rsid w:val="00930119"/>
    <w:rsid w:val="00930C82"/>
    <w:rsid w:val="00931A5D"/>
    <w:rsid w:val="00932374"/>
    <w:rsid w:val="009328C6"/>
    <w:rsid w:val="00932E2C"/>
    <w:rsid w:val="00933024"/>
    <w:rsid w:val="009331A3"/>
    <w:rsid w:val="0093329F"/>
    <w:rsid w:val="00933370"/>
    <w:rsid w:val="00933425"/>
    <w:rsid w:val="00933518"/>
    <w:rsid w:val="00933ED4"/>
    <w:rsid w:val="0093431E"/>
    <w:rsid w:val="00934559"/>
    <w:rsid w:val="00934816"/>
    <w:rsid w:val="00934E66"/>
    <w:rsid w:val="00934F72"/>
    <w:rsid w:val="0093531F"/>
    <w:rsid w:val="009353CE"/>
    <w:rsid w:val="00935C45"/>
    <w:rsid w:val="00935C5D"/>
    <w:rsid w:val="00935F9A"/>
    <w:rsid w:val="009367A6"/>
    <w:rsid w:val="00936EF0"/>
    <w:rsid w:val="00937865"/>
    <w:rsid w:val="00937B8E"/>
    <w:rsid w:val="00937C9C"/>
    <w:rsid w:val="009402EE"/>
    <w:rsid w:val="00940864"/>
    <w:rsid w:val="009411CC"/>
    <w:rsid w:val="009414B8"/>
    <w:rsid w:val="00941981"/>
    <w:rsid w:val="00941E5D"/>
    <w:rsid w:val="00943233"/>
    <w:rsid w:val="00943395"/>
    <w:rsid w:val="00943449"/>
    <w:rsid w:val="009435BA"/>
    <w:rsid w:val="009443C3"/>
    <w:rsid w:val="009448F1"/>
    <w:rsid w:val="00944943"/>
    <w:rsid w:val="0094501B"/>
    <w:rsid w:val="00945738"/>
    <w:rsid w:val="00946F98"/>
    <w:rsid w:val="00947107"/>
    <w:rsid w:val="00947199"/>
    <w:rsid w:val="00947733"/>
    <w:rsid w:val="00947900"/>
    <w:rsid w:val="009501E3"/>
    <w:rsid w:val="00950566"/>
    <w:rsid w:val="009507D7"/>
    <w:rsid w:val="009507F1"/>
    <w:rsid w:val="00950C20"/>
    <w:rsid w:val="009510B2"/>
    <w:rsid w:val="009512E8"/>
    <w:rsid w:val="00951696"/>
    <w:rsid w:val="00951738"/>
    <w:rsid w:val="00951C44"/>
    <w:rsid w:val="009521BB"/>
    <w:rsid w:val="00952B7A"/>
    <w:rsid w:val="00953CFC"/>
    <w:rsid w:val="00954279"/>
    <w:rsid w:val="00954585"/>
    <w:rsid w:val="009547A4"/>
    <w:rsid w:val="00954800"/>
    <w:rsid w:val="00954D29"/>
    <w:rsid w:val="0095546C"/>
    <w:rsid w:val="00955707"/>
    <w:rsid w:val="009557DF"/>
    <w:rsid w:val="009561DB"/>
    <w:rsid w:val="00956493"/>
    <w:rsid w:val="00956659"/>
    <w:rsid w:val="009568E2"/>
    <w:rsid w:val="0095777E"/>
    <w:rsid w:val="00957E6A"/>
    <w:rsid w:val="009602C6"/>
    <w:rsid w:val="00960348"/>
    <w:rsid w:val="00960727"/>
    <w:rsid w:val="00960830"/>
    <w:rsid w:val="009609CC"/>
    <w:rsid w:val="00960B25"/>
    <w:rsid w:val="0096123C"/>
    <w:rsid w:val="00961746"/>
    <w:rsid w:val="00961840"/>
    <w:rsid w:val="009618CD"/>
    <w:rsid w:val="00963AA6"/>
    <w:rsid w:val="00963D1C"/>
    <w:rsid w:val="0096401C"/>
    <w:rsid w:val="009642CC"/>
    <w:rsid w:val="009644E3"/>
    <w:rsid w:val="0096476F"/>
    <w:rsid w:val="00964BB6"/>
    <w:rsid w:val="00965178"/>
    <w:rsid w:val="009658D8"/>
    <w:rsid w:val="009658EF"/>
    <w:rsid w:val="00966233"/>
    <w:rsid w:val="009669B2"/>
    <w:rsid w:val="00966A91"/>
    <w:rsid w:val="00967314"/>
    <w:rsid w:val="009674A8"/>
    <w:rsid w:val="009676A5"/>
    <w:rsid w:val="0097022D"/>
    <w:rsid w:val="009702EB"/>
    <w:rsid w:val="00970523"/>
    <w:rsid w:val="00970D3F"/>
    <w:rsid w:val="00971A36"/>
    <w:rsid w:val="009728BD"/>
    <w:rsid w:val="009760C3"/>
    <w:rsid w:val="00976563"/>
    <w:rsid w:val="0097657B"/>
    <w:rsid w:val="0097680D"/>
    <w:rsid w:val="009777EE"/>
    <w:rsid w:val="00981312"/>
    <w:rsid w:val="00981F54"/>
    <w:rsid w:val="00982113"/>
    <w:rsid w:val="00982209"/>
    <w:rsid w:val="009826C2"/>
    <w:rsid w:val="00982A63"/>
    <w:rsid w:val="00982C49"/>
    <w:rsid w:val="009830E2"/>
    <w:rsid w:val="00983454"/>
    <w:rsid w:val="00983BE6"/>
    <w:rsid w:val="00983FDC"/>
    <w:rsid w:val="009840C3"/>
    <w:rsid w:val="00984379"/>
    <w:rsid w:val="00984E49"/>
    <w:rsid w:val="009850C6"/>
    <w:rsid w:val="009850F4"/>
    <w:rsid w:val="00985652"/>
    <w:rsid w:val="00985660"/>
    <w:rsid w:val="00985726"/>
    <w:rsid w:val="00985750"/>
    <w:rsid w:val="009863EB"/>
    <w:rsid w:val="009867CE"/>
    <w:rsid w:val="00987639"/>
    <w:rsid w:val="009879CD"/>
    <w:rsid w:val="00987A58"/>
    <w:rsid w:val="00990FEC"/>
    <w:rsid w:val="0099117C"/>
    <w:rsid w:val="009919D0"/>
    <w:rsid w:val="00991E08"/>
    <w:rsid w:val="00991E3E"/>
    <w:rsid w:val="00992727"/>
    <w:rsid w:val="00992CD7"/>
    <w:rsid w:val="00992CFB"/>
    <w:rsid w:val="00992D61"/>
    <w:rsid w:val="0099311D"/>
    <w:rsid w:val="009931C2"/>
    <w:rsid w:val="0099397E"/>
    <w:rsid w:val="00993AA6"/>
    <w:rsid w:val="00993C66"/>
    <w:rsid w:val="0099477A"/>
    <w:rsid w:val="009955F6"/>
    <w:rsid w:val="0099581B"/>
    <w:rsid w:val="00995B7A"/>
    <w:rsid w:val="00995BD3"/>
    <w:rsid w:val="00995CEC"/>
    <w:rsid w:val="00996630"/>
    <w:rsid w:val="009968C1"/>
    <w:rsid w:val="00997156"/>
    <w:rsid w:val="009971DC"/>
    <w:rsid w:val="009971F7"/>
    <w:rsid w:val="00997302"/>
    <w:rsid w:val="00997D7F"/>
    <w:rsid w:val="009A01CA"/>
    <w:rsid w:val="009A06C8"/>
    <w:rsid w:val="009A0ABC"/>
    <w:rsid w:val="009A0D41"/>
    <w:rsid w:val="009A1502"/>
    <w:rsid w:val="009A294E"/>
    <w:rsid w:val="009A2D4D"/>
    <w:rsid w:val="009A3768"/>
    <w:rsid w:val="009A3795"/>
    <w:rsid w:val="009A474C"/>
    <w:rsid w:val="009A51EF"/>
    <w:rsid w:val="009A52BD"/>
    <w:rsid w:val="009A5337"/>
    <w:rsid w:val="009A5512"/>
    <w:rsid w:val="009A5AA7"/>
    <w:rsid w:val="009A5C3E"/>
    <w:rsid w:val="009A5F59"/>
    <w:rsid w:val="009A60B9"/>
    <w:rsid w:val="009A6130"/>
    <w:rsid w:val="009A6C14"/>
    <w:rsid w:val="009A72DD"/>
    <w:rsid w:val="009A7593"/>
    <w:rsid w:val="009A7C68"/>
    <w:rsid w:val="009B07C9"/>
    <w:rsid w:val="009B0B46"/>
    <w:rsid w:val="009B2D21"/>
    <w:rsid w:val="009B3233"/>
    <w:rsid w:val="009B330B"/>
    <w:rsid w:val="009B35D3"/>
    <w:rsid w:val="009B428C"/>
    <w:rsid w:val="009B4927"/>
    <w:rsid w:val="009B5094"/>
    <w:rsid w:val="009B51DA"/>
    <w:rsid w:val="009B55E5"/>
    <w:rsid w:val="009B5652"/>
    <w:rsid w:val="009B5F5A"/>
    <w:rsid w:val="009B5FDC"/>
    <w:rsid w:val="009B6603"/>
    <w:rsid w:val="009B684F"/>
    <w:rsid w:val="009B7658"/>
    <w:rsid w:val="009B7B81"/>
    <w:rsid w:val="009B7CA8"/>
    <w:rsid w:val="009B7ED9"/>
    <w:rsid w:val="009C021C"/>
    <w:rsid w:val="009C03F8"/>
    <w:rsid w:val="009C08E6"/>
    <w:rsid w:val="009C1018"/>
    <w:rsid w:val="009C1E47"/>
    <w:rsid w:val="009C28FA"/>
    <w:rsid w:val="009C2968"/>
    <w:rsid w:val="009C29FB"/>
    <w:rsid w:val="009C2B96"/>
    <w:rsid w:val="009C2CBA"/>
    <w:rsid w:val="009C3098"/>
    <w:rsid w:val="009C3244"/>
    <w:rsid w:val="009C37F8"/>
    <w:rsid w:val="009C3C4C"/>
    <w:rsid w:val="009C4314"/>
    <w:rsid w:val="009C4453"/>
    <w:rsid w:val="009C53C1"/>
    <w:rsid w:val="009C551F"/>
    <w:rsid w:val="009C5F57"/>
    <w:rsid w:val="009C5F86"/>
    <w:rsid w:val="009C6D2D"/>
    <w:rsid w:val="009C6E27"/>
    <w:rsid w:val="009C6F0E"/>
    <w:rsid w:val="009C710E"/>
    <w:rsid w:val="009D0627"/>
    <w:rsid w:val="009D0D1F"/>
    <w:rsid w:val="009D0FAF"/>
    <w:rsid w:val="009D0FD2"/>
    <w:rsid w:val="009D0FD7"/>
    <w:rsid w:val="009D1008"/>
    <w:rsid w:val="009D1430"/>
    <w:rsid w:val="009D17D7"/>
    <w:rsid w:val="009D2A5F"/>
    <w:rsid w:val="009D2B05"/>
    <w:rsid w:val="009D4B6A"/>
    <w:rsid w:val="009D6DE2"/>
    <w:rsid w:val="009D714D"/>
    <w:rsid w:val="009E0094"/>
    <w:rsid w:val="009E0562"/>
    <w:rsid w:val="009E05FD"/>
    <w:rsid w:val="009E0825"/>
    <w:rsid w:val="009E0960"/>
    <w:rsid w:val="009E0C9B"/>
    <w:rsid w:val="009E1533"/>
    <w:rsid w:val="009E164E"/>
    <w:rsid w:val="009E1855"/>
    <w:rsid w:val="009E1D6A"/>
    <w:rsid w:val="009E1DB1"/>
    <w:rsid w:val="009E246B"/>
    <w:rsid w:val="009E3535"/>
    <w:rsid w:val="009E3827"/>
    <w:rsid w:val="009E38DF"/>
    <w:rsid w:val="009E3AA5"/>
    <w:rsid w:val="009E420D"/>
    <w:rsid w:val="009E4256"/>
    <w:rsid w:val="009E5711"/>
    <w:rsid w:val="009E59EE"/>
    <w:rsid w:val="009E60BD"/>
    <w:rsid w:val="009E7184"/>
    <w:rsid w:val="009E7894"/>
    <w:rsid w:val="009F02C3"/>
    <w:rsid w:val="009F066B"/>
    <w:rsid w:val="009F0C99"/>
    <w:rsid w:val="009F17DD"/>
    <w:rsid w:val="009F18D3"/>
    <w:rsid w:val="009F1DED"/>
    <w:rsid w:val="009F24B8"/>
    <w:rsid w:val="009F2CF5"/>
    <w:rsid w:val="009F3119"/>
    <w:rsid w:val="009F3EBF"/>
    <w:rsid w:val="009F407A"/>
    <w:rsid w:val="009F4485"/>
    <w:rsid w:val="009F4693"/>
    <w:rsid w:val="009F470C"/>
    <w:rsid w:val="009F4FD8"/>
    <w:rsid w:val="009F5BD8"/>
    <w:rsid w:val="009F5E4E"/>
    <w:rsid w:val="009F662C"/>
    <w:rsid w:val="009F6B15"/>
    <w:rsid w:val="009F6CEE"/>
    <w:rsid w:val="009F79D9"/>
    <w:rsid w:val="009F7DFB"/>
    <w:rsid w:val="009F7E97"/>
    <w:rsid w:val="00A0043D"/>
    <w:rsid w:val="00A00DEC"/>
    <w:rsid w:val="00A00F4D"/>
    <w:rsid w:val="00A0110A"/>
    <w:rsid w:val="00A01162"/>
    <w:rsid w:val="00A01333"/>
    <w:rsid w:val="00A01343"/>
    <w:rsid w:val="00A01365"/>
    <w:rsid w:val="00A02197"/>
    <w:rsid w:val="00A0251F"/>
    <w:rsid w:val="00A025D3"/>
    <w:rsid w:val="00A026B7"/>
    <w:rsid w:val="00A02F3A"/>
    <w:rsid w:val="00A0340C"/>
    <w:rsid w:val="00A0375E"/>
    <w:rsid w:val="00A03A7A"/>
    <w:rsid w:val="00A03BB1"/>
    <w:rsid w:val="00A04415"/>
    <w:rsid w:val="00A0457A"/>
    <w:rsid w:val="00A04B48"/>
    <w:rsid w:val="00A04D62"/>
    <w:rsid w:val="00A0500E"/>
    <w:rsid w:val="00A05FB0"/>
    <w:rsid w:val="00A064CB"/>
    <w:rsid w:val="00A06801"/>
    <w:rsid w:val="00A06DA9"/>
    <w:rsid w:val="00A070A9"/>
    <w:rsid w:val="00A07B0C"/>
    <w:rsid w:val="00A07C3D"/>
    <w:rsid w:val="00A10D4E"/>
    <w:rsid w:val="00A10E91"/>
    <w:rsid w:val="00A11912"/>
    <w:rsid w:val="00A11BC5"/>
    <w:rsid w:val="00A12719"/>
    <w:rsid w:val="00A12B64"/>
    <w:rsid w:val="00A13666"/>
    <w:rsid w:val="00A137A3"/>
    <w:rsid w:val="00A139FC"/>
    <w:rsid w:val="00A14121"/>
    <w:rsid w:val="00A143EF"/>
    <w:rsid w:val="00A145C1"/>
    <w:rsid w:val="00A145FE"/>
    <w:rsid w:val="00A14744"/>
    <w:rsid w:val="00A14E9C"/>
    <w:rsid w:val="00A150B8"/>
    <w:rsid w:val="00A15638"/>
    <w:rsid w:val="00A15FBC"/>
    <w:rsid w:val="00A1604A"/>
    <w:rsid w:val="00A162FC"/>
    <w:rsid w:val="00A16CEC"/>
    <w:rsid w:val="00A17FC8"/>
    <w:rsid w:val="00A2030C"/>
    <w:rsid w:val="00A203D1"/>
    <w:rsid w:val="00A208CA"/>
    <w:rsid w:val="00A20D25"/>
    <w:rsid w:val="00A2118B"/>
    <w:rsid w:val="00A2141A"/>
    <w:rsid w:val="00A21B4B"/>
    <w:rsid w:val="00A21F3E"/>
    <w:rsid w:val="00A220DB"/>
    <w:rsid w:val="00A22182"/>
    <w:rsid w:val="00A22819"/>
    <w:rsid w:val="00A22982"/>
    <w:rsid w:val="00A22A63"/>
    <w:rsid w:val="00A233FF"/>
    <w:rsid w:val="00A23834"/>
    <w:rsid w:val="00A23B40"/>
    <w:rsid w:val="00A24448"/>
    <w:rsid w:val="00A24831"/>
    <w:rsid w:val="00A249E5"/>
    <w:rsid w:val="00A24D2F"/>
    <w:rsid w:val="00A24E63"/>
    <w:rsid w:val="00A250D9"/>
    <w:rsid w:val="00A250F3"/>
    <w:rsid w:val="00A25277"/>
    <w:rsid w:val="00A25351"/>
    <w:rsid w:val="00A253F9"/>
    <w:rsid w:val="00A2562C"/>
    <w:rsid w:val="00A25BD9"/>
    <w:rsid w:val="00A2665E"/>
    <w:rsid w:val="00A26B53"/>
    <w:rsid w:val="00A26EF0"/>
    <w:rsid w:val="00A26FEC"/>
    <w:rsid w:val="00A2727B"/>
    <w:rsid w:val="00A279C5"/>
    <w:rsid w:val="00A27C24"/>
    <w:rsid w:val="00A303EA"/>
    <w:rsid w:val="00A304ED"/>
    <w:rsid w:val="00A30839"/>
    <w:rsid w:val="00A310BB"/>
    <w:rsid w:val="00A31155"/>
    <w:rsid w:val="00A3181D"/>
    <w:rsid w:val="00A3242D"/>
    <w:rsid w:val="00A33465"/>
    <w:rsid w:val="00A33796"/>
    <w:rsid w:val="00A33B0A"/>
    <w:rsid w:val="00A33D12"/>
    <w:rsid w:val="00A33FD5"/>
    <w:rsid w:val="00A35990"/>
    <w:rsid w:val="00A36959"/>
    <w:rsid w:val="00A36D31"/>
    <w:rsid w:val="00A37D39"/>
    <w:rsid w:val="00A37FA9"/>
    <w:rsid w:val="00A407EA"/>
    <w:rsid w:val="00A41B25"/>
    <w:rsid w:val="00A4262B"/>
    <w:rsid w:val="00A427D5"/>
    <w:rsid w:val="00A4280D"/>
    <w:rsid w:val="00A432A9"/>
    <w:rsid w:val="00A43386"/>
    <w:rsid w:val="00A435FA"/>
    <w:rsid w:val="00A43903"/>
    <w:rsid w:val="00A43E53"/>
    <w:rsid w:val="00A44089"/>
    <w:rsid w:val="00A443D9"/>
    <w:rsid w:val="00A44977"/>
    <w:rsid w:val="00A44CB9"/>
    <w:rsid w:val="00A4528C"/>
    <w:rsid w:val="00A452E6"/>
    <w:rsid w:val="00A45359"/>
    <w:rsid w:val="00A45AF9"/>
    <w:rsid w:val="00A45D1F"/>
    <w:rsid w:val="00A469E4"/>
    <w:rsid w:val="00A46B50"/>
    <w:rsid w:val="00A478B9"/>
    <w:rsid w:val="00A478D1"/>
    <w:rsid w:val="00A47A5D"/>
    <w:rsid w:val="00A47EDD"/>
    <w:rsid w:val="00A50330"/>
    <w:rsid w:val="00A5040B"/>
    <w:rsid w:val="00A5055F"/>
    <w:rsid w:val="00A510D0"/>
    <w:rsid w:val="00A51933"/>
    <w:rsid w:val="00A51A25"/>
    <w:rsid w:val="00A52018"/>
    <w:rsid w:val="00A520C4"/>
    <w:rsid w:val="00A52545"/>
    <w:rsid w:val="00A52BC8"/>
    <w:rsid w:val="00A52E52"/>
    <w:rsid w:val="00A5324B"/>
    <w:rsid w:val="00A53BEE"/>
    <w:rsid w:val="00A544EF"/>
    <w:rsid w:val="00A55993"/>
    <w:rsid w:val="00A55ADF"/>
    <w:rsid w:val="00A55F5A"/>
    <w:rsid w:val="00A56206"/>
    <w:rsid w:val="00A56607"/>
    <w:rsid w:val="00A5697A"/>
    <w:rsid w:val="00A56BAE"/>
    <w:rsid w:val="00A56BD6"/>
    <w:rsid w:val="00A570AA"/>
    <w:rsid w:val="00A571FF"/>
    <w:rsid w:val="00A57431"/>
    <w:rsid w:val="00A57979"/>
    <w:rsid w:val="00A57FD4"/>
    <w:rsid w:val="00A57FEF"/>
    <w:rsid w:val="00A60FB8"/>
    <w:rsid w:val="00A6156D"/>
    <w:rsid w:val="00A61609"/>
    <w:rsid w:val="00A61FEB"/>
    <w:rsid w:val="00A6254D"/>
    <w:rsid w:val="00A627CA"/>
    <w:rsid w:val="00A63480"/>
    <w:rsid w:val="00A63660"/>
    <w:rsid w:val="00A6368F"/>
    <w:rsid w:val="00A63967"/>
    <w:rsid w:val="00A641E6"/>
    <w:rsid w:val="00A64356"/>
    <w:rsid w:val="00A64502"/>
    <w:rsid w:val="00A64561"/>
    <w:rsid w:val="00A649DE"/>
    <w:rsid w:val="00A64E42"/>
    <w:rsid w:val="00A64E51"/>
    <w:rsid w:val="00A64EC7"/>
    <w:rsid w:val="00A655E0"/>
    <w:rsid w:val="00A65AD0"/>
    <w:rsid w:val="00A65E0D"/>
    <w:rsid w:val="00A65EF7"/>
    <w:rsid w:val="00A6627A"/>
    <w:rsid w:val="00A665F9"/>
    <w:rsid w:val="00A66674"/>
    <w:rsid w:val="00A6684E"/>
    <w:rsid w:val="00A669C1"/>
    <w:rsid w:val="00A66B53"/>
    <w:rsid w:val="00A673CF"/>
    <w:rsid w:val="00A67A6E"/>
    <w:rsid w:val="00A701CA"/>
    <w:rsid w:val="00A7063B"/>
    <w:rsid w:val="00A70914"/>
    <w:rsid w:val="00A70B13"/>
    <w:rsid w:val="00A70E36"/>
    <w:rsid w:val="00A71756"/>
    <w:rsid w:val="00A720B6"/>
    <w:rsid w:val="00A723D5"/>
    <w:rsid w:val="00A72957"/>
    <w:rsid w:val="00A73C1C"/>
    <w:rsid w:val="00A73E74"/>
    <w:rsid w:val="00A7499B"/>
    <w:rsid w:val="00A74D04"/>
    <w:rsid w:val="00A74E14"/>
    <w:rsid w:val="00A751F2"/>
    <w:rsid w:val="00A7547C"/>
    <w:rsid w:val="00A75B74"/>
    <w:rsid w:val="00A760EF"/>
    <w:rsid w:val="00A76153"/>
    <w:rsid w:val="00A76A2E"/>
    <w:rsid w:val="00A76D00"/>
    <w:rsid w:val="00A775E7"/>
    <w:rsid w:val="00A77CCC"/>
    <w:rsid w:val="00A8086E"/>
    <w:rsid w:val="00A80A6C"/>
    <w:rsid w:val="00A80D97"/>
    <w:rsid w:val="00A80F32"/>
    <w:rsid w:val="00A8193C"/>
    <w:rsid w:val="00A82059"/>
    <w:rsid w:val="00A82DBB"/>
    <w:rsid w:val="00A82F6D"/>
    <w:rsid w:val="00A83465"/>
    <w:rsid w:val="00A83A79"/>
    <w:rsid w:val="00A83B5D"/>
    <w:rsid w:val="00A83E7E"/>
    <w:rsid w:val="00A84007"/>
    <w:rsid w:val="00A8436C"/>
    <w:rsid w:val="00A84520"/>
    <w:rsid w:val="00A84972"/>
    <w:rsid w:val="00A84E5B"/>
    <w:rsid w:val="00A85F35"/>
    <w:rsid w:val="00A864C8"/>
    <w:rsid w:val="00A867D0"/>
    <w:rsid w:val="00A86C42"/>
    <w:rsid w:val="00A8704A"/>
    <w:rsid w:val="00A8707B"/>
    <w:rsid w:val="00A900AB"/>
    <w:rsid w:val="00A90B8C"/>
    <w:rsid w:val="00A90FD1"/>
    <w:rsid w:val="00A916F9"/>
    <w:rsid w:val="00A919EA"/>
    <w:rsid w:val="00A91C51"/>
    <w:rsid w:val="00A91F24"/>
    <w:rsid w:val="00A92340"/>
    <w:rsid w:val="00A92662"/>
    <w:rsid w:val="00A9397F"/>
    <w:rsid w:val="00A93B33"/>
    <w:rsid w:val="00A93CB1"/>
    <w:rsid w:val="00A93E68"/>
    <w:rsid w:val="00A941E3"/>
    <w:rsid w:val="00A94743"/>
    <w:rsid w:val="00A94930"/>
    <w:rsid w:val="00A94EF1"/>
    <w:rsid w:val="00A957AA"/>
    <w:rsid w:val="00A95801"/>
    <w:rsid w:val="00A958C3"/>
    <w:rsid w:val="00A95A62"/>
    <w:rsid w:val="00A962D0"/>
    <w:rsid w:val="00A964F2"/>
    <w:rsid w:val="00A97026"/>
    <w:rsid w:val="00A97170"/>
    <w:rsid w:val="00A97702"/>
    <w:rsid w:val="00A977F5"/>
    <w:rsid w:val="00A97808"/>
    <w:rsid w:val="00A97E16"/>
    <w:rsid w:val="00AA096C"/>
    <w:rsid w:val="00AA0FB3"/>
    <w:rsid w:val="00AA1571"/>
    <w:rsid w:val="00AA191B"/>
    <w:rsid w:val="00AA1D24"/>
    <w:rsid w:val="00AA1DCE"/>
    <w:rsid w:val="00AA3569"/>
    <w:rsid w:val="00AA373A"/>
    <w:rsid w:val="00AA3CBD"/>
    <w:rsid w:val="00AA3DCB"/>
    <w:rsid w:val="00AA3EAA"/>
    <w:rsid w:val="00AA405C"/>
    <w:rsid w:val="00AA41CA"/>
    <w:rsid w:val="00AA45E2"/>
    <w:rsid w:val="00AA4604"/>
    <w:rsid w:val="00AA4876"/>
    <w:rsid w:val="00AA490C"/>
    <w:rsid w:val="00AA53AF"/>
    <w:rsid w:val="00AA5DBE"/>
    <w:rsid w:val="00AA6AE8"/>
    <w:rsid w:val="00AA6F1B"/>
    <w:rsid w:val="00AA6F9A"/>
    <w:rsid w:val="00AA77E9"/>
    <w:rsid w:val="00AA7AFD"/>
    <w:rsid w:val="00AA7C1C"/>
    <w:rsid w:val="00AA7D8E"/>
    <w:rsid w:val="00AB02E3"/>
    <w:rsid w:val="00AB08F3"/>
    <w:rsid w:val="00AB094B"/>
    <w:rsid w:val="00AB094E"/>
    <w:rsid w:val="00AB0EDA"/>
    <w:rsid w:val="00AB1285"/>
    <w:rsid w:val="00AB1789"/>
    <w:rsid w:val="00AB1D71"/>
    <w:rsid w:val="00AB1DFB"/>
    <w:rsid w:val="00AB1E37"/>
    <w:rsid w:val="00AB237B"/>
    <w:rsid w:val="00AB2A90"/>
    <w:rsid w:val="00AB3303"/>
    <w:rsid w:val="00AB3A41"/>
    <w:rsid w:val="00AB3F7C"/>
    <w:rsid w:val="00AB407C"/>
    <w:rsid w:val="00AB4319"/>
    <w:rsid w:val="00AB44FF"/>
    <w:rsid w:val="00AB4E8B"/>
    <w:rsid w:val="00AB5637"/>
    <w:rsid w:val="00AB5DD3"/>
    <w:rsid w:val="00AB619A"/>
    <w:rsid w:val="00AB6B98"/>
    <w:rsid w:val="00AB6BEA"/>
    <w:rsid w:val="00AB6CDB"/>
    <w:rsid w:val="00AB7542"/>
    <w:rsid w:val="00AC0046"/>
    <w:rsid w:val="00AC007F"/>
    <w:rsid w:val="00AC00B1"/>
    <w:rsid w:val="00AC0762"/>
    <w:rsid w:val="00AC21B2"/>
    <w:rsid w:val="00AC27AC"/>
    <w:rsid w:val="00AC2D61"/>
    <w:rsid w:val="00AC2DA6"/>
    <w:rsid w:val="00AC3068"/>
    <w:rsid w:val="00AC34F6"/>
    <w:rsid w:val="00AC35A7"/>
    <w:rsid w:val="00AC38E6"/>
    <w:rsid w:val="00AC3B78"/>
    <w:rsid w:val="00AC3D4C"/>
    <w:rsid w:val="00AC3DE5"/>
    <w:rsid w:val="00AC3E99"/>
    <w:rsid w:val="00AC45C4"/>
    <w:rsid w:val="00AC47D4"/>
    <w:rsid w:val="00AC4C92"/>
    <w:rsid w:val="00AC4D9B"/>
    <w:rsid w:val="00AC5095"/>
    <w:rsid w:val="00AC55FF"/>
    <w:rsid w:val="00AC59D5"/>
    <w:rsid w:val="00AC6777"/>
    <w:rsid w:val="00AC691E"/>
    <w:rsid w:val="00AC6BE2"/>
    <w:rsid w:val="00AC6C15"/>
    <w:rsid w:val="00AC6E89"/>
    <w:rsid w:val="00AC758D"/>
    <w:rsid w:val="00AD029D"/>
    <w:rsid w:val="00AD074A"/>
    <w:rsid w:val="00AD0890"/>
    <w:rsid w:val="00AD09A4"/>
    <w:rsid w:val="00AD1210"/>
    <w:rsid w:val="00AD1A44"/>
    <w:rsid w:val="00AD1AFB"/>
    <w:rsid w:val="00AD253A"/>
    <w:rsid w:val="00AD2C86"/>
    <w:rsid w:val="00AD2CF4"/>
    <w:rsid w:val="00AD31CF"/>
    <w:rsid w:val="00AD344C"/>
    <w:rsid w:val="00AD3F34"/>
    <w:rsid w:val="00AD4678"/>
    <w:rsid w:val="00AD4807"/>
    <w:rsid w:val="00AD4FFB"/>
    <w:rsid w:val="00AD52D4"/>
    <w:rsid w:val="00AD590A"/>
    <w:rsid w:val="00AD6F6F"/>
    <w:rsid w:val="00AD7058"/>
    <w:rsid w:val="00AD7946"/>
    <w:rsid w:val="00AE08B6"/>
    <w:rsid w:val="00AE0B2A"/>
    <w:rsid w:val="00AE0EC5"/>
    <w:rsid w:val="00AE1322"/>
    <w:rsid w:val="00AE1591"/>
    <w:rsid w:val="00AE32A3"/>
    <w:rsid w:val="00AE368D"/>
    <w:rsid w:val="00AE39CC"/>
    <w:rsid w:val="00AE4580"/>
    <w:rsid w:val="00AE58BE"/>
    <w:rsid w:val="00AE68AF"/>
    <w:rsid w:val="00AE6AF5"/>
    <w:rsid w:val="00AE6F19"/>
    <w:rsid w:val="00AE78A1"/>
    <w:rsid w:val="00AF0272"/>
    <w:rsid w:val="00AF0314"/>
    <w:rsid w:val="00AF0608"/>
    <w:rsid w:val="00AF0C73"/>
    <w:rsid w:val="00AF0D05"/>
    <w:rsid w:val="00AF0DFB"/>
    <w:rsid w:val="00AF14F2"/>
    <w:rsid w:val="00AF165F"/>
    <w:rsid w:val="00AF1A58"/>
    <w:rsid w:val="00AF22EC"/>
    <w:rsid w:val="00AF2A26"/>
    <w:rsid w:val="00AF2F60"/>
    <w:rsid w:val="00AF3AB1"/>
    <w:rsid w:val="00AF3F7C"/>
    <w:rsid w:val="00AF4244"/>
    <w:rsid w:val="00AF4B5D"/>
    <w:rsid w:val="00AF5233"/>
    <w:rsid w:val="00AF52A4"/>
    <w:rsid w:val="00AF5494"/>
    <w:rsid w:val="00AF5C3B"/>
    <w:rsid w:val="00AF5D5F"/>
    <w:rsid w:val="00AF657B"/>
    <w:rsid w:val="00AF6753"/>
    <w:rsid w:val="00AF6CE5"/>
    <w:rsid w:val="00AF6F6E"/>
    <w:rsid w:val="00AF6FCA"/>
    <w:rsid w:val="00AF700C"/>
    <w:rsid w:val="00B007F6"/>
    <w:rsid w:val="00B00820"/>
    <w:rsid w:val="00B00A2E"/>
    <w:rsid w:val="00B00E0B"/>
    <w:rsid w:val="00B00F3E"/>
    <w:rsid w:val="00B0151A"/>
    <w:rsid w:val="00B015F9"/>
    <w:rsid w:val="00B016F7"/>
    <w:rsid w:val="00B01BFD"/>
    <w:rsid w:val="00B0233E"/>
    <w:rsid w:val="00B02644"/>
    <w:rsid w:val="00B02898"/>
    <w:rsid w:val="00B02FCC"/>
    <w:rsid w:val="00B0359B"/>
    <w:rsid w:val="00B03672"/>
    <w:rsid w:val="00B037ED"/>
    <w:rsid w:val="00B04278"/>
    <w:rsid w:val="00B04A82"/>
    <w:rsid w:val="00B04B11"/>
    <w:rsid w:val="00B060F5"/>
    <w:rsid w:val="00B0652A"/>
    <w:rsid w:val="00B06B6A"/>
    <w:rsid w:val="00B06C7D"/>
    <w:rsid w:val="00B07A96"/>
    <w:rsid w:val="00B10321"/>
    <w:rsid w:val="00B10397"/>
    <w:rsid w:val="00B106C5"/>
    <w:rsid w:val="00B1079E"/>
    <w:rsid w:val="00B1085E"/>
    <w:rsid w:val="00B10DE7"/>
    <w:rsid w:val="00B113C8"/>
    <w:rsid w:val="00B11FCC"/>
    <w:rsid w:val="00B122AE"/>
    <w:rsid w:val="00B12386"/>
    <w:rsid w:val="00B125E8"/>
    <w:rsid w:val="00B12718"/>
    <w:rsid w:val="00B12831"/>
    <w:rsid w:val="00B12F23"/>
    <w:rsid w:val="00B130D4"/>
    <w:rsid w:val="00B13136"/>
    <w:rsid w:val="00B132A4"/>
    <w:rsid w:val="00B13650"/>
    <w:rsid w:val="00B1389D"/>
    <w:rsid w:val="00B13C17"/>
    <w:rsid w:val="00B142B0"/>
    <w:rsid w:val="00B143F9"/>
    <w:rsid w:val="00B1452B"/>
    <w:rsid w:val="00B14754"/>
    <w:rsid w:val="00B14894"/>
    <w:rsid w:val="00B15B5E"/>
    <w:rsid w:val="00B162BA"/>
    <w:rsid w:val="00B16FF6"/>
    <w:rsid w:val="00B17078"/>
    <w:rsid w:val="00B172A7"/>
    <w:rsid w:val="00B177CB"/>
    <w:rsid w:val="00B17CF0"/>
    <w:rsid w:val="00B20A8F"/>
    <w:rsid w:val="00B21150"/>
    <w:rsid w:val="00B2155B"/>
    <w:rsid w:val="00B21650"/>
    <w:rsid w:val="00B22EAB"/>
    <w:rsid w:val="00B22F0F"/>
    <w:rsid w:val="00B230AB"/>
    <w:rsid w:val="00B2333C"/>
    <w:rsid w:val="00B2379A"/>
    <w:rsid w:val="00B2392B"/>
    <w:rsid w:val="00B23C3B"/>
    <w:rsid w:val="00B23DDF"/>
    <w:rsid w:val="00B241FE"/>
    <w:rsid w:val="00B24274"/>
    <w:rsid w:val="00B2544B"/>
    <w:rsid w:val="00B25803"/>
    <w:rsid w:val="00B2598E"/>
    <w:rsid w:val="00B26AF8"/>
    <w:rsid w:val="00B26CD9"/>
    <w:rsid w:val="00B2750F"/>
    <w:rsid w:val="00B30673"/>
    <w:rsid w:val="00B32572"/>
    <w:rsid w:val="00B327B6"/>
    <w:rsid w:val="00B335D4"/>
    <w:rsid w:val="00B3489C"/>
    <w:rsid w:val="00B34C4A"/>
    <w:rsid w:val="00B34F80"/>
    <w:rsid w:val="00B35167"/>
    <w:rsid w:val="00B3530F"/>
    <w:rsid w:val="00B353DD"/>
    <w:rsid w:val="00B3569B"/>
    <w:rsid w:val="00B35C9D"/>
    <w:rsid w:val="00B35D7F"/>
    <w:rsid w:val="00B36223"/>
    <w:rsid w:val="00B36984"/>
    <w:rsid w:val="00B36E96"/>
    <w:rsid w:val="00B37354"/>
    <w:rsid w:val="00B376A7"/>
    <w:rsid w:val="00B377CE"/>
    <w:rsid w:val="00B4012C"/>
    <w:rsid w:val="00B40C5E"/>
    <w:rsid w:val="00B41D27"/>
    <w:rsid w:val="00B42AEA"/>
    <w:rsid w:val="00B42C77"/>
    <w:rsid w:val="00B42D44"/>
    <w:rsid w:val="00B43444"/>
    <w:rsid w:val="00B437AD"/>
    <w:rsid w:val="00B43941"/>
    <w:rsid w:val="00B43ABC"/>
    <w:rsid w:val="00B4423B"/>
    <w:rsid w:val="00B4428B"/>
    <w:rsid w:val="00B4439C"/>
    <w:rsid w:val="00B445F2"/>
    <w:rsid w:val="00B44749"/>
    <w:rsid w:val="00B44919"/>
    <w:rsid w:val="00B44BE9"/>
    <w:rsid w:val="00B44D5E"/>
    <w:rsid w:val="00B4594C"/>
    <w:rsid w:val="00B45C8F"/>
    <w:rsid w:val="00B45CB8"/>
    <w:rsid w:val="00B46167"/>
    <w:rsid w:val="00B46A5E"/>
    <w:rsid w:val="00B474E4"/>
    <w:rsid w:val="00B4769F"/>
    <w:rsid w:val="00B477CB"/>
    <w:rsid w:val="00B478A8"/>
    <w:rsid w:val="00B47954"/>
    <w:rsid w:val="00B47BCC"/>
    <w:rsid w:val="00B50458"/>
    <w:rsid w:val="00B50AD5"/>
    <w:rsid w:val="00B50E4E"/>
    <w:rsid w:val="00B51301"/>
    <w:rsid w:val="00B519B5"/>
    <w:rsid w:val="00B51BD3"/>
    <w:rsid w:val="00B51F63"/>
    <w:rsid w:val="00B52072"/>
    <w:rsid w:val="00B52500"/>
    <w:rsid w:val="00B52A91"/>
    <w:rsid w:val="00B52DB2"/>
    <w:rsid w:val="00B53281"/>
    <w:rsid w:val="00B539ED"/>
    <w:rsid w:val="00B54137"/>
    <w:rsid w:val="00B54217"/>
    <w:rsid w:val="00B5421E"/>
    <w:rsid w:val="00B549AB"/>
    <w:rsid w:val="00B559B0"/>
    <w:rsid w:val="00B56379"/>
    <w:rsid w:val="00B564DC"/>
    <w:rsid w:val="00B56D8F"/>
    <w:rsid w:val="00B576B7"/>
    <w:rsid w:val="00B577A2"/>
    <w:rsid w:val="00B57864"/>
    <w:rsid w:val="00B57D45"/>
    <w:rsid w:val="00B57F33"/>
    <w:rsid w:val="00B604A3"/>
    <w:rsid w:val="00B605D9"/>
    <w:rsid w:val="00B60956"/>
    <w:rsid w:val="00B609C2"/>
    <w:rsid w:val="00B61057"/>
    <w:rsid w:val="00B61276"/>
    <w:rsid w:val="00B6128D"/>
    <w:rsid w:val="00B61781"/>
    <w:rsid w:val="00B61DD1"/>
    <w:rsid w:val="00B61F85"/>
    <w:rsid w:val="00B62390"/>
    <w:rsid w:val="00B62614"/>
    <w:rsid w:val="00B626EE"/>
    <w:rsid w:val="00B62C6A"/>
    <w:rsid w:val="00B63397"/>
    <w:rsid w:val="00B6360A"/>
    <w:rsid w:val="00B63759"/>
    <w:rsid w:val="00B63C57"/>
    <w:rsid w:val="00B64088"/>
    <w:rsid w:val="00B646D4"/>
    <w:rsid w:val="00B64AE2"/>
    <w:rsid w:val="00B65CDF"/>
    <w:rsid w:val="00B661E1"/>
    <w:rsid w:val="00B6643F"/>
    <w:rsid w:val="00B666A4"/>
    <w:rsid w:val="00B6686D"/>
    <w:rsid w:val="00B669FD"/>
    <w:rsid w:val="00B671DF"/>
    <w:rsid w:val="00B70467"/>
    <w:rsid w:val="00B71260"/>
    <w:rsid w:val="00B71DC7"/>
    <w:rsid w:val="00B71DCF"/>
    <w:rsid w:val="00B71E10"/>
    <w:rsid w:val="00B71F53"/>
    <w:rsid w:val="00B72451"/>
    <w:rsid w:val="00B72CA7"/>
    <w:rsid w:val="00B73124"/>
    <w:rsid w:val="00B73A9D"/>
    <w:rsid w:val="00B7401C"/>
    <w:rsid w:val="00B74967"/>
    <w:rsid w:val="00B74B49"/>
    <w:rsid w:val="00B7567D"/>
    <w:rsid w:val="00B75BF5"/>
    <w:rsid w:val="00B76469"/>
    <w:rsid w:val="00B77612"/>
    <w:rsid w:val="00B77A65"/>
    <w:rsid w:val="00B77C30"/>
    <w:rsid w:val="00B77CA9"/>
    <w:rsid w:val="00B800F3"/>
    <w:rsid w:val="00B808E5"/>
    <w:rsid w:val="00B80B51"/>
    <w:rsid w:val="00B81194"/>
    <w:rsid w:val="00B81C04"/>
    <w:rsid w:val="00B81FBE"/>
    <w:rsid w:val="00B823E8"/>
    <w:rsid w:val="00B82424"/>
    <w:rsid w:val="00B8256A"/>
    <w:rsid w:val="00B827DC"/>
    <w:rsid w:val="00B82DFF"/>
    <w:rsid w:val="00B8335D"/>
    <w:rsid w:val="00B8348C"/>
    <w:rsid w:val="00B835F4"/>
    <w:rsid w:val="00B83C9D"/>
    <w:rsid w:val="00B84EE4"/>
    <w:rsid w:val="00B84FB7"/>
    <w:rsid w:val="00B8588C"/>
    <w:rsid w:val="00B858B0"/>
    <w:rsid w:val="00B86857"/>
    <w:rsid w:val="00B875CE"/>
    <w:rsid w:val="00B8770E"/>
    <w:rsid w:val="00B87C8B"/>
    <w:rsid w:val="00B90570"/>
    <w:rsid w:val="00B90593"/>
    <w:rsid w:val="00B90608"/>
    <w:rsid w:val="00B90BF2"/>
    <w:rsid w:val="00B92E80"/>
    <w:rsid w:val="00B92F25"/>
    <w:rsid w:val="00B92F30"/>
    <w:rsid w:val="00B93799"/>
    <w:rsid w:val="00B938FB"/>
    <w:rsid w:val="00B93BB4"/>
    <w:rsid w:val="00B93FDF"/>
    <w:rsid w:val="00B94114"/>
    <w:rsid w:val="00B94150"/>
    <w:rsid w:val="00B94266"/>
    <w:rsid w:val="00B94C85"/>
    <w:rsid w:val="00B951EA"/>
    <w:rsid w:val="00B953BB"/>
    <w:rsid w:val="00B9554E"/>
    <w:rsid w:val="00B959E3"/>
    <w:rsid w:val="00B95F5D"/>
    <w:rsid w:val="00B95FF8"/>
    <w:rsid w:val="00B9669E"/>
    <w:rsid w:val="00B96CBC"/>
    <w:rsid w:val="00B9714B"/>
    <w:rsid w:val="00B973C2"/>
    <w:rsid w:val="00B97A04"/>
    <w:rsid w:val="00B97A55"/>
    <w:rsid w:val="00BA0F66"/>
    <w:rsid w:val="00BA10D6"/>
    <w:rsid w:val="00BA17F5"/>
    <w:rsid w:val="00BA1E68"/>
    <w:rsid w:val="00BA2221"/>
    <w:rsid w:val="00BA299E"/>
    <w:rsid w:val="00BA2F1A"/>
    <w:rsid w:val="00BA3F99"/>
    <w:rsid w:val="00BA4441"/>
    <w:rsid w:val="00BA501C"/>
    <w:rsid w:val="00BA5D20"/>
    <w:rsid w:val="00BA5ED3"/>
    <w:rsid w:val="00BA60E7"/>
    <w:rsid w:val="00BA623B"/>
    <w:rsid w:val="00BA717E"/>
    <w:rsid w:val="00BA74DF"/>
    <w:rsid w:val="00BA7C03"/>
    <w:rsid w:val="00BA7CDE"/>
    <w:rsid w:val="00BB0990"/>
    <w:rsid w:val="00BB106B"/>
    <w:rsid w:val="00BB1C27"/>
    <w:rsid w:val="00BB1DB6"/>
    <w:rsid w:val="00BB2369"/>
    <w:rsid w:val="00BB2A5A"/>
    <w:rsid w:val="00BB2B38"/>
    <w:rsid w:val="00BB2B43"/>
    <w:rsid w:val="00BB3A37"/>
    <w:rsid w:val="00BB4B2B"/>
    <w:rsid w:val="00BB5010"/>
    <w:rsid w:val="00BB5269"/>
    <w:rsid w:val="00BB52B4"/>
    <w:rsid w:val="00BB5724"/>
    <w:rsid w:val="00BB5BCD"/>
    <w:rsid w:val="00BB630E"/>
    <w:rsid w:val="00BB6678"/>
    <w:rsid w:val="00BB7DDA"/>
    <w:rsid w:val="00BC0424"/>
    <w:rsid w:val="00BC08C3"/>
    <w:rsid w:val="00BC0B94"/>
    <w:rsid w:val="00BC0C64"/>
    <w:rsid w:val="00BC0D5A"/>
    <w:rsid w:val="00BC0EEE"/>
    <w:rsid w:val="00BC12F5"/>
    <w:rsid w:val="00BC1743"/>
    <w:rsid w:val="00BC1CE6"/>
    <w:rsid w:val="00BC26C0"/>
    <w:rsid w:val="00BC2A13"/>
    <w:rsid w:val="00BC2D53"/>
    <w:rsid w:val="00BC32BC"/>
    <w:rsid w:val="00BC3760"/>
    <w:rsid w:val="00BC41CE"/>
    <w:rsid w:val="00BC545F"/>
    <w:rsid w:val="00BC5990"/>
    <w:rsid w:val="00BC59C7"/>
    <w:rsid w:val="00BC5A12"/>
    <w:rsid w:val="00BC6033"/>
    <w:rsid w:val="00BC60B9"/>
    <w:rsid w:val="00BC6194"/>
    <w:rsid w:val="00BC6601"/>
    <w:rsid w:val="00BC6FF9"/>
    <w:rsid w:val="00BC70E2"/>
    <w:rsid w:val="00BC78B6"/>
    <w:rsid w:val="00BD0099"/>
    <w:rsid w:val="00BD014E"/>
    <w:rsid w:val="00BD0576"/>
    <w:rsid w:val="00BD1032"/>
    <w:rsid w:val="00BD1127"/>
    <w:rsid w:val="00BD11F5"/>
    <w:rsid w:val="00BD1776"/>
    <w:rsid w:val="00BD222A"/>
    <w:rsid w:val="00BD2249"/>
    <w:rsid w:val="00BD2764"/>
    <w:rsid w:val="00BD28A1"/>
    <w:rsid w:val="00BD2B9D"/>
    <w:rsid w:val="00BD2C18"/>
    <w:rsid w:val="00BD3F1B"/>
    <w:rsid w:val="00BD416C"/>
    <w:rsid w:val="00BD41AC"/>
    <w:rsid w:val="00BD4E4F"/>
    <w:rsid w:val="00BD51DA"/>
    <w:rsid w:val="00BD53D6"/>
    <w:rsid w:val="00BD5800"/>
    <w:rsid w:val="00BD5C71"/>
    <w:rsid w:val="00BD643F"/>
    <w:rsid w:val="00BD674C"/>
    <w:rsid w:val="00BD68A6"/>
    <w:rsid w:val="00BD6D3F"/>
    <w:rsid w:val="00BD72D4"/>
    <w:rsid w:val="00BD7A52"/>
    <w:rsid w:val="00BE00C1"/>
    <w:rsid w:val="00BE0A3E"/>
    <w:rsid w:val="00BE0F7B"/>
    <w:rsid w:val="00BE1B2E"/>
    <w:rsid w:val="00BE1FBA"/>
    <w:rsid w:val="00BE272D"/>
    <w:rsid w:val="00BE336F"/>
    <w:rsid w:val="00BE3CBF"/>
    <w:rsid w:val="00BE3E01"/>
    <w:rsid w:val="00BE403B"/>
    <w:rsid w:val="00BE41E2"/>
    <w:rsid w:val="00BE46B7"/>
    <w:rsid w:val="00BE46BE"/>
    <w:rsid w:val="00BE4BFD"/>
    <w:rsid w:val="00BE4DBA"/>
    <w:rsid w:val="00BE52F5"/>
    <w:rsid w:val="00BE56C0"/>
    <w:rsid w:val="00BE57B8"/>
    <w:rsid w:val="00BE5B3F"/>
    <w:rsid w:val="00BE5E38"/>
    <w:rsid w:val="00BE699C"/>
    <w:rsid w:val="00BE6C3D"/>
    <w:rsid w:val="00BE6CCE"/>
    <w:rsid w:val="00BE7EC1"/>
    <w:rsid w:val="00BF01F0"/>
    <w:rsid w:val="00BF0365"/>
    <w:rsid w:val="00BF0839"/>
    <w:rsid w:val="00BF0A0A"/>
    <w:rsid w:val="00BF0C5C"/>
    <w:rsid w:val="00BF0F30"/>
    <w:rsid w:val="00BF11CA"/>
    <w:rsid w:val="00BF13B8"/>
    <w:rsid w:val="00BF13C2"/>
    <w:rsid w:val="00BF14AA"/>
    <w:rsid w:val="00BF20CC"/>
    <w:rsid w:val="00BF20F8"/>
    <w:rsid w:val="00BF238E"/>
    <w:rsid w:val="00BF3191"/>
    <w:rsid w:val="00BF3296"/>
    <w:rsid w:val="00BF3A73"/>
    <w:rsid w:val="00BF3C2C"/>
    <w:rsid w:val="00BF3D71"/>
    <w:rsid w:val="00BF4218"/>
    <w:rsid w:val="00BF4B9D"/>
    <w:rsid w:val="00BF4E1E"/>
    <w:rsid w:val="00BF53F0"/>
    <w:rsid w:val="00BF5579"/>
    <w:rsid w:val="00BF591D"/>
    <w:rsid w:val="00BF6848"/>
    <w:rsid w:val="00BF7C85"/>
    <w:rsid w:val="00BF7E53"/>
    <w:rsid w:val="00C009CA"/>
    <w:rsid w:val="00C01227"/>
    <w:rsid w:val="00C0131A"/>
    <w:rsid w:val="00C01A44"/>
    <w:rsid w:val="00C01B16"/>
    <w:rsid w:val="00C01BFD"/>
    <w:rsid w:val="00C020CB"/>
    <w:rsid w:val="00C0263D"/>
    <w:rsid w:val="00C027D0"/>
    <w:rsid w:val="00C02B88"/>
    <w:rsid w:val="00C030F9"/>
    <w:rsid w:val="00C03100"/>
    <w:rsid w:val="00C031B5"/>
    <w:rsid w:val="00C03200"/>
    <w:rsid w:val="00C036E4"/>
    <w:rsid w:val="00C038EE"/>
    <w:rsid w:val="00C042BA"/>
    <w:rsid w:val="00C04386"/>
    <w:rsid w:val="00C04638"/>
    <w:rsid w:val="00C04F23"/>
    <w:rsid w:val="00C0509C"/>
    <w:rsid w:val="00C0551D"/>
    <w:rsid w:val="00C05D6C"/>
    <w:rsid w:val="00C060C7"/>
    <w:rsid w:val="00C0623A"/>
    <w:rsid w:val="00C0689D"/>
    <w:rsid w:val="00C068FB"/>
    <w:rsid w:val="00C070E6"/>
    <w:rsid w:val="00C0742E"/>
    <w:rsid w:val="00C07914"/>
    <w:rsid w:val="00C07C77"/>
    <w:rsid w:val="00C07DD4"/>
    <w:rsid w:val="00C07E82"/>
    <w:rsid w:val="00C10779"/>
    <w:rsid w:val="00C108CA"/>
    <w:rsid w:val="00C116F7"/>
    <w:rsid w:val="00C11E7A"/>
    <w:rsid w:val="00C1258C"/>
    <w:rsid w:val="00C12843"/>
    <w:rsid w:val="00C12DC4"/>
    <w:rsid w:val="00C13137"/>
    <w:rsid w:val="00C13AF3"/>
    <w:rsid w:val="00C13F5A"/>
    <w:rsid w:val="00C1410E"/>
    <w:rsid w:val="00C14F58"/>
    <w:rsid w:val="00C15443"/>
    <w:rsid w:val="00C162D2"/>
    <w:rsid w:val="00C164F3"/>
    <w:rsid w:val="00C165D3"/>
    <w:rsid w:val="00C16DA6"/>
    <w:rsid w:val="00C16DD0"/>
    <w:rsid w:val="00C17190"/>
    <w:rsid w:val="00C17656"/>
    <w:rsid w:val="00C17C1A"/>
    <w:rsid w:val="00C17E3C"/>
    <w:rsid w:val="00C2024B"/>
    <w:rsid w:val="00C204BD"/>
    <w:rsid w:val="00C2051C"/>
    <w:rsid w:val="00C20568"/>
    <w:rsid w:val="00C20D4B"/>
    <w:rsid w:val="00C20D90"/>
    <w:rsid w:val="00C21587"/>
    <w:rsid w:val="00C21BB8"/>
    <w:rsid w:val="00C21C20"/>
    <w:rsid w:val="00C21ED4"/>
    <w:rsid w:val="00C23352"/>
    <w:rsid w:val="00C2358C"/>
    <w:rsid w:val="00C238F5"/>
    <w:rsid w:val="00C23CD5"/>
    <w:rsid w:val="00C23E48"/>
    <w:rsid w:val="00C24064"/>
    <w:rsid w:val="00C249FA"/>
    <w:rsid w:val="00C24E75"/>
    <w:rsid w:val="00C250B3"/>
    <w:rsid w:val="00C25588"/>
    <w:rsid w:val="00C26118"/>
    <w:rsid w:val="00C26709"/>
    <w:rsid w:val="00C268CE"/>
    <w:rsid w:val="00C30AC2"/>
    <w:rsid w:val="00C30D48"/>
    <w:rsid w:val="00C310D1"/>
    <w:rsid w:val="00C31806"/>
    <w:rsid w:val="00C31B61"/>
    <w:rsid w:val="00C31DFC"/>
    <w:rsid w:val="00C31FE6"/>
    <w:rsid w:val="00C321A7"/>
    <w:rsid w:val="00C326F0"/>
    <w:rsid w:val="00C34427"/>
    <w:rsid w:val="00C34A1D"/>
    <w:rsid w:val="00C34E44"/>
    <w:rsid w:val="00C3512A"/>
    <w:rsid w:val="00C35179"/>
    <w:rsid w:val="00C351D7"/>
    <w:rsid w:val="00C353E8"/>
    <w:rsid w:val="00C354D5"/>
    <w:rsid w:val="00C35704"/>
    <w:rsid w:val="00C35768"/>
    <w:rsid w:val="00C3615B"/>
    <w:rsid w:val="00C361FA"/>
    <w:rsid w:val="00C3624B"/>
    <w:rsid w:val="00C36BE2"/>
    <w:rsid w:val="00C37348"/>
    <w:rsid w:val="00C3793C"/>
    <w:rsid w:val="00C40609"/>
    <w:rsid w:val="00C40F26"/>
    <w:rsid w:val="00C419B8"/>
    <w:rsid w:val="00C424B4"/>
    <w:rsid w:val="00C42D7A"/>
    <w:rsid w:val="00C4379D"/>
    <w:rsid w:val="00C437B2"/>
    <w:rsid w:val="00C43F6C"/>
    <w:rsid w:val="00C4403C"/>
    <w:rsid w:val="00C4427B"/>
    <w:rsid w:val="00C4432F"/>
    <w:rsid w:val="00C44461"/>
    <w:rsid w:val="00C44A7E"/>
    <w:rsid w:val="00C44F43"/>
    <w:rsid w:val="00C45012"/>
    <w:rsid w:val="00C452A1"/>
    <w:rsid w:val="00C45692"/>
    <w:rsid w:val="00C456C8"/>
    <w:rsid w:val="00C456D7"/>
    <w:rsid w:val="00C45710"/>
    <w:rsid w:val="00C45899"/>
    <w:rsid w:val="00C460D8"/>
    <w:rsid w:val="00C46871"/>
    <w:rsid w:val="00C46AD1"/>
    <w:rsid w:val="00C472E6"/>
    <w:rsid w:val="00C47517"/>
    <w:rsid w:val="00C4751F"/>
    <w:rsid w:val="00C475B1"/>
    <w:rsid w:val="00C47AD5"/>
    <w:rsid w:val="00C47D9A"/>
    <w:rsid w:val="00C5018E"/>
    <w:rsid w:val="00C501EE"/>
    <w:rsid w:val="00C5094F"/>
    <w:rsid w:val="00C50FE5"/>
    <w:rsid w:val="00C525A8"/>
    <w:rsid w:val="00C5260E"/>
    <w:rsid w:val="00C5276B"/>
    <w:rsid w:val="00C52D1E"/>
    <w:rsid w:val="00C52D8B"/>
    <w:rsid w:val="00C530A0"/>
    <w:rsid w:val="00C5374D"/>
    <w:rsid w:val="00C544D5"/>
    <w:rsid w:val="00C544DB"/>
    <w:rsid w:val="00C5508A"/>
    <w:rsid w:val="00C56123"/>
    <w:rsid w:val="00C566AF"/>
    <w:rsid w:val="00C566DC"/>
    <w:rsid w:val="00C566F7"/>
    <w:rsid w:val="00C56A09"/>
    <w:rsid w:val="00C57B43"/>
    <w:rsid w:val="00C57BA2"/>
    <w:rsid w:val="00C6002C"/>
    <w:rsid w:val="00C6056A"/>
    <w:rsid w:val="00C60C30"/>
    <w:rsid w:val="00C60FB2"/>
    <w:rsid w:val="00C6185F"/>
    <w:rsid w:val="00C62001"/>
    <w:rsid w:val="00C622C9"/>
    <w:rsid w:val="00C62388"/>
    <w:rsid w:val="00C62417"/>
    <w:rsid w:val="00C6297F"/>
    <w:rsid w:val="00C6342B"/>
    <w:rsid w:val="00C634EF"/>
    <w:rsid w:val="00C6376F"/>
    <w:rsid w:val="00C63C43"/>
    <w:rsid w:val="00C63E95"/>
    <w:rsid w:val="00C6423E"/>
    <w:rsid w:val="00C64835"/>
    <w:rsid w:val="00C6494D"/>
    <w:rsid w:val="00C6566A"/>
    <w:rsid w:val="00C659AE"/>
    <w:rsid w:val="00C65C7B"/>
    <w:rsid w:val="00C662AC"/>
    <w:rsid w:val="00C67122"/>
    <w:rsid w:val="00C67158"/>
    <w:rsid w:val="00C67179"/>
    <w:rsid w:val="00C67A5E"/>
    <w:rsid w:val="00C70061"/>
    <w:rsid w:val="00C70512"/>
    <w:rsid w:val="00C70953"/>
    <w:rsid w:val="00C71372"/>
    <w:rsid w:val="00C71A4E"/>
    <w:rsid w:val="00C720E4"/>
    <w:rsid w:val="00C72C95"/>
    <w:rsid w:val="00C73269"/>
    <w:rsid w:val="00C73270"/>
    <w:rsid w:val="00C73557"/>
    <w:rsid w:val="00C73A1E"/>
    <w:rsid w:val="00C73B62"/>
    <w:rsid w:val="00C73C5C"/>
    <w:rsid w:val="00C73EBD"/>
    <w:rsid w:val="00C74252"/>
    <w:rsid w:val="00C7427E"/>
    <w:rsid w:val="00C74838"/>
    <w:rsid w:val="00C7489E"/>
    <w:rsid w:val="00C74978"/>
    <w:rsid w:val="00C74C63"/>
    <w:rsid w:val="00C758A7"/>
    <w:rsid w:val="00C762CB"/>
    <w:rsid w:val="00C76B7C"/>
    <w:rsid w:val="00C76E9D"/>
    <w:rsid w:val="00C777AE"/>
    <w:rsid w:val="00C802B9"/>
    <w:rsid w:val="00C80D24"/>
    <w:rsid w:val="00C81B63"/>
    <w:rsid w:val="00C82479"/>
    <w:rsid w:val="00C83047"/>
    <w:rsid w:val="00C836C1"/>
    <w:rsid w:val="00C83833"/>
    <w:rsid w:val="00C844DA"/>
    <w:rsid w:val="00C84941"/>
    <w:rsid w:val="00C849A1"/>
    <w:rsid w:val="00C8504C"/>
    <w:rsid w:val="00C858DD"/>
    <w:rsid w:val="00C85D60"/>
    <w:rsid w:val="00C864F4"/>
    <w:rsid w:val="00C8661F"/>
    <w:rsid w:val="00C872C4"/>
    <w:rsid w:val="00C8771F"/>
    <w:rsid w:val="00C879E2"/>
    <w:rsid w:val="00C90084"/>
    <w:rsid w:val="00C909ED"/>
    <w:rsid w:val="00C90B8A"/>
    <w:rsid w:val="00C9180D"/>
    <w:rsid w:val="00C91A47"/>
    <w:rsid w:val="00C91B64"/>
    <w:rsid w:val="00C91CBB"/>
    <w:rsid w:val="00C91EBC"/>
    <w:rsid w:val="00C91F24"/>
    <w:rsid w:val="00C93A45"/>
    <w:rsid w:val="00C93ECF"/>
    <w:rsid w:val="00C9422F"/>
    <w:rsid w:val="00C9433A"/>
    <w:rsid w:val="00C948AD"/>
    <w:rsid w:val="00C94944"/>
    <w:rsid w:val="00C950FD"/>
    <w:rsid w:val="00C95B13"/>
    <w:rsid w:val="00C95DF9"/>
    <w:rsid w:val="00C96207"/>
    <w:rsid w:val="00C96664"/>
    <w:rsid w:val="00C968D4"/>
    <w:rsid w:val="00C96D2E"/>
    <w:rsid w:val="00C96EE6"/>
    <w:rsid w:val="00C97625"/>
    <w:rsid w:val="00C97938"/>
    <w:rsid w:val="00CA00CC"/>
    <w:rsid w:val="00CA0771"/>
    <w:rsid w:val="00CA1387"/>
    <w:rsid w:val="00CA15EB"/>
    <w:rsid w:val="00CA25E4"/>
    <w:rsid w:val="00CA2E08"/>
    <w:rsid w:val="00CA32FE"/>
    <w:rsid w:val="00CA33CD"/>
    <w:rsid w:val="00CA4394"/>
    <w:rsid w:val="00CA4520"/>
    <w:rsid w:val="00CA52AD"/>
    <w:rsid w:val="00CA52E8"/>
    <w:rsid w:val="00CA5488"/>
    <w:rsid w:val="00CA568B"/>
    <w:rsid w:val="00CA5DD9"/>
    <w:rsid w:val="00CA6287"/>
    <w:rsid w:val="00CA6318"/>
    <w:rsid w:val="00CA66DB"/>
    <w:rsid w:val="00CA6B2B"/>
    <w:rsid w:val="00CA74D1"/>
    <w:rsid w:val="00CB0885"/>
    <w:rsid w:val="00CB08EA"/>
    <w:rsid w:val="00CB1571"/>
    <w:rsid w:val="00CB15FE"/>
    <w:rsid w:val="00CB1605"/>
    <w:rsid w:val="00CB1FE7"/>
    <w:rsid w:val="00CB2AAA"/>
    <w:rsid w:val="00CB2AB1"/>
    <w:rsid w:val="00CB2F67"/>
    <w:rsid w:val="00CB31EB"/>
    <w:rsid w:val="00CB36FD"/>
    <w:rsid w:val="00CB3787"/>
    <w:rsid w:val="00CB3B87"/>
    <w:rsid w:val="00CB3F15"/>
    <w:rsid w:val="00CB455B"/>
    <w:rsid w:val="00CB46E4"/>
    <w:rsid w:val="00CB48DA"/>
    <w:rsid w:val="00CB49A0"/>
    <w:rsid w:val="00CB4A79"/>
    <w:rsid w:val="00CB4AC8"/>
    <w:rsid w:val="00CB4D85"/>
    <w:rsid w:val="00CB55BD"/>
    <w:rsid w:val="00CB5714"/>
    <w:rsid w:val="00CB5983"/>
    <w:rsid w:val="00CB61CA"/>
    <w:rsid w:val="00CB772A"/>
    <w:rsid w:val="00CC0A95"/>
    <w:rsid w:val="00CC0B39"/>
    <w:rsid w:val="00CC0E40"/>
    <w:rsid w:val="00CC0FC3"/>
    <w:rsid w:val="00CC1B8F"/>
    <w:rsid w:val="00CC2139"/>
    <w:rsid w:val="00CC22B8"/>
    <w:rsid w:val="00CC24AE"/>
    <w:rsid w:val="00CC2F93"/>
    <w:rsid w:val="00CC3374"/>
    <w:rsid w:val="00CC3C8E"/>
    <w:rsid w:val="00CC3FEE"/>
    <w:rsid w:val="00CC58CE"/>
    <w:rsid w:val="00CC6AEE"/>
    <w:rsid w:val="00CC6CE6"/>
    <w:rsid w:val="00CC6F5A"/>
    <w:rsid w:val="00CC7602"/>
    <w:rsid w:val="00CD044B"/>
    <w:rsid w:val="00CD086C"/>
    <w:rsid w:val="00CD094B"/>
    <w:rsid w:val="00CD0962"/>
    <w:rsid w:val="00CD0BA8"/>
    <w:rsid w:val="00CD0C88"/>
    <w:rsid w:val="00CD0D5B"/>
    <w:rsid w:val="00CD1014"/>
    <w:rsid w:val="00CD1EEF"/>
    <w:rsid w:val="00CD2517"/>
    <w:rsid w:val="00CD26F2"/>
    <w:rsid w:val="00CD2DAF"/>
    <w:rsid w:val="00CD3938"/>
    <w:rsid w:val="00CD444B"/>
    <w:rsid w:val="00CD4C0E"/>
    <w:rsid w:val="00CD52DB"/>
    <w:rsid w:val="00CD55E6"/>
    <w:rsid w:val="00CD5636"/>
    <w:rsid w:val="00CD588B"/>
    <w:rsid w:val="00CD5C62"/>
    <w:rsid w:val="00CD6148"/>
    <w:rsid w:val="00CD6298"/>
    <w:rsid w:val="00CD6414"/>
    <w:rsid w:val="00CD653A"/>
    <w:rsid w:val="00CD6D4C"/>
    <w:rsid w:val="00CD7138"/>
    <w:rsid w:val="00CD741C"/>
    <w:rsid w:val="00CD7523"/>
    <w:rsid w:val="00CD7B6C"/>
    <w:rsid w:val="00CE0920"/>
    <w:rsid w:val="00CE1685"/>
    <w:rsid w:val="00CE1791"/>
    <w:rsid w:val="00CE196D"/>
    <w:rsid w:val="00CE1C8A"/>
    <w:rsid w:val="00CE2012"/>
    <w:rsid w:val="00CE3260"/>
    <w:rsid w:val="00CE3A08"/>
    <w:rsid w:val="00CE4216"/>
    <w:rsid w:val="00CE4503"/>
    <w:rsid w:val="00CE465F"/>
    <w:rsid w:val="00CE46F2"/>
    <w:rsid w:val="00CE4C21"/>
    <w:rsid w:val="00CE5816"/>
    <w:rsid w:val="00CE5BEB"/>
    <w:rsid w:val="00CE5D94"/>
    <w:rsid w:val="00CE6119"/>
    <w:rsid w:val="00CE6246"/>
    <w:rsid w:val="00CE73FB"/>
    <w:rsid w:val="00CE7CD8"/>
    <w:rsid w:val="00CF0E21"/>
    <w:rsid w:val="00CF1791"/>
    <w:rsid w:val="00CF1ADD"/>
    <w:rsid w:val="00CF26F9"/>
    <w:rsid w:val="00CF2721"/>
    <w:rsid w:val="00CF2E9E"/>
    <w:rsid w:val="00CF3BB9"/>
    <w:rsid w:val="00CF4B33"/>
    <w:rsid w:val="00CF4CF5"/>
    <w:rsid w:val="00CF4D15"/>
    <w:rsid w:val="00CF555C"/>
    <w:rsid w:val="00CF5775"/>
    <w:rsid w:val="00CF5FD6"/>
    <w:rsid w:val="00CF649C"/>
    <w:rsid w:val="00CF6627"/>
    <w:rsid w:val="00CF7473"/>
    <w:rsid w:val="00CF762B"/>
    <w:rsid w:val="00CF7727"/>
    <w:rsid w:val="00CF7791"/>
    <w:rsid w:val="00CF7847"/>
    <w:rsid w:val="00CF7AF2"/>
    <w:rsid w:val="00CF7E7B"/>
    <w:rsid w:val="00CF7EA0"/>
    <w:rsid w:val="00D00222"/>
    <w:rsid w:val="00D0051D"/>
    <w:rsid w:val="00D007DE"/>
    <w:rsid w:val="00D00DB7"/>
    <w:rsid w:val="00D0104C"/>
    <w:rsid w:val="00D01153"/>
    <w:rsid w:val="00D01B43"/>
    <w:rsid w:val="00D01F68"/>
    <w:rsid w:val="00D020D9"/>
    <w:rsid w:val="00D02755"/>
    <w:rsid w:val="00D02CF8"/>
    <w:rsid w:val="00D03088"/>
    <w:rsid w:val="00D032AA"/>
    <w:rsid w:val="00D0340A"/>
    <w:rsid w:val="00D03598"/>
    <w:rsid w:val="00D038B5"/>
    <w:rsid w:val="00D03D1C"/>
    <w:rsid w:val="00D04588"/>
    <w:rsid w:val="00D04D05"/>
    <w:rsid w:val="00D053E9"/>
    <w:rsid w:val="00D0545E"/>
    <w:rsid w:val="00D05BE2"/>
    <w:rsid w:val="00D07151"/>
    <w:rsid w:val="00D071E9"/>
    <w:rsid w:val="00D078F8"/>
    <w:rsid w:val="00D07B09"/>
    <w:rsid w:val="00D1014A"/>
    <w:rsid w:val="00D101F6"/>
    <w:rsid w:val="00D1051B"/>
    <w:rsid w:val="00D10794"/>
    <w:rsid w:val="00D120B2"/>
    <w:rsid w:val="00D12208"/>
    <w:rsid w:val="00D12362"/>
    <w:rsid w:val="00D12455"/>
    <w:rsid w:val="00D12691"/>
    <w:rsid w:val="00D12878"/>
    <w:rsid w:val="00D12CB6"/>
    <w:rsid w:val="00D12D12"/>
    <w:rsid w:val="00D12E5B"/>
    <w:rsid w:val="00D13301"/>
    <w:rsid w:val="00D133FE"/>
    <w:rsid w:val="00D1353D"/>
    <w:rsid w:val="00D13A21"/>
    <w:rsid w:val="00D13DC9"/>
    <w:rsid w:val="00D13E9C"/>
    <w:rsid w:val="00D146AE"/>
    <w:rsid w:val="00D14BB5"/>
    <w:rsid w:val="00D14BBF"/>
    <w:rsid w:val="00D14C46"/>
    <w:rsid w:val="00D16C7A"/>
    <w:rsid w:val="00D16D53"/>
    <w:rsid w:val="00D17246"/>
    <w:rsid w:val="00D1758D"/>
    <w:rsid w:val="00D178F9"/>
    <w:rsid w:val="00D21303"/>
    <w:rsid w:val="00D218A8"/>
    <w:rsid w:val="00D219FC"/>
    <w:rsid w:val="00D220FF"/>
    <w:rsid w:val="00D22326"/>
    <w:rsid w:val="00D22E22"/>
    <w:rsid w:val="00D22F05"/>
    <w:rsid w:val="00D231A1"/>
    <w:rsid w:val="00D234D1"/>
    <w:rsid w:val="00D23FDC"/>
    <w:rsid w:val="00D24162"/>
    <w:rsid w:val="00D242EA"/>
    <w:rsid w:val="00D243CB"/>
    <w:rsid w:val="00D2474B"/>
    <w:rsid w:val="00D247FB"/>
    <w:rsid w:val="00D24E3E"/>
    <w:rsid w:val="00D257B4"/>
    <w:rsid w:val="00D257F2"/>
    <w:rsid w:val="00D263A7"/>
    <w:rsid w:val="00D2654E"/>
    <w:rsid w:val="00D26686"/>
    <w:rsid w:val="00D26EC8"/>
    <w:rsid w:val="00D2742D"/>
    <w:rsid w:val="00D275A5"/>
    <w:rsid w:val="00D275A7"/>
    <w:rsid w:val="00D30498"/>
    <w:rsid w:val="00D31B9F"/>
    <w:rsid w:val="00D31BE6"/>
    <w:rsid w:val="00D31DFD"/>
    <w:rsid w:val="00D31EC2"/>
    <w:rsid w:val="00D32353"/>
    <w:rsid w:val="00D3289C"/>
    <w:rsid w:val="00D32CA3"/>
    <w:rsid w:val="00D32D29"/>
    <w:rsid w:val="00D32FF8"/>
    <w:rsid w:val="00D333A9"/>
    <w:rsid w:val="00D3355C"/>
    <w:rsid w:val="00D337AC"/>
    <w:rsid w:val="00D33885"/>
    <w:rsid w:val="00D339D7"/>
    <w:rsid w:val="00D33DC4"/>
    <w:rsid w:val="00D33FC4"/>
    <w:rsid w:val="00D34829"/>
    <w:rsid w:val="00D34A02"/>
    <w:rsid w:val="00D34C0A"/>
    <w:rsid w:val="00D350BF"/>
    <w:rsid w:val="00D361B9"/>
    <w:rsid w:val="00D3682B"/>
    <w:rsid w:val="00D3706A"/>
    <w:rsid w:val="00D3759F"/>
    <w:rsid w:val="00D376A9"/>
    <w:rsid w:val="00D4018A"/>
    <w:rsid w:val="00D40225"/>
    <w:rsid w:val="00D40B4C"/>
    <w:rsid w:val="00D40E23"/>
    <w:rsid w:val="00D411C6"/>
    <w:rsid w:val="00D41942"/>
    <w:rsid w:val="00D42A1D"/>
    <w:rsid w:val="00D42EF8"/>
    <w:rsid w:val="00D42F76"/>
    <w:rsid w:val="00D43BB2"/>
    <w:rsid w:val="00D43E5E"/>
    <w:rsid w:val="00D44333"/>
    <w:rsid w:val="00D445EA"/>
    <w:rsid w:val="00D447F0"/>
    <w:rsid w:val="00D44A12"/>
    <w:rsid w:val="00D44A77"/>
    <w:rsid w:val="00D459A0"/>
    <w:rsid w:val="00D45E9B"/>
    <w:rsid w:val="00D4640D"/>
    <w:rsid w:val="00D4652D"/>
    <w:rsid w:val="00D46ABC"/>
    <w:rsid w:val="00D46AEB"/>
    <w:rsid w:val="00D46BEE"/>
    <w:rsid w:val="00D46EAD"/>
    <w:rsid w:val="00D47144"/>
    <w:rsid w:val="00D473D6"/>
    <w:rsid w:val="00D479CC"/>
    <w:rsid w:val="00D47C46"/>
    <w:rsid w:val="00D500F9"/>
    <w:rsid w:val="00D5032F"/>
    <w:rsid w:val="00D5055D"/>
    <w:rsid w:val="00D513D4"/>
    <w:rsid w:val="00D51EED"/>
    <w:rsid w:val="00D52401"/>
    <w:rsid w:val="00D53F4C"/>
    <w:rsid w:val="00D5407E"/>
    <w:rsid w:val="00D54CFB"/>
    <w:rsid w:val="00D55355"/>
    <w:rsid w:val="00D55BF6"/>
    <w:rsid w:val="00D567FA"/>
    <w:rsid w:val="00D57069"/>
    <w:rsid w:val="00D5714E"/>
    <w:rsid w:val="00D57184"/>
    <w:rsid w:val="00D571A2"/>
    <w:rsid w:val="00D57D65"/>
    <w:rsid w:val="00D57FF1"/>
    <w:rsid w:val="00D6045D"/>
    <w:rsid w:val="00D60CE2"/>
    <w:rsid w:val="00D610E1"/>
    <w:rsid w:val="00D6110F"/>
    <w:rsid w:val="00D613B5"/>
    <w:rsid w:val="00D61CB5"/>
    <w:rsid w:val="00D633A1"/>
    <w:rsid w:val="00D63EE7"/>
    <w:rsid w:val="00D6493A"/>
    <w:rsid w:val="00D64A56"/>
    <w:rsid w:val="00D65332"/>
    <w:rsid w:val="00D66F9E"/>
    <w:rsid w:val="00D670DA"/>
    <w:rsid w:val="00D67EB4"/>
    <w:rsid w:val="00D70093"/>
    <w:rsid w:val="00D706B9"/>
    <w:rsid w:val="00D70FA2"/>
    <w:rsid w:val="00D71102"/>
    <w:rsid w:val="00D712B0"/>
    <w:rsid w:val="00D7132A"/>
    <w:rsid w:val="00D718FD"/>
    <w:rsid w:val="00D71A23"/>
    <w:rsid w:val="00D71E0A"/>
    <w:rsid w:val="00D721F5"/>
    <w:rsid w:val="00D728C2"/>
    <w:rsid w:val="00D7370C"/>
    <w:rsid w:val="00D745D5"/>
    <w:rsid w:val="00D751E1"/>
    <w:rsid w:val="00D75633"/>
    <w:rsid w:val="00D757D1"/>
    <w:rsid w:val="00D76475"/>
    <w:rsid w:val="00D76549"/>
    <w:rsid w:val="00D76D63"/>
    <w:rsid w:val="00D76E3C"/>
    <w:rsid w:val="00D7707D"/>
    <w:rsid w:val="00D77673"/>
    <w:rsid w:val="00D77997"/>
    <w:rsid w:val="00D77B3D"/>
    <w:rsid w:val="00D808A6"/>
    <w:rsid w:val="00D8091C"/>
    <w:rsid w:val="00D80F73"/>
    <w:rsid w:val="00D8140E"/>
    <w:rsid w:val="00D81F79"/>
    <w:rsid w:val="00D828EC"/>
    <w:rsid w:val="00D82F2E"/>
    <w:rsid w:val="00D83003"/>
    <w:rsid w:val="00D831A0"/>
    <w:rsid w:val="00D835CC"/>
    <w:rsid w:val="00D83CC3"/>
    <w:rsid w:val="00D840B7"/>
    <w:rsid w:val="00D8434D"/>
    <w:rsid w:val="00D84C5C"/>
    <w:rsid w:val="00D8508D"/>
    <w:rsid w:val="00D8535C"/>
    <w:rsid w:val="00D85439"/>
    <w:rsid w:val="00D857DE"/>
    <w:rsid w:val="00D87274"/>
    <w:rsid w:val="00D87276"/>
    <w:rsid w:val="00D87C24"/>
    <w:rsid w:val="00D87CF9"/>
    <w:rsid w:val="00D87F19"/>
    <w:rsid w:val="00D900BC"/>
    <w:rsid w:val="00D900E5"/>
    <w:rsid w:val="00D9018C"/>
    <w:rsid w:val="00D90994"/>
    <w:rsid w:val="00D90A22"/>
    <w:rsid w:val="00D91797"/>
    <w:rsid w:val="00D921ED"/>
    <w:rsid w:val="00D92E01"/>
    <w:rsid w:val="00D934A6"/>
    <w:rsid w:val="00D93B07"/>
    <w:rsid w:val="00D9414D"/>
    <w:rsid w:val="00D9485A"/>
    <w:rsid w:val="00D95251"/>
    <w:rsid w:val="00D95308"/>
    <w:rsid w:val="00D95573"/>
    <w:rsid w:val="00D960AC"/>
    <w:rsid w:val="00D96238"/>
    <w:rsid w:val="00DA099C"/>
    <w:rsid w:val="00DA09F2"/>
    <w:rsid w:val="00DA108D"/>
    <w:rsid w:val="00DA12C8"/>
    <w:rsid w:val="00DA1BFC"/>
    <w:rsid w:val="00DA1FBE"/>
    <w:rsid w:val="00DA2791"/>
    <w:rsid w:val="00DA2E2E"/>
    <w:rsid w:val="00DA33EB"/>
    <w:rsid w:val="00DA3CDD"/>
    <w:rsid w:val="00DA3F00"/>
    <w:rsid w:val="00DA42D4"/>
    <w:rsid w:val="00DA477E"/>
    <w:rsid w:val="00DA4B75"/>
    <w:rsid w:val="00DA5266"/>
    <w:rsid w:val="00DA5299"/>
    <w:rsid w:val="00DA553D"/>
    <w:rsid w:val="00DA59FA"/>
    <w:rsid w:val="00DA5A12"/>
    <w:rsid w:val="00DA5D4B"/>
    <w:rsid w:val="00DA66EE"/>
    <w:rsid w:val="00DA6C0D"/>
    <w:rsid w:val="00DA7658"/>
    <w:rsid w:val="00DA78EC"/>
    <w:rsid w:val="00DA7A2B"/>
    <w:rsid w:val="00DB063A"/>
    <w:rsid w:val="00DB1969"/>
    <w:rsid w:val="00DB2299"/>
    <w:rsid w:val="00DB295D"/>
    <w:rsid w:val="00DB2AD0"/>
    <w:rsid w:val="00DB2D29"/>
    <w:rsid w:val="00DB30E4"/>
    <w:rsid w:val="00DB31B4"/>
    <w:rsid w:val="00DB3777"/>
    <w:rsid w:val="00DB3C8D"/>
    <w:rsid w:val="00DB3CB7"/>
    <w:rsid w:val="00DB3E27"/>
    <w:rsid w:val="00DB4A36"/>
    <w:rsid w:val="00DB52D7"/>
    <w:rsid w:val="00DB5457"/>
    <w:rsid w:val="00DB58E0"/>
    <w:rsid w:val="00DB5AE8"/>
    <w:rsid w:val="00DB5E2A"/>
    <w:rsid w:val="00DB6A35"/>
    <w:rsid w:val="00DB6D4D"/>
    <w:rsid w:val="00DB75B8"/>
    <w:rsid w:val="00DB778B"/>
    <w:rsid w:val="00DC035C"/>
    <w:rsid w:val="00DC05C5"/>
    <w:rsid w:val="00DC10CD"/>
    <w:rsid w:val="00DC1223"/>
    <w:rsid w:val="00DC1AA7"/>
    <w:rsid w:val="00DC2694"/>
    <w:rsid w:val="00DC2763"/>
    <w:rsid w:val="00DC2A7E"/>
    <w:rsid w:val="00DC2C7B"/>
    <w:rsid w:val="00DC2D60"/>
    <w:rsid w:val="00DC3995"/>
    <w:rsid w:val="00DC39E0"/>
    <w:rsid w:val="00DC3AEC"/>
    <w:rsid w:val="00DC3B8E"/>
    <w:rsid w:val="00DC45F7"/>
    <w:rsid w:val="00DC4AF5"/>
    <w:rsid w:val="00DC5948"/>
    <w:rsid w:val="00DC60EE"/>
    <w:rsid w:val="00DC64B9"/>
    <w:rsid w:val="00DC6918"/>
    <w:rsid w:val="00DC6960"/>
    <w:rsid w:val="00DC7324"/>
    <w:rsid w:val="00DC75B1"/>
    <w:rsid w:val="00DC77F2"/>
    <w:rsid w:val="00DC7952"/>
    <w:rsid w:val="00DC7B4D"/>
    <w:rsid w:val="00DD03CB"/>
    <w:rsid w:val="00DD0435"/>
    <w:rsid w:val="00DD0549"/>
    <w:rsid w:val="00DD0575"/>
    <w:rsid w:val="00DD0605"/>
    <w:rsid w:val="00DD0694"/>
    <w:rsid w:val="00DD077D"/>
    <w:rsid w:val="00DD078F"/>
    <w:rsid w:val="00DD0DB3"/>
    <w:rsid w:val="00DD1482"/>
    <w:rsid w:val="00DD1579"/>
    <w:rsid w:val="00DD17E8"/>
    <w:rsid w:val="00DD1D76"/>
    <w:rsid w:val="00DD2022"/>
    <w:rsid w:val="00DD2216"/>
    <w:rsid w:val="00DD2296"/>
    <w:rsid w:val="00DD275D"/>
    <w:rsid w:val="00DD3020"/>
    <w:rsid w:val="00DD3505"/>
    <w:rsid w:val="00DD3554"/>
    <w:rsid w:val="00DD3889"/>
    <w:rsid w:val="00DD41DB"/>
    <w:rsid w:val="00DD455E"/>
    <w:rsid w:val="00DD532C"/>
    <w:rsid w:val="00DD5824"/>
    <w:rsid w:val="00DD6056"/>
    <w:rsid w:val="00DD629D"/>
    <w:rsid w:val="00DD639B"/>
    <w:rsid w:val="00DD65E3"/>
    <w:rsid w:val="00DD65F7"/>
    <w:rsid w:val="00DD662B"/>
    <w:rsid w:val="00DD6678"/>
    <w:rsid w:val="00DD6A7F"/>
    <w:rsid w:val="00DD6BE8"/>
    <w:rsid w:val="00DD7129"/>
    <w:rsid w:val="00DD7490"/>
    <w:rsid w:val="00DD7607"/>
    <w:rsid w:val="00DD7608"/>
    <w:rsid w:val="00DD77FA"/>
    <w:rsid w:val="00DD7BB1"/>
    <w:rsid w:val="00DE0015"/>
    <w:rsid w:val="00DE0055"/>
    <w:rsid w:val="00DE06DA"/>
    <w:rsid w:val="00DE0A97"/>
    <w:rsid w:val="00DE0B00"/>
    <w:rsid w:val="00DE1158"/>
    <w:rsid w:val="00DE168B"/>
    <w:rsid w:val="00DE2E2B"/>
    <w:rsid w:val="00DE328D"/>
    <w:rsid w:val="00DE3323"/>
    <w:rsid w:val="00DE3D48"/>
    <w:rsid w:val="00DE3D97"/>
    <w:rsid w:val="00DE473A"/>
    <w:rsid w:val="00DE4C35"/>
    <w:rsid w:val="00DE5471"/>
    <w:rsid w:val="00DE59EF"/>
    <w:rsid w:val="00DE5CAC"/>
    <w:rsid w:val="00DE65BD"/>
    <w:rsid w:val="00DE70E9"/>
    <w:rsid w:val="00DE75CF"/>
    <w:rsid w:val="00DE7DD6"/>
    <w:rsid w:val="00DE7E46"/>
    <w:rsid w:val="00DE7FA2"/>
    <w:rsid w:val="00DF017A"/>
    <w:rsid w:val="00DF0DFE"/>
    <w:rsid w:val="00DF17C8"/>
    <w:rsid w:val="00DF22FF"/>
    <w:rsid w:val="00DF27CB"/>
    <w:rsid w:val="00DF28CA"/>
    <w:rsid w:val="00DF2BD5"/>
    <w:rsid w:val="00DF3534"/>
    <w:rsid w:val="00DF3719"/>
    <w:rsid w:val="00DF39CB"/>
    <w:rsid w:val="00DF43C6"/>
    <w:rsid w:val="00DF4EC5"/>
    <w:rsid w:val="00DF4F45"/>
    <w:rsid w:val="00DF4F8C"/>
    <w:rsid w:val="00DF5062"/>
    <w:rsid w:val="00DF51E8"/>
    <w:rsid w:val="00DF5529"/>
    <w:rsid w:val="00DF5A22"/>
    <w:rsid w:val="00DF5ED4"/>
    <w:rsid w:val="00DF662D"/>
    <w:rsid w:val="00DF68DA"/>
    <w:rsid w:val="00DF6A2B"/>
    <w:rsid w:val="00DF6CA2"/>
    <w:rsid w:val="00DF6D37"/>
    <w:rsid w:val="00DF784F"/>
    <w:rsid w:val="00DF7A9D"/>
    <w:rsid w:val="00DF7D49"/>
    <w:rsid w:val="00DF7D5F"/>
    <w:rsid w:val="00E00025"/>
    <w:rsid w:val="00E0007E"/>
    <w:rsid w:val="00E004AA"/>
    <w:rsid w:val="00E0071C"/>
    <w:rsid w:val="00E00740"/>
    <w:rsid w:val="00E00A31"/>
    <w:rsid w:val="00E01671"/>
    <w:rsid w:val="00E01968"/>
    <w:rsid w:val="00E020EC"/>
    <w:rsid w:val="00E02124"/>
    <w:rsid w:val="00E0269B"/>
    <w:rsid w:val="00E02EE5"/>
    <w:rsid w:val="00E03F85"/>
    <w:rsid w:val="00E04471"/>
    <w:rsid w:val="00E0488C"/>
    <w:rsid w:val="00E04894"/>
    <w:rsid w:val="00E04B39"/>
    <w:rsid w:val="00E04EBF"/>
    <w:rsid w:val="00E0589C"/>
    <w:rsid w:val="00E05AE5"/>
    <w:rsid w:val="00E061A6"/>
    <w:rsid w:val="00E061D8"/>
    <w:rsid w:val="00E062C3"/>
    <w:rsid w:val="00E062E8"/>
    <w:rsid w:val="00E06766"/>
    <w:rsid w:val="00E0741E"/>
    <w:rsid w:val="00E07833"/>
    <w:rsid w:val="00E079FB"/>
    <w:rsid w:val="00E07CBD"/>
    <w:rsid w:val="00E10037"/>
    <w:rsid w:val="00E107F7"/>
    <w:rsid w:val="00E109B7"/>
    <w:rsid w:val="00E10CBD"/>
    <w:rsid w:val="00E122FB"/>
    <w:rsid w:val="00E12413"/>
    <w:rsid w:val="00E126C6"/>
    <w:rsid w:val="00E1284F"/>
    <w:rsid w:val="00E136EA"/>
    <w:rsid w:val="00E13B4A"/>
    <w:rsid w:val="00E14A5F"/>
    <w:rsid w:val="00E14EF0"/>
    <w:rsid w:val="00E15031"/>
    <w:rsid w:val="00E157CD"/>
    <w:rsid w:val="00E158CA"/>
    <w:rsid w:val="00E159ED"/>
    <w:rsid w:val="00E162C1"/>
    <w:rsid w:val="00E16735"/>
    <w:rsid w:val="00E16ADC"/>
    <w:rsid w:val="00E1751F"/>
    <w:rsid w:val="00E177D8"/>
    <w:rsid w:val="00E1799A"/>
    <w:rsid w:val="00E17B72"/>
    <w:rsid w:val="00E2086E"/>
    <w:rsid w:val="00E20C2C"/>
    <w:rsid w:val="00E20D70"/>
    <w:rsid w:val="00E20DE1"/>
    <w:rsid w:val="00E20F94"/>
    <w:rsid w:val="00E22741"/>
    <w:rsid w:val="00E22CF5"/>
    <w:rsid w:val="00E22D09"/>
    <w:rsid w:val="00E23244"/>
    <w:rsid w:val="00E23335"/>
    <w:rsid w:val="00E239FC"/>
    <w:rsid w:val="00E23AAE"/>
    <w:rsid w:val="00E23CA6"/>
    <w:rsid w:val="00E23DD1"/>
    <w:rsid w:val="00E24143"/>
    <w:rsid w:val="00E249AC"/>
    <w:rsid w:val="00E251C6"/>
    <w:rsid w:val="00E2523A"/>
    <w:rsid w:val="00E258C4"/>
    <w:rsid w:val="00E25C4F"/>
    <w:rsid w:val="00E26939"/>
    <w:rsid w:val="00E26A00"/>
    <w:rsid w:val="00E26C5B"/>
    <w:rsid w:val="00E27B98"/>
    <w:rsid w:val="00E27C22"/>
    <w:rsid w:val="00E3068C"/>
    <w:rsid w:val="00E30FDC"/>
    <w:rsid w:val="00E310B1"/>
    <w:rsid w:val="00E312B3"/>
    <w:rsid w:val="00E314EC"/>
    <w:rsid w:val="00E319E1"/>
    <w:rsid w:val="00E32027"/>
    <w:rsid w:val="00E32229"/>
    <w:rsid w:val="00E3233B"/>
    <w:rsid w:val="00E32CE6"/>
    <w:rsid w:val="00E32DA6"/>
    <w:rsid w:val="00E33FE8"/>
    <w:rsid w:val="00E34876"/>
    <w:rsid w:val="00E34D3C"/>
    <w:rsid w:val="00E35159"/>
    <w:rsid w:val="00E3543E"/>
    <w:rsid w:val="00E354CB"/>
    <w:rsid w:val="00E358AD"/>
    <w:rsid w:val="00E36044"/>
    <w:rsid w:val="00E36750"/>
    <w:rsid w:val="00E36B4B"/>
    <w:rsid w:val="00E36D17"/>
    <w:rsid w:val="00E36D2F"/>
    <w:rsid w:val="00E3790D"/>
    <w:rsid w:val="00E406E0"/>
    <w:rsid w:val="00E40B73"/>
    <w:rsid w:val="00E40CD8"/>
    <w:rsid w:val="00E41227"/>
    <w:rsid w:val="00E415F8"/>
    <w:rsid w:val="00E420B1"/>
    <w:rsid w:val="00E428FB"/>
    <w:rsid w:val="00E429A9"/>
    <w:rsid w:val="00E42AA5"/>
    <w:rsid w:val="00E42B8B"/>
    <w:rsid w:val="00E43737"/>
    <w:rsid w:val="00E43AFA"/>
    <w:rsid w:val="00E44028"/>
    <w:rsid w:val="00E44598"/>
    <w:rsid w:val="00E44C94"/>
    <w:rsid w:val="00E44E28"/>
    <w:rsid w:val="00E44EDA"/>
    <w:rsid w:val="00E45010"/>
    <w:rsid w:val="00E456DC"/>
    <w:rsid w:val="00E45B66"/>
    <w:rsid w:val="00E45CCB"/>
    <w:rsid w:val="00E45F3F"/>
    <w:rsid w:val="00E46020"/>
    <w:rsid w:val="00E46588"/>
    <w:rsid w:val="00E46ABE"/>
    <w:rsid w:val="00E473E9"/>
    <w:rsid w:val="00E47A98"/>
    <w:rsid w:val="00E47C9C"/>
    <w:rsid w:val="00E50B0B"/>
    <w:rsid w:val="00E50BC2"/>
    <w:rsid w:val="00E50E6C"/>
    <w:rsid w:val="00E50E8D"/>
    <w:rsid w:val="00E5131B"/>
    <w:rsid w:val="00E518E4"/>
    <w:rsid w:val="00E5191C"/>
    <w:rsid w:val="00E5193D"/>
    <w:rsid w:val="00E52401"/>
    <w:rsid w:val="00E52442"/>
    <w:rsid w:val="00E52542"/>
    <w:rsid w:val="00E52764"/>
    <w:rsid w:val="00E5296E"/>
    <w:rsid w:val="00E52BF4"/>
    <w:rsid w:val="00E538F6"/>
    <w:rsid w:val="00E53935"/>
    <w:rsid w:val="00E54193"/>
    <w:rsid w:val="00E541B6"/>
    <w:rsid w:val="00E5471B"/>
    <w:rsid w:val="00E547BA"/>
    <w:rsid w:val="00E54888"/>
    <w:rsid w:val="00E54D11"/>
    <w:rsid w:val="00E54F07"/>
    <w:rsid w:val="00E552E9"/>
    <w:rsid w:val="00E557EC"/>
    <w:rsid w:val="00E55E29"/>
    <w:rsid w:val="00E55F22"/>
    <w:rsid w:val="00E55F56"/>
    <w:rsid w:val="00E56B60"/>
    <w:rsid w:val="00E56D1E"/>
    <w:rsid w:val="00E5727C"/>
    <w:rsid w:val="00E572A9"/>
    <w:rsid w:val="00E575DB"/>
    <w:rsid w:val="00E57789"/>
    <w:rsid w:val="00E57A3C"/>
    <w:rsid w:val="00E601A3"/>
    <w:rsid w:val="00E601A5"/>
    <w:rsid w:val="00E603BD"/>
    <w:rsid w:val="00E60895"/>
    <w:rsid w:val="00E608E1"/>
    <w:rsid w:val="00E60AB3"/>
    <w:rsid w:val="00E61520"/>
    <w:rsid w:val="00E6159A"/>
    <w:rsid w:val="00E61868"/>
    <w:rsid w:val="00E61C64"/>
    <w:rsid w:val="00E62E61"/>
    <w:rsid w:val="00E635C7"/>
    <w:rsid w:val="00E637BC"/>
    <w:rsid w:val="00E63B4E"/>
    <w:rsid w:val="00E63DA4"/>
    <w:rsid w:val="00E647CD"/>
    <w:rsid w:val="00E64A03"/>
    <w:rsid w:val="00E64E3A"/>
    <w:rsid w:val="00E651B9"/>
    <w:rsid w:val="00E652B8"/>
    <w:rsid w:val="00E65BBD"/>
    <w:rsid w:val="00E66356"/>
    <w:rsid w:val="00E664D4"/>
    <w:rsid w:val="00E665F5"/>
    <w:rsid w:val="00E670D1"/>
    <w:rsid w:val="00E670DD"/>
    <w:rsid w:val="00E70910"/>
    <w:rsid w:val="00E70BA3"/>
    <w:rsid w:val="00E70EE4"/>
    <w:rsid w:val="00E71B41"/>
    <w:rsid w:val="00E721F1"/>
    <w:rsid w:val="00E72AA1"/>
    <w:rsid w:val="00E72DD5"/>
    <w:rsid w:val="00E734D3"/>
    <w:rsid w:val="00E73E14"/>
    <w:rsid w:val="00E74D68"/>
    <w:rsid w:val="00E74EF7"/>
    <w:rsid w:val="00E75067"/>
    <w:rsid w:val="00E75438"/>
    <w:rsid w:val="00E7581E"/>
    <w:rsid w:val="00E75EB7"/>
    <w:rsid w:val="00E75ED7"/>
    <w:rsid w:val="00E76087"/>
    <w:rsid w:val="00E76A4B"/>
    <w:rsid w:val="00E77074"/>
    <w:rsid w:val="00E77166"/>
    <w:rsid w:val="00E7750F"/>
    <w:rsid w:val="00E77510"/>
    <w:rsid w:val="00E776DB"/>
    <w:rsid w:val="00E776F8"/>
    <w:rsid w:val="00E80007"/>
    <w:rsid w:val="00E8036D"/>
    <w:rsid w:val="00E80B1E"/>
    <w:rsid w:val="00E80E7B"/>
    <w:rsid w:val="00E80ED4"/>
    <w:rsid w:val="00E8190E"/>
    <w:rsid w:val="00E827D3"/>
    <w:rsid w:val="00E82E9C"/>
    <w:rsid w:val="00E832D3"/>
    <w:rsid w:val="00E83380"/>
    <w:rsid w:val="00E835B7"/>
    <w:rsid w:val="00E83AC2"/>
    <w:rsid w:val="00E8407B"/>
    <w:rsid w:val="00E8468C"/>
    <w:rsid w:val="00E84DA3"/>
    <w:rsid w:val="00E851EB"/>
    <w:rsid w:val="00E8553C"/>
    <w:rsid w:val="00E8574D"/>
    <w:rsid w:val="00E86248"/>
    <w:rsid w:val="00E87691"/>
    <w:rsid w:val="00E8799F"/>
    <w:rsid w:val="00E87B55"/>
    <w:rsid w:val="00E87F09"/>
    <w:rsid w:val="00E9015B"/>
    <w:rsid w:val="00E90679"/>
    <w:rsid w:val="00E911DC"/>
    <w:rsid w:val="00E91AD7"/>
    <w:rsid w:val="00E92656"/>
    <w:rsid w:val="00E92718"/>
    <w:rsid w:val="00E92A46"/>
    <w:rsid w:val="00E92EF8"/>
    <w:rsid w:val="00E93084"/>
    <w:rsid w:val="00E9313E"/>
    <w:rsid w:val="00E93772"/>
    <w:rsid w:val="00E93CAA"/>
    <w:rsid w:val="00E94C70"/>
    <w:rsid w:val="00E95667"/>
    <w:rsid w:val="00E95793"/>
    <w:rsid w:val="00E958C8"/>
    <w:rsid w:val="00E9662D"/>
    <w:rsid w:val="00E96740"/>
    <w:rsid w:val="00E9758A"/>
    <w:rsid w:val="00EA0477"/>
    <w:rsid w:val="00EA0510"/>
    <w:rsid w:val="00EA08DF"/>
    <w:rsid w:val="00EA0949"/>
    <w:rsid w:val="00EA0A07"/>
    <w:rsid w:val="00EA0B47"/>
    <w:rsid w:val="00EA110C"/>
    <w:rsid w:val="00EA164F"/>
    <w:rsid w:val="00EA16C5"/>
    <w:rsid w:val="00EA1819"/>
    <w:rsid w:val="00EA1A92"/>
    <w:rsid w:val="00EA1DED"/>
    <w:rsid w:val="00EA2534"/>
    <w:rsid w:val="00EA280A"/>
    <w:rsid w:val="00EA3161"/>
    <w:rsid w:val="00EA35FB"/>
    <w:rsid w:val="00EA38DD"/>
    <w:rsid w:val="00EA3981"/>
    <w:rsid w:val="00EA43CA"/>
    <w:rsid w:val="00EA4812"/>
    <w:rsid w:val="00EA4E14"/>
    <w:rsid w:val="00EA517E"/>
    <w:rsid w:val="00EA6170"/>
    <w:rsid w:val="00EA63AA"/>
    <w:rsid w:val="00EA650F"/>
    <w:rsid w:val="00EA6FB9"/>
    <w:rsid w:val="00EA74F6"/>
    <w:rsid w:val="00EA7B84"/>
    <w:rsid w:val="00EB00D8"/>
    <w:rsid w:val="00EB097F"/>
    <w:rsid w:val="00EB0D89"/>
    <w:rsid w:val="00EB15EA"/>
    <w:rsid w:val="00EB19BE"/>
    <w:rsid w:val="00EB1AF0"/>
    <w:rsid w:val="00EB1C36"/>
    <w:rsid w:val="00EB2279"/>
    <w:rsid w:val="00EB2498"/>
    <w:rsid w:val="00EB2F91"/>
    <w:rsid w:val="00EB44E7"/>
    <w:rsid w:val="00EB4E35"/>
    <w:rsid w:val="00EB5235"/>
    <w:rsid w:val="00EB5FB2"/>
    <w:rsid w:val="00EB6376"/>
    <w:rsid w:val="00EB6D27"/>
    <w:rsid w:val="00EB6DDF"/>
    <w:rsid w:val="00EC0277"/>
    <w:rsid w:val="00EC0462"/>
    <w:rsid w:val="00EC0E7D"/>
    <w:rsid w:val="00EC10AA"/>
    <w:rsid w:val="00EC11F4"/>
    <w:rsid w:val="00EC1272"/>
    <w:rsid w:val="00EC134F"/>
    <w:rsid w:val="00EC1868"/>
    <w:rsid w:val="00EC1EDF"/>
    <w:rsid w:val="00EC1F86"/>
    <w:rsid w:val="00EC225A"/>
    <w:rsid w:val="00EC2549"/>
    <w:rsid w:val="00EC2938"/>
    <w:rsid w:val="00EC2AC6"/>
    <w:rsid w:val="00EC387C"/>
    <w:rsid w:val="00EC41E4"/>
    <w:rsid w:val="00EC511B"/>
    <w:rsid w:val="00EC53F7"/>
    <w:rsid w:val="00EC5417"/>
    <w:rsid w:val="00EC5614"/>
    <w:rsid w:val="00EC5F24"/>
    <w:rsid w:val="00EC657A"/>
    <w:rsid w:val="00EC65F2"/>
    <w:rsid w:val="00EC6918"/>
    <w:rsid w:val="00EC6CAD"/>
    <w:rsid w:val="00EC6EB1"/>
    <w:rsid w:val="00EC75F9"/>
    <w:rsid w:val="00EC7F60"/>
    <w:rsid w:val="00ED0376"/>
    <w:rsid w:val="00ED05A8"/>
    <w:rsid w:val="00ED0B7C"/>
    <w:rsid w:val="00ED18EC"/>
    <w:rsid w:val="00ED1F02"/>
    <w:rsid w:val="00ED27B1"/>
    <w:rsid w:val="00ED27CA"/>
    <w:rsid w:val="00ED2F3A"/>
    <w:rsid w:val="00ED3306"/>
    <w:rsid w:val="00ED3652"/>
    <w:rsid w:val="00ED38C9"/>
    <w:rsid w:val="00ED3A11"/>
    <w:rsid w:val="00ED42E9"/>
    <w:rsid w:val="00ED42F3"/>
    <w:rsid w:val="00ED463B"/>
    <w:rsid w:val="00ED4E25"/>
    <w:rsid w:val="00ED4E82"/>
    <w:rsid w:val="00ED4F84"/>
    <w:rsid w:val="00ED6908"/>
    <w:rsid w:val="00ED6D1F"/>
    <w:rsid w:val="00ED702A"/>
    <w:rsid w:val="00ED7101"/>
    <w:rsid w:val="00ED7666"/>
    <w:rsid w:val="00ED7814"/>
    <w:rsid w:val="00ED7BB2"/>
    <w:rsid w:val="00ED7EC0"/>
    <w:rsid w:val="00EE02C7"/>
    <w:rsid w:val="00EE040C"/>
    <w:rsid w:val="00EE08CB"/>
    <w:rsid w:val="00EE096B"/>
    <w:rsid w:val="00EE0AC8"/>
    <w:rsid w:val="00EE0CFA"/>
    <w:rsid w:val="00EE1456"/>
    <w:rsid w:val="00EE151B"/>
    <w:rsid w:val="00EE15C7"/>
    <w:rsid w:val="00EE1773"/>
    <w:rsid w:val="00EE1825"/>
    <w:rsid w:val="00EE2299"/>
    <w:rsid w:val="00EE2C6C"/>
    <w:rsid w:val="00EE3282"/>
    <w:rsid w:val="00EE3677"/>
    <w:rsid w:val="00EE3946"/>
    <w:rsid w:val="00EE3EB8"/>
    <w:rsid w:val="00EE42FE"/>
    <w:rsid w:val="00EE51E9"/>
    <w:rsid w:val="00EE56CB"/>
    <w:rsid w:val="00EE587F"/>
    <w:rsid w:val="00EE5EC0"/>
    <w:rsid w:val="00EE69C9"/>
    <w:rsid w:val="00EE6BE2"/>
    <w:rsid w:val="00EE7000"/>
    <w:rsid w:val="00EF0552"/>
    <w:rsid w:val="00EF07BC"/>
    <w:rsid w:val="00EF09E1"/>
    <w:rsid w:val="00EF1AFF"/>
    <w:rsid w:val="00EF270B"/>
    <w:rsid w:val="00EF2E90"/>
    <w:rsid w:val="00EF337A"/>
    <w:rsid w:val="00EF3B55"/>
    <w:rsid w:val="00EF3F8B"/>
    <w:rsid w:val="00EF476B"/>
    <w:rsid w:val="00EF4D04"/>
    <w:rsid w:val="00EF4D76"/>
    <w:rsid w:val="00EF4DC3"/>
    <w:rsid w:val="00EF5486"/>
    <w:rsid w:val="00EF59A8"/>
    <w:rsid w:val="00EF5C54"/>
    <w:rsid w:val="00EF5FBF"/>
    <w:rsid w:val="00EF625F"/>
    <w:rsid w:val="00EF6B21"/>
    <w:rsid w:val="00EF76ED"/>
    <w:rsid w:val="00EF7B62"/>
    <w:rsid w:val="00EF7FC3"/>
    <w:rsid w:val="00F0012C"/>
    <w:rsid w:val="00F00603"/>
    <w:rsid w:val="00F00B42"/>
    <w:rsid w:val="00F00B78"/>
    <w:rsid w:val="00F01310"/>
    <w:rsid w:val="00F01327"/>
    <w:rsid w:val="00F015F0"/>
    <w:rsid w:val="00F01871"/>
    <w:rsid w:val="00F01A30"/>
    <w:rsid w:val="00F01E7E"/>
    <w:rsid w:val="00F02213"/>
    <w:rsid w:val="00F032C5"/>
    <w:rsid w:val="00F037C1"/>
    <w:rsid w:val="00F0383B"/>
    <w:rsid w:val="00F03B04"/>
    <w:rsid w:val="00F03F87"/>
    <w:rsid w:val="00F04473"/>
    <w:rsid w:val="00F04490"/>
    <w:rsid w:val="00F044C4"/>
    <w:rsid w:val="00F04A21"/>
    <w:rsid w:val="00F04D49"/>
    <w:rsid w:val="00F04D93"/>
    <w:rsid w:val="00F05145"/>
    <w:rsid w:val="00F055C6"/>
    <w:rsid w:val="00F06912"/>
    <w:rsid w:val="00F06914"/>
    <w:rsid w:val="00F06B65"/>
    <w:rsid w:val="00F06D13"/>
    <w:rsid w:val="00F06F43"/>
    <w:rsid w:val="00F07076"/>
    <w:rsid w:val="00F0797D"/>
    <w:rsid w:val="00F07B31"/>
    <w:rsid w:val="00F07B96"/>
    <w:rsid w:val="00F07D0F"/>
    <w:rsid w:val="00F07E1A"/>
    <w:rsid w:val="00F105C6"/>
    <w:rsid w:val="00F10A44"/>
    <w:rsid w:val="00F11140"/>
    <w:rsid w:val="00F11C83"/>
    <w:rsid w:val="00F11DAC"/>
    <w:rsid w:val="00F127EF"/>
    <w:rsid w:val="00F12DED"/>
    <w:rsid w:val="00F13E0B"/>
    <w:rsid w:val="00F143E6"/>
    <w:rsid w:val="00F1456F"/>
    <w:rsid w:val="00F14786"/>
    <w:rsid w:val="00F1525C"/>
    <w:rsid w:val="00F1538C"/>
    <w:rsid w:val="00F1539C"/>
    <w:rsid w:val="00F1582F"/>
    <w:rsid w:val="00F16362"/>
    <w:rsid w:val="00F166A4"/>
    <w:rsid w:val="00F17466"/>
    <w:rsid w:val="00F17594"/>
    <w:rsid w:val="00F17671"/>
    <w:rsid w:val="00F17973"/>
    <w:rsid w:val="00F17EAA"/>
    <w:rsid w:val="00F17FE1"/>
    <w:rsid w:val="00F20052"/>
    <w:rsid w:val="00F2134C"/>
    <w:rsid w:val="00F2320A"/>
    <w:rsid w:val="00F234D1"/>
    <w:rsid w:val="00F236C7"/>
    <w:rsid w:val="00F248D3"/>
    <w:rsid w:val="00F2541D"/>
    <w:rsid w:val="00F2575D"/>
    <w:rsid w:val="00F25780"/>
    <w:rsid w:val="00F25BB7"/>
    <w:rsid w:val="00F25C85"/>
    <w:rsid w:val="00F266EB"/>
    <w:rsid w:val="00F26D63"/>
    <w:rsid w:val="00F2779A"/>
    <w:rsid w:val="00F277B1"/>
    <w:rsid w:val="00F27B36"/>
    <w:rsid w:val="00F30143"/>
    <w:rsid w:val="00F306A2"/>
    <w:rsid w:val="00F306CA"/>
    <w:rsid w:val="00F30CB1"/>
    <w:rsid w:val="00F30CD5"/>
    <w:rsid w:val="00F30F24"/>
    <w:rsid w:val="00F31204"/>
    <w:rsid w:val="00F31A81"/>
    <w:rsid w:val="00F31A8A"/>
    <w:rsid w:val="00F32381"/>
    <w:rsid w:val="00F3285A"/>
    <w:rsid w:val="00F32BE2"/>
    <w:rsid w:val="00F32E3D"/>
    <w:rsid w:val="00F33560"/>
    <w:rsid w:val="00F336C1"/>
    <w:rsid w:val="00F34312"/>
    <w:rsid w:val="00F34878"/>
    <w:rsid w:val="00F34956"/>
    <w:rsid w:val="00F34AB4"/>
    <w:rsid w:val="00F34DB7"/>
    <w:rsid w:val="00F352BC"/>
    <w:rsid w:val="00F35C78"/>
    <w:rsid w:val="00F35C9F"/>
    <w:rsid w:val="00F35CA9"/>
    <w:rsid w:val="00F36239"/>
    <w:rsid w:val="00F36C61"/>
    <w:rsid w:val="00F36E33"/>
    <w:rsid w:val="00F37352"/>
    <w:rsid w:val="00F376F6"/>
    <w:rsid w:val="00F37D84"/>
    <w:rsid w:val="00F40F89"/>
    <w:rsid w:val="00F410B8"/>
    <w:rsid w:val="00F41102"/>
    <w:rsid w:val="00F4138A"/>
    <w:rsid w:val="00F41663"/>
    <w:rsid w:val="00F416A3"/>
    <w:rsid w:val="00F421A5"/>
    <w:rsid w:val="00F4270F"/>
    <w:rsid w:val="00F42BFE"/>
    <w:rsid w:val="00F42CAE"/>
    <w:rsid w:val="00F42DE2"/>
    <w:rsid w:val="00F43111"/>
    <w:rsid w:val="00F43169"/>
    <w:rsid w:val="00F4339E"/>
    <w:rsid w:val="00F43812"/>
    <w:rsid w:val="00F43A11"/>
    <w:rsid w:val="00F43C32"/>
    <w:rsid w:val="00F443D1"/>
    <w:rsid w:val="00F4452B"/>
    <w:rsid w:val="00F44866"/>
    <w:rsid w:val="00F44C2F"/>
    <w:rsid w:val="00F44D65"/>
    <w:rsid w:val="00F44FA2"/>
    <w:rsid w:val="00F45861"/>
    <w:rsid w:val="00F45D85"/>
    <w:rsid w:val="00F462AE"/>
    <w:rsid w:val="00F46493"/>
    <w:rsid w:val="00F4675E"/>
    <w:rsid w:val="00F47BD3"/>
    <w:rsid w:val="00F50335"/>
    <w:rsid w:val="00F5079B"/>
    <w:rsid w:val="00F50ACC"/>
    <w:rsid w:val="00F50AD7"/>
    <w:rsid w:val="00F50AF3"/>
    <w:rsid w:val="00F51B94"/>
    <w:rsid w:val="00F51D0D"/>
    <w:rsid w:val="00F51ED6"/>
    <w:rsid w:val="00F5323F"/>
    <w:rsid w:val="00F5437E"/>
    <w:rsid w:val="00F54538"/>
    <w:rsid w:val="00F5492D"/>
    <w:rsid w:val="00F55EB7"/>
    <w:rsid w:val="00F55F8D"/>
    <w:rsid w:val="00F55FAF"/>
    <w:rsid w:val="00F56288"/>
    <w:rsid w:val="00F56660"/>
    <w:rsid w:val="00F56680"/>
    <w:rsid w:val="00F56FED"/>
    <w:rsid w:val="00F57328"/>
    <w:rsid w:val="00F573B0"/>
    <w:rsid w:val="00F57D34"/>
    <w:rsid w:val="00F602FD"/>
    <w:rsid w:val="00F60384"/>
    <w:rsid w:val="00F603AC"/>
    <w:rsid w:val="00F6043F"/>
    <w:rsid w:val="00F60483"/>
    <w:rsid w:val="00F60F54"/>
    <w:rsid w:val="00F60F7B"/>
    <w:rsid w:val="00F6104E"/>
    <w:rsid w:val="00F617DC"/>
    <w:rsid w:val="00F61D29"/>
    <w:rsid w:val="00F622F6"/>
    <w:rsid w:val="00F62A93"/>
    <w:rsid w:val="00F63043"/>
    <w:rsid w:val="00F63313"/>
    <w:rsid w:val="00F6353D"/>
    <w:rsid w:val="00F63B5E"/>
    <w:rsid w:val="00F63DDA"/>
    <w:rsid w:val="00F63F27"/>
    <w:rsid w:val="00F64458"/>
    <w:rsid w:val="00F651F1"/>
    <w:rsid w:val="00F658A2"/>
    <w:rsid w:val="00F6703C"/>
    <w:rsid w:val="00F6716C"/>
    <w:rsid w:val="00F67533"/>
    <w:rsid w:val="00F70726"/>
    <w:rsid w:val="00F7092D"/>
    <w:rsid w:val="00F7121F"/>
    <w:rsid w:val="00F7144B"/>
    <w:rsid w:val="00F715EE"/>
    <w:rsid w:val="00F717BC"/>
    <w:rsid w:val="00F718E1"/>
    <w:rsid w:val="00F71AA5"/>
    <w:rsid w:val="00F724FB"/>
    <w:rsid w:val="00F72709"/>
    <w:rsid w:val="00F72819"/>
    <w:rsid w:val="00F72B0D"/>
    <w:rsid w:val="00F72D93"/>
    <w:rsid w:val="00F73298"/>
    <w:rsid w:val="00F736CC"/>
    <w:rsid w:val="00F73E42"/>
    <w:rsid w:val="00F7425A"/>
    <w:rsid w:val="00F74843"/>
    <w:rsid w:val="00F7485E"/>
    <w:rsid w:val="00F74C07"/>
    <w:rsid w:val="00F75261"/>
    <w:rsid w:val="00F76654"/>
    <w:rsid w:val="00F7677B"/>
    <w:rsid w:val="00F77CCC"/>
    <w:rsid w:val="00F8002E"/>
    <w:rsid w:val="00F80710"/>
    <w:rsid w:val="00F808A4"/>
    <w:rsid w:val="00F808B0"/>
    <w:rsid w:val="00F80B5F"/>
    <w:rsid w:val="00F80C68"/>
    <w:rsid w:val="00F80DEC"/>
    <w:rsid w:val="00F81269"/>
    <w:rsid w:val="00F81524"/>
    <w:rsid w:val="00F81789"/>
    <w:rsid w:val="00F81E4C"/>
    <w:rsid w:val="00F827E5"/>
    <w:rsid w:val="00F82AEA"/>
    <w:rsid w:val="00F83048"/>
    <w:rsid w:val="00F830E6"/>
    <w:rsid w:val="00F84440"/>
    <w:rsid w:val="00F84BAF"/>
    <w:rsid w:val="00F85858"/>
    <w:rsid w:val="00F85D5F"/>
    <w:rsid w:val="00F868E6"/>
    <w:rsid w:val="00F90339"/>
    <w:rsid w:val="00F903FB"/>
    <w:rsid w:val="00F90C7B"/>
    <w:rsid w:val="00F91069"/>
    <w:rsid w:val="00F91735"/>
    <w:rsid w:val="00F91F7E"/>
    <w:rsid w:val="00F9211E"/>
    <w:rsid w:val="00F92474"/>
    <w:rsid w:val="00F92681"/>
    <w:rsid w:val="00F92704"/>
    <w:rsid w:val="00F92962"/>
    <w:rsid w:val="00F92A4F"/>
    <w:rsid w:val="00F9361F"/>
    <w:rsid w:val="00F941E6"/>
    <w:rsid w:val="00F94D3E"/>
    <w:rsid w:val="00F94DA4"/>
    <w:rsid w:val="00F9522B"/>
    <w:rsid w:val="00F95246"/>
    <w:rsid w:val="00F95959"/>
    <w:rsid w:val="00F9595D"/>
    <w:rsid w:val="00F95AB6"/>
    <w:rsid w:val="00F95CA5"/>
    <w:rsid w:val="00F95DAB"/>
    <w:rsid w:val="00F95F3C"/>
    <w:rsid w:val="00F9657E"/>
    <w:rsid w:val="00F96D7C"/>
    <w:rsid w:val="00F97DA5"/>
    <w:rsid w:val="00F97F17"/>
    <w:rsid w:val="00FA050A"/>
    <w:rsid w:val="00FA0821"/>
    <w:rsid w:val="00FA0873"/>
    <w:rsid w:val="00FA08E3"/>
    <w:rsid w:val="00FA0ABF"/>
    <w:rsid w:val="00FA0D82"/>
    <w:rsid w:val="00FA10F2"/>
    <w:rsid w:val="00FA1288"/>
    <w:rsid w:val="00FA130F"/>
    <w:rsid w:val="00FA1787"/>
    <w:rsid w:val="00FA1BA0"/>
    <w:rsid w:val="00FA2708"/>
    <w:rsid w:val="00FA2740"/>
    <w:rsid w:val="00FA27BC"/>
    <w:rsid w:val="00FA2B3F"/>
    <w:rsid w:val="00FA2D6A"/>
    <w:rsid w:val="00FA3851"/>
    <w:rsid w:val="00FA41AA"/>
    <w:rsid w:val="00FA424D"/>
    <w:rsid w:val="00FA4255"/>
    <w:rsid w:val="00FA4718"/>
    <w:rsid w:val="00FA4A14"/>
    <w:rsid w:val="00FA4C30"/>
    <w:rsid w:val="00FA4D3A"/>
    <w:rsid w:val="00FA4D57"/>
    <w:rsid w:val="00FA4ECA"/>
    <w:rsid w:val="00FA4F33"/>
    <w:rsid w:val="00FA5174"/>
    <w:rsid w:val="00FA5A58"/>
    <w:rsid w:val="00FA60D9"/>
    <w:rsid w:val="00FA66F2"/>
    <w:rsid w:val="00FA68EB"/>
    <w:rsid w:val="00FA6943"/>
    <w:rsid w:val="00FA6DC3"/>
    <w:rsid w:val="00FA72EF"/>
    <w:rsid w:val="00FA7843"/>
    <w:rsid w:val="00FA793D"/>
    <w:rsid w:val="00FA7E41"/>
    <w:rsid w:val="00FB064A"/>
    <w:rsid w:val="00FB0B52"/>
    <w:rsid w:val="00FB1602"/>
    <w:rsid w:val="00FB17EA"/>
    <w:rsid w:val="00FB1A2A"/>
    <w:rsid w:val="00FB1CDD"/>
    <w:rsid w:val="00FB219B"/>
    <w:rsid w:val="00FB247D"/>
    <w:rsid w:val="00FB29B6"/>
    <w:rsid w:val="00FB2AE8"/>
    <w:rsid w:val="00FB2DA9"/>
    <w:rsid w:val="00FB3099"/>
    <w:rsid w:val="00FB3221"/>
    <w:rsid w:val="00FB3299"/>
    <w:rsid w:val="00FB33A9"/>
    <w:rsid w:val="00FB3B7F"/>
    <w:rsid w:val="00FB3D6E"/>
    <w:rsid w:val="00FB3EAB"/>
    <w:rsid w:val="00FB3FF9"/>
    <w:rsid w:val="00FB460F"/>
    <w:rsid w:val="00FB4B87"/>
    <w:rsid w:val="00FB4CAD"/>
    <w:rsid w:val="00FB4D06"/>
    <w:rsid w:val="00FB4D61"/>
    <w:rsid w:val="00FB5050"/>
    <w:rsid w:val="00FB5136"/>
    <w:rsid w:val="00FB5218"/>
    <w:rsid w:val="00FB59B1"/>
    <w:rsid w:val="00FB6204"/>
    <w:rsid w:val="00FB6969"/>
    <w:rsid w:val="00FB6CD8"/>
    <w:rsid w:val="00FB6D68"/>
    <w:rsid w:val="00FB6E9E"/>
    <w:rsid w:val="00FB6F6A"/>
    <w:rsid w:val="00FB7322"/>
    <w:rsid w:val="00FB7856"/>
    <w:rsid w:val="00FB7CE1"/>
    <w:rsid w:val="00FC0243"/>
    <w:rsid w:val="00FC02A0"/>
    <w:rsid w:val="00FC02C2"/>
    <w:rsid w:val="00FC0763"/>
    <w:rsid w:val="00FC1668"/>
    <w:rsid w:val="00FC1B35"/>
    <w:rsid w:val="00FC2033"/>
    <w:rsid w:val="00FC373F"/>
    <w:rsid w:val="00FC3AEF"/>
    <w:rsid w:val="00FC4049"/>
    <w:rsid w:val="00FC47E3"/>
    <w:rsid w:val="00FC4D3C"/>
    <w:rsid w:val="00FC52E3"/>
    <w:rsid w:val="00FC5382"/>
    <w:rsid w:val="00FC5511"/>
    <w:rsid w:val="00FC5C89"/>
    <w:rsid w:val="00FC5CB3"/>
    <w:rsid w:val="00FC644B"/>
    <w:rsid w:val="00FC66A8"/>
    <w:rsid w:val="00FC735C"/>
    <w:rsid w:val="00FC746A"/>
    <w:rsid w:val="00FC785A"/>
    <w:rsid w:val="00FC7B19"/>
    <w:rsid w:val="00FC7D2C"/>
    <w:rsid w:val="00FC7DF2"/>
    <w:rsid w:val="00FC7E0F"/>
    <w:rsid w:val="00FD03B5"/>
    <w:rsid w:val="00FD0D62"/>
    <w:rsid w:val="00FD101D"/>
    <w:rsid w:val="00FD1795"/>
    <w:rsid w:val="00FD1E12"/>
    <w:rsid w:val="00FD1ED7"/>
    <w:rsid w:val="00FD23C9"/>
    <w:rsid w:val="00FD2702"/>
    <w:rsid w:val="00FD2881"/>
    <w:rsid w:val="00FD28E3"/>
    <w:rsid w:val="00FD29A1"/>
    <w:rsid w:val="00FD2DA6"/>
    <w:rsid w:val="00FD2E3B"/>
    <w:rsid w:val="00FD3170"/>
    <w:rsid w:val="00FD31A3"/>
    <w:rsid w:val="00FD3483"/>
    <w:rsid w:val="00FD3663"/>
    <w:rsid w:val="00FD3BBE"/>
    <w:rsid w:val="00FD5465"/>
    <w:rsid w:val="00FD605E"/>
    <w:rsid w:val="00FD65A5"/>
    <w:rsid w:val="00FD6C66"/>
    <w:rsid w:val="00FD73D6"/>
    <w:rsid w:val="00FD7672"/>
    <w:rsid w:val="00FD7680"/>
    <w:rsid w:val="00FD777A"/>
    <w:rsid w:val="00FE000B"/>
    <w:rsid w:val="00FE032D"/>
    <w:rsid w:val="00FE15A9"/>
    <w:rsid w:val="00FE1624"/>
    <w:rsid w:val="00FE1A01"/>
    <w:rsid w:val="00FE2194"/>
    <w:rsid w:val="00FE22DB"/>
    <w:rsid w:val="00FE2A9D"/>
    <w:rsid w:val="00FE2C4C"/>
    <w:rsid w:val="00FE2E4F"/>
    <w:rsid w:val="00FE3177"/>
    <w:rsid w:val="00FE3A5C"/>
    <w:rsid w:val="00FE3C1E"/>
    <w:rsid w:val="00FE441E"/>
    <w:rsid w:val="00FE450C"/>
    <w:rsid w:val="00FE4745"/>
    <w:rsid w:val="00FE478C"/>
    <w:rsid w:val="00FE4C5C"/>
    <w:rsid w:val="00FE65BE"/>
    <w:rsid w:val="00FE6DA0"/>
    <w:rsid w:val="00FE74D4"/>
    <w:rsid w:val="00FE7F77"/>
    <w:rsid w:val="00FF01E6"/>
    <w:rsid w:val="00FF0CF0"/>
    <w:rsid w:val="00FF1852"/>
    <w:rsid w:val="00FF1A23"/>
    <w:rsid w:val="00FF2517"/>
    <w:rsid w:val="00FF2D45"/>
    <w:rsid w:val="00FF2E9A"/>
    <w:rsid w:val="00FF30A6"/>
    <w:rsid w:val="00FF32A3"/>
    <w:rsid w:val="00FF3D86"/>
    <w:rsid w:val="00FF3E77"/>
    <w:rsid w:val="00FF48D5"/>
    <w:rsid w:val="00FF4971"/>
    <w:rsid w:val="00FF4B33"/>
    <w:rsid w:val="00FF4C6D"/>
    <w:rsid w:val="00FF4CC7"/>
    <w:rsid w:val="00FF4E8C"/>
    <w:rsid w:val="00FF5A7C"/>
    <w:rsid w:val="00FF5AF6"/>
    <w:rsid w:val="00FF5E56"/>
    <w:rsid w:val="00FF5E65"/>
    <w:rsid w:val="00FF61EF"/>
    <w:rsid w:val="00FF68FC"/>
    <w:rsid w:val="00FF6911"/>
    <w:rsid w:val="00FF6FF9"/>
    <w:rsid w:val="00FF71B4"/>
    <w:rsid w:val="00FF7529"/>
    <w:rsid w:val="00FF76FB"/>
    <w:rsid w:val="00FF7AE3"/>
    <w:rsid w:val="00FF7E01"/>
    <w:rsid w:val="02032D09"/>
    <w:rsid w:val="02C50F9A"/>
    <w:rsid w:val="04AE9C7C"/>
    <w:rsid w:val="056EEE9F"/>
    <w:rsid w:val="06025C8A"/>
    <w:rsid w:val="07C27399"/>
    <w:rsid w:val="084BBF67"/>
    <w:rsid w:val="084C8A5D"/>
    <w:rsid w:val="0A3E5906"/>
    <w:rsid w:val="0A6F0620"/>
    <w:rsid w:val="0B5152E1"/>
    <w:rsid w:val="0BD58503"/>
    <w:rsid w:val="0D918F76"/>
    <w:rsid w:val="0F5E6F96"/>
    <w:rsid w:val="0F959B81"/>
    <w:rsid w:val="0FDB715A"/>
    <w:rsid w:val="13BE178B"/>
    <w:rsid w:val="14F2EFEA"/>
    <w:rsid w:val="165CFC8D"/>
    <w:rsid w:val="17616D5B"/>
    <w:rsid w:val="197C554A"/>
    <w:rsid w:val="19C01D49"/>
    <w:rsid w:val="1A6ABB6C"/>
    <w:rsid w:val="1B483FC3"/>
    <w:rsid w:val="1CCAE7C7"/>
    <w:rsid w:val="1D24197D"/>
    <w:rsid w:val="1E645241"/>
    <w:rsid w:val="1E66B828"/>
    <w:rsid w:val="1E7F9A77"/>
    <w:rsid w:val="1EBFE9DE"/>
    <w:rsid w:val="1F051E36"/>
    <w:rsid w:val="1F228313"/>
    <w:rsid w:val="1F5E9E68"/>
    <w:rsid w:val="1FC41EBC"/>
    <w:rsid w:val="205BBA3F"/>
    <w:rsid w:val="211AF82E"/>
    <w:rsid w:val="213483D5"/>
    <w:rsid w:val="21980798"/>
    <w:rsid w:val="21F4C819"/>
    <w:rsid w:val="22E3600D"/>
    <w:rsid w:val="230E07D2"/>
    <w:rsid w:val="25752FB1"/>
    <w:rsid w:val="26CAFBC3"/>
    <w:rsid w:val="270B958A"/>
    <w:rsid w:val="27818E92"/>
    <w:rsid w:val="28BE3772"/>
    <w:rsid w:val="2999D73A"/>
    <w:rsid w:val="29AB53AA"/>
    <w:rsid w:val="2B3E8E25"/>
    <w:rsid w:val="2BB98D81"/>
    <w:rsid w:val="2C41F4A0"/>
    <w:rsid w:val="2CB8DEFF"/>
    <w:rsid w:val="2D9864BE"/>
    <w:rsid w:val="2DCB98C6"/>
    <w:rsid w:val="2F38E9D4"/>
    <w:rsid w:val="30DC552E"/>
    <w:rsid w:val="3165A0FC"/>
    <w:rsid w:val="31BD0C4A"/>
    <w:rsid w:val="320D9DCD"/>
    <w:rsid w:val="3519D510"/>
    <w:rsid w:val="35F33059"/>
    <w:rsid w:val="36948DFF"/>
    <w:rsid w:val="37082BF0"/>
    <w:rsid w:val="389BCBB2"/>
    <w:rsid w:val="3A0B15BF"/>
    <w:rsid w:val="3A207660"/>
    <w:rsid w:val="3B333268"/>
    <w:rsid w:val="3B78BFD4"/>
    <w:rsid w:val="3BB55CAF"/>
    <w:rsid w:val="3C975FB9"/>
    <w:rsid w:val="3D457D7E"/>
    <w:rsid w:val="3DBAD836"/>
    <w:rsid w:val="3E6AD32A"/>
    <w:rsid w:val="3F0B2D40"/>
    <w:rsid w:val="3FA320E6"/>
    <w:rsid w:val="3FED7A01"/>
    <w:rsid w:val="401E3756"/>
    <w:rsid w:val="403B1E59"/>
    <w:rsid w:val="424BA093"/>
    <w:rsid w:val="42AADFFC"/>
    <w:rsid w:val="435DC59E"/>
    <w:rsid w:val="4BFD41A2"/>
    <w:rsid w:val="4DDA177B"/>
    <w:rsid w:val="4DEFDB41"/>
    <w:rsid w:val="4DFF62D7"/>
    <w:rsid w:val="4F5B918A"/>
    <w:rsid w:val="50B98A64"/>
    <w:rsid w:val="52C34C64"/>
    <w:rsid w:val="52E6A37F"/>
    <w:rsid w:val="535AC10B"/>
    <w:rsid w:val="54738962"/>
    <w:rsid w:val="55817B69"/>
    <w:rsid w:val="5796BD87"/>
    <w:rsid w:val="57EA3FDC"/>
    <w:rsid w:val="57FDB21C"/>
    <w:rsid w:val="58467F56"/>
    <w:rsid w:val="585A6662"/>
    <w:rsid w:val="58DE2D22"/>
    <w:rsid w:val="58E94B73"/>
    <w:rsid w:val="5921F521"/>
    <w:rsid w:val="5A4C4F6D"/>
    <w:rsid w:val="5A9E4431"/>
    <w:rsid w:val="5B023B9A"/>
    <w:rsid w:val="5B0E67A2"/>
    <w:rsid w:val="5B522FA1"/>
    <w:rsid w:val="5C022A95"/>
    <w:rsid w:val="5C8C8C02"/>
    <w:rsid w:val="5C93AEBA"/>
    <w:rsid w:val="5EDEFCF5"/>
    <w:rsid w:val="5F0425DA"/>
    <w:rsid w:val="5F39CB57"/>
    <w:rsid w:val="60D59BB8"/>
    <w:rsid w:val="6246ABB7"/>
    <w:rsid w:val="62E4E94C"/>
    <w:rsid w:val="63CDFC6F"/>
    <w:rsid w:val="64488F81"/>
    <w:rsid w:val="651B73FB"/>
    <w:rsid w:val="6533F6B9"/>
    <w:rsid w:val="67639EDC"/>
    <w:rsid w:val="676B8C62"/>
    <w:rsid w:val="68877BE7"/>
    <w:rsid w:val="692A86D9"/>
    <w:rsid w:val="698DE60A"/>
    <w:rsid w:val="6B29B66B"/>
    <w:rsid w:val="6BD38946"/>
    <w:rsid w:val="6C6FB9AD"/>
    <w:rsid w:val="6CC586CC"/>
    <w:rsid w:val="6EF6BD6B"/>
    <w:rsid w:val="704A09BA"/>
    <w:rsid w:val="70F11EC3"/>
    <w:rsid w:val="73108A23"/>
    <w:rsid w:val="73B59033"/>
    <w:rsid w:val="75C5625B"/>
    <w:rsid w:val="77EFA8CD"/>
    <w:rsid w:val="78177BEB"/>
    <w:rsid w:val="786CAA91"/>
    <w:rsid w:val="79661592"/>
    <w:rsid w:val="79ED2F29"/>
    <w:rsid w:val="7A8B0684"/>
    <w:rsid w:val="7B5A0949"/>
    <w:rsid w:val="7B7E0EF6"/>
    <w:rsid w:val="7B98D936"/>
    <w:rsid w:val="7D9EDF80"/>
    <w:rsid w:val="7E107301"/>
    <w:rsid w:val="7F1570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EB0DA"/>
  <w15:chartTrackingRefBased/>
  <w15:docId w15:val="{1FA74023-4FF0-42F9-B94F-63D4487B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02"/>
  </w:style>
  <w:style w:type="paragraph" w:styleId="Heading1">
    <w:name w:val="heading 1"/>
    <w:basedOn w:val="Normal"/>
    <w:next w:val="Normal"/>
    <w:link w:val="Heading1Char"/>
    <w:uiPriority w:val="9"/>
    <w:qFormat/>
    <w:rsid w:val="005D0E77"/>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0B5B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76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368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 top,Lettre d'introduction,List Paragraph1,List Paragraph - bullets,Bullet List 1,Unordered List Level 1,Indented Paragraph,Recommendation,List Paragraph11,Bullet list,Heading 4 test,Dot pt,F5 List Paragraph,b1,B1"/>
    <w:basedOn w:val="Normal"/>
    <w:link w:val="ListParagraphChar"/>
    <w:uiPriority w:val="34"/>
    <w:qFormat/>
    <w:rsid w:val="00BF13B8"/>
    <w:pPr>
      <w:ind w:left="720"/>
      <w:contextualSpacing/>
    </w:pPr>
  </w:style>
  <w:style w:type="character" w:customStyle="1" w:styleId="ListParagraphChar">
    <w:name w:val="List Paragraph Char"/>
    <w:aliases w:val="bullets - top Char,Lettre d'introduction Char,List Paragraph1 Char,List Paragraph - bullets Char,Bullet List 1 Char,Unordered List Level 1 Char,Indented Paragraph Char,Recommendation Char,List Paragraph11 Char,Bullet list Char"/>
    <w:basedOn w:val="DefaultParagraphFont"/>
    <w:link w:val="ListParagraph"/>
    <w:uiPriority w:val="34"/>
    <w:qFormat/>
    <w:rsid w:val="00581B3A"/>
  </w:style>
  <w:style w:type="character" w:customStyle="1" w:styleId="Heading1Char">
    <w:name w:val="Heading 1 Char"/>
    <w:basedOn w:val="DefaultParagraphFont"/>
    <w:link w:val="Heading1"/>
    <w:uiPriority w:val="9"/>
    <w:rsid w:val="005D0E77"/>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0B5B7F"/>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FB3B7F"/>
    <w:rPr>
      <w:color w:val="0000FF"/>
      <w:u w:val="single"/>
    </w:rPr>
  </w:style>
  <w:style w:type="paragraph" w:styleId="EndnoteText">
    <w:name w:val="endnote text"/>
    <w:basedOn w:val="Normal"/>
    <w:link w:val="EndnoteTextChar"/>
    <w:uiPriority w:val="99"/>
    <w:unhideWhenUsed/>
    <w:rsid w:val="0075053D"/>
    <w:pPr>
      <w:spacing w:after="0" w:line="240" w:lineRule="auto"/>
    </w:pPr>
    <w:rPr>
      <w:rFonts w:eastAsia="Times New Roman" w:cstheme="minorHAnsi"/>
      <w:sz w:val="20"/>
      <w:szCs w:val="20"/>
    </w:rPr>
  </w:style>
  <w:style w:type="character" w:customStyle="1" w:styleId="EndnoteTextChar">
    <w:name w:val="Endnote Text Char"/>
    <w:basedOn w:val="DefaultParagraphFont"/>
    <w:link w:val="EndnoteText"/>
    <w:uiPriority w:val="99"/>
    <w:rsid w:val="0075053D"/>
    <w:rPr>
      <w:rFonts w:eastAsia="Times New Roman" w:cstheme="minorHAnsi"/>
      <w:sz w:val="20"/>
      <w:szCs w:val="20"/>
    </w:rPr>
  </w:style>
  <w:style w:type="character" w:styleId="EndnoteReference">
    <w:name w:val="endnote reference"/>
    <w:basedOn w:val="DefaultParagraphFont"/>
    <w:uiPriority w:val="99"/>
    <w:semiHidden/>
    <w:unhideWhenUsed/>
    <w:rsid w:val="0075053D"/>
    <w:rPr>
      <w:vertAlign w:val="superscript"/>
    </w:rPr>
  </w:style>
  <w:style w:type="paragraph" w:styleId="FootnoteText">
    <w:name w:val="footnote text"/>
    <w:basedOn w:val="Normal"/>
    <w:link w:val="FootnoteTextChar"/>
    <w:uiPriority w:val="99"/>
    <w:unhideWhenUsed/>
    <w:rsid w:val="00762B70"/>
    <w:pPr>
      <w:spacing w:after="0" w:line="240" w:lineRule="auto"/>
    </w:pPr>
    <w:rPr>
      <w:sz w:val="20"/>
      <w:szCs w:val="20"/>
    </w:rPr>
  </w:style>
  <w:style w:type="character" w:customStyle="1" w:styleId="FootnoteTextChar">
    <w:name w:val="Footnote Text Char"/>
    <w:basedOn w:val="DefaultParagraphFont"/>
    <w:link w:val="FootnoteText"/>
    <w:uiPriority w:val="99"/>
    <w:rsid w:val="00762B70"/>
    <w:rPr>
      <w:sz w:val="20"/>
      <w:szCs w:val="20"/>
    </w:rPr>
  </w:style>
  <w:style w:type="character" w:styleId="FootnoteReference">
    <w:name w:val="footnote reference"/>
    <w:basedOn w:val="DefaultParagraphFont"/>
    <w:uiPriority w:val="99"/>
    <w:unhideWhenUsed/>
    <w:rsid w:val="00762B70"/>
    <w:rPr>
      <w:vertAlign w:val="superscript"/>
    </w:rPr>
  </w:style>
  <w:style w:type="character" w:customStyle="1" w:styleId="byline-prefix">
    <w:name w:val="byline-prefix"/>
    <w:basedOn w:val="DefaultParagraphFont"/>
    <w:rsid w:val="002758A4"/>
  </w:style>
  <w:style w:type="character" w:customStyle="1" w:styleId="css-1baulvz">
    <w:name w:val="css-1baulvz"/>
    <w:basedOn w:val="DefaultParagraphFont"/>
    <w:rsid w:val="002758A4"/>
  </w:style>
  <w:style w:type="paragraph" w:styleId="Quote">
    <w:name w:val="Quote"/>
    <w:basedOn w:val="Normal"/>
    <w:next w:val="Normal"/>
    <w:link w:val="QuoteChar"/>
    <w:uiPriority w:val="29"/>
    <w:qFormat/>
    <w:rsid w:val="00BE1B2E"/>
    <w:pPr>
      <w:spacing w:after="0" w:line="240" w:lineRule="auto"/>
      <w:ind w:left="709" w:right="1138"/>
      <w:jc w:val="both"/>
    </w:pPr>
    <w:rPr>
      <w:rFonts w:eastAsia="Times New Roman" w:cstheme="minorHAnsi"/>
    </w:rPr>
  </w:style>
  <w:style w:type="character" w:customStyle="1" w:styleId="QuoteChar">
    <w:name w:val="Quote Char"/>
    <w:basedOn w:val="DefaultParagraphFont"/>
    <w:link w:val="Quote"/>
    <w:uiPriority w:val="29"/>
    <w:rsid w:val="00BE1B2E"/>
    <w:rPr>
      <w:rFonts w:eastAsia="Times New Roman" w:cstheme="minorHAnsi"/>
    </w:rPr>
  </w:style>
  <w:style w:type="paragraph" w:styleId="Header">
    <w:name w:val="header"/>
    <w:basedOn w:val="Normal"/>
    <w:link w:val="HeaderChar"/>
    <w:uiPriority w:val="99"/>
    <w:unhideWhenUsed/>
    <w:rsid w:val="0058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117"/>
  </w:style>
  <w:style w:type="paragraph" w:styleId="Footer">
    <w:name w:val="footer"/>
    <w:basedOn w:val="Normal"/>
    <w:link w:val="FooterChar"/>
    <w:uiPriority w:val="99"/>
    <w:unhideWhenUsed/>
    <w:rsid w:val="0058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117"/>
  </w:style>
  <w:style w:type="paragraph" w:styleId="TOCHeading">
    <w:name w:val="TOC Heading"/>
    <w:basedOn w:val="Heading1"/>
    <w:next w:val="Normal"/>
    <w:uiPriority w:val="39"/>
    <w:unhideWhenUsed/>
    <w:qFormat/>
    <w:rsid w:val="00E93772"/>
    <w:pPr>
      <w:outlineLvl w:val="9"/>
    </w:pPr>
    <w:rPr>
      <w:lang w:val="en-US"/>
    </w:rPr>
  </w:style>
  <w:style w:type="paragraph" w:styleId="TOC1">
    <w:name w:val="toc 1"/>
    <w:basedOn w:val="Normal"/>
    <w:next w:val="Normal"/>
    <w:autoRedefine/>
    <w:uiPriority w:val="39"/>
    <w:unhideWhenUsed/>
    <w:rsid w:val="000857F9"/>
    <w:pPr>
      <w:tabs>
        <w:tab w:val="left" w:pos="440"/>
        <w:tab w:val="right" w:leader="dot" w:pos="9350"/>
      </w:tabs>
      <w:spacing w:after="100"/>
    </w:pPr>
  </w:style>
  <w:style w:type="paragraph" w:styleId="TOC2">
    <w:name w:val="toc 2"/>
    <w:basedOn w:val="Normal"/>
    <w:next w:val="Normal"/>
    <w:autoRedefine/>
    <w:uiPriority w:val="39"/>
    <w:unhideWhenUsed/>
    <w:rsid w:val="00E93772"/>
    <w:pPr>
      <w:spacing w:after="100"/>
      <w:ind w:left="220"/>
    </w:pPr>
  </w:style>
  <w:style w:type="character" w:styleId="UnresolvedMention">
    <w:name w:val="Unresolved Mention"/>
    <w:basedOn w:val="DefaultParagraphFont"/>
    <w:uiPriority w:val="99"/>
    <w:semiHidden/>
    <w:unhideWhenUsed/>
    <w:rsid w:val="00B73A9D"/>
    <w:rPr>
      <w:color w:val="605E5C"/>
      <w:shd w:val="clear" w:color="auto" w:fill="E1DFDD"/>
    </w:rPr>
  </w:style>
  <w:style w:type="table" w:styleId="TableGrid">
    <w:name w:val="Table Grid"/>
    <w:basedOn w:val="TableNormal"/>
    <w:uiPriority w:val="39"/>
    <w:rsid w:val="00A1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66D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66D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6E766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44923"/>
    <w:pPr>
      <w:spacing w:after="100"/>
      <w:ind w:left="440"/>
    </w:pPr>
  </w:style>
  <w:style w:type="character" w:customStyle="1" w:styleId="Hyperlink0">
    <w:name w:val="Hyperlink.0"/>
    <w:basedOn w:val="Hyperlink"/>
    <w:rsid w:val="00A026B7"/>
    <w:rPr>
      <w:color w:val="0563C1"/>
      <w:u w:val="single" w:color="0563C1"/>
    </w:rPr>
  </w:style>
  <w:style w:type="character" w:customStyle="1" w:styleId="None">
    <w:name w:val="None"/>
    <w:rsid w:val="00A026B7"/>
  </w:style>
  <w:style w:type="character" w:customStyle="1" w:styleId="Heading4Char">
    <w:name w:val="Heading 4 Char"/>
    <w:basedOn w:val="DefaultParagraphFont"/>
    <w:link w:val="Heading4"/>
    <w:uiPriority w:val="9"/>
    <w:rsid w:val="00336822"/>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368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36822"/>
    <w:rPr>
      <w:b/>
      <w:bCs/>
    </w:rPr>
  </w:style>
  <w:style w:type="paragraph" w:customStyle="1" w:styleId="dcr-xry7m2">
    <w:name w:val="dcr-xry7m2"/>
    <w:basedOn w:val="Normal"/>
    <w:rsid w:val="003368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36822"/>
    <w:rPr>
      <w:i/>
      <w:iCs/>
    </w:rPr>
  </w:style>
  <w:style w:type="character" w:customStyle="1" w:styleId="wb-inv">
    <w:name w:val="wb-inv"/>
    <w:basedOn w:val="DefaultParagraphFont"/>
    <w:rsid w:val="00336822"/>
  </w:style>
  <w:style w:type="character" w:styleId="FollowedHyperlink">
    <w:name w:val="FollowedHyperlink"/>
    <w:basedOn w:val="DefaultParagraphFont"/>
    <w:uiPriority w:val="99"/>
    <w:semiHidden/>
    <w:unhideWhenUsed/>
    <w:rsid w:val="00A51A25"/>
    <w:rPr>
      <w:color w:val="954F72" w:themeColor="followedHyperlink"/>
      <w:u w:val="single"/>
    </w:rPr>
  </w:style>
  <w:style w:type="paragraph" w:styleId="PlainText">
    <w:name w:val="Plain Text"/>
    <w:basedOn w:val="Normal"/>
    <w:link w:val="PlainTextChar"/>
    <w:uiPriority w:val="99"/>
    <w:unhideWhenUsed/>
    <w:rsid w:val="00D101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1014A"/>
    <w:rPr>
      <w:rFonts w:ascii="Calibri" w:hAnsi="Calibri"/>
      <w:szCs w:val="21"/>
    </w:rPr>
  </w:style>
  <w:style w:type="character" w:customStyle="1" w:styleId="normaltextrun">
    <w:name w:val="normaltextrun"/>
    <w:basedOn w:val="DefaultParagraphFont"/>
    <w:rsid w:val="00701402"/>
  </w:style>
  <w:style w:type="character" w:customStyle="1" w:styleId="eop">
    <w:name w:val="eop"/>
    <w:basedOn w:val="DefaultParagraphFont"/>
    <w:rsid w:val="00701402"/>
  </w:style>
  <w:style w:type="paragraph" w:customStyle="1" w:styleId="paragraph">
    <w:name w:val="paragraph"/>
    <w:basedOn w:val="Normal"/>
    <w:rsid w:val="0070140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644E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43FBD"/>
    <w:rPr>
      <w:sz w:val="16"/>
      <w:szCs w:val="16"/>
    </w:rPr>
  </w:style>
  <w:style w:type="paragraph" w:styleId="CommentText">
    <w:name w:val="annotation text"/>
    <w:basedOn w:val="Normal"/>
    <w:link w:val="CommentTextChar"/>
    <w:uiPriority w:val="99"/>
    <w:unhideWhenUsed/>
    <w:rsid w:val="00643FBD"/>
    <w:pPr>
      <w:spacing w:line="240" w:lineRule="auto"/>
    </w:pPr>
    <w:rPr>
      <w:sz w:val="20"/>
      <w:szCs w:val="20"/>
    </w:rPr>
  </w:style>
  <w:style w:type="character" w:customStyle="1" w:styleId="CommentTextChar">
    <w:name w:val="Comment Text Char"/>
    <w:basedOn w:val="DefaultParagraphFont"/>
    <w:link w:val="CommentText"/>
    <w:uiPriority w:val="99"/>
    <w:rsid w:val="00643FBD"/>
    <w:rPr>
      <w:sz w:val="20"/>
      <w:szCs w:val="20"/>
    </w:rPr>
  </w:style>
  <w:style w:type="paragraph" w:styleId="CommentSubject">
    <w:name w:val="annotation subject"/>
    <w:basedOn w:val="CommentText"/>
    <w:next w:val="CommentText"/>
    <w:link w:val="CommentSubjectChar"/>
    <w:uiPriority w:val="99"/>
    <w:semiHidden/>
    <w:unhideWhenUsed/>
    <w:rsid w:val="00643FBD"/>
    <w:rPr>
      <w:b/>
      <w:bCs/>
    </w:rPr>
  </w:style>
  <w:style w:type="character" w:customStyle="1" w:styleId="CommentSubjectChar">
    <w:name w:val="Comment Subject Char"/>
    <w:basedOn w:val="CommentTextChar"/>
    <w:link w:val="CommentSubject"/>
    <w:uiPriority w:val="99"/>
    <w:semiHidden/>
    <w:rsid w:val="00643FBD"/>
    <w:rPr>
      <w:b/>
      <w:bCs/>
      <w:sz w:val="20"/>
      <w:szCs w:val="20"/>
    </w:rPr>
  </w:style>
  <w:style w:type="numbering" w:customStyle="1" w:styleId="CurrentList1">
    <w:name w:val="Current List1"/>
    <w:uiPriority w:val="99"/>
    <w:rsid w:val="00ED27B1"/>
    <w:pPr>
      <w:numPr>
        <w:numId w:val="20"/>
      </w:numPr>
    </w:pPr>
  </w:style>
  <w:style w:type="character" w:styleId="PageNumber">
    <w:name w:val="page number"/>
    <w:basedOn w:val="DefaultParagraphFont"/>
    <w:uiPriority w:val="99"/>
    <w:semiHidden/>
    <w:unhideWhenUsed/>
    <w:rsid w:val="005D0E77"/>
  </w:style>
  <w:style w:type="paragraph" w:styleId="BalloonText">
    <w:name w:val="Balloon Text"/>
    <w:basedOn w:val="Normal"/>
    <w:link w:val="BalloonTextChar"/>
    <w:uiPriority w:val="99"/>
    <w:semiHidden/>
    <w:unhideWhenUsed/>
    <w:rsid w:val="00771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0A"/>
    <w:rPr>
      <w:rFonts w:ascii="Segoe UI" w:hAnsi="Segoe UI" w:cs="Segoe UI"/>
      <w:sz w:val="18"/>
      <w:szCs w:val="18"/>
    </w:rPr>
  </w:style>
  <w:style w:type="paragraph" w:styleId="Revision">
    <w:name w:val="Revision"/>
    <w:hidden/>
    <w:uiPriority w:val="99"/>
    <w:semiHidden/>
    <w:rsid w:val="00AB0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013">
      <w:bodyDiv w:val="1"/>
      <w:marLeft w:val="0"/>
      <w:marRight w:val="0"/>
      <w:marTop w:val="0"/>
      <w:marBottom w:val="0"/>
      <w:divBdr>
        <w:top w:val="none" w:sz="0" w:space="0" w:color="auto"/>
        <w:left w:val="none" w:sz="0" w:space="0" w:color="auto"/>
        <w:bottom w:val="none" w:sz="0" w:space="0" w:color="auto"/>
        <w:right w:val="none" w:sz="0" w:space="0" w:color="auto"/>
      </w:divBdr>
    </w:div>
    <w:div w:id="50160862">
      <w:bodyDiv w:val="1"/>
      <w:marLeft w:val="0"/>
      <w:marRight w:val="0"/>
      <w:marTop w:val="0"/>
      <w:marBottom w:val="0"/>
      <w:divBdr>
        <w:top w:val="none" w:sz="0" w:space="0" w:color="auto"/>
        <w:left w:val="none" w:sz="0" w:space="0" w:color="auto"/>
        <w:bottom w:val="none" w:sz="0" w:space="0" w:color="auto"/>
        <w:right w:val="none" w:sz="0" w:space="0" w:color="auto"/>
      </w:divBdr>
    </w:div>
    <w:div w:id="65609993">
      <w:bodyDiv w:val="1"/>
      <w:marLeft w:val="0"/>
      <w:marRight w:val="0"/>
      <w:marTop w:val="0"/>
      <w:marBottom w:val="0"/>
      <w:divBdr>
        <w:top w:val="none" w:sz="0" w:space="0" w:color="auto"/>
        <w:left w:val="none" w:sz="0" w:space="0" w:color="auto"/>
        <w:bottom w:val="none" w:sz="0" w:space="0" w:color="auto"/>
        <w:right w:val="none" w:sz="0" w:space="0" w:color="auto"/>
      </w:divBdr>
    </w:div>
    <w:div w:id="135101706">
      <w:bodyDiv w:val="1"/>
      <w:marLeft w:val="0"/>
      <w:marRight w:val="0"/>
      <w:marTop w:val="0"/>
      <w:marBottom w:val="0"/>
      <w:divBdr>
        <w:top w:val="none" w:sz="0" w:space="0" w:color="auto"/>
        <w:left w:val="none" w:sz="0" w:space="0" w:color="auto"/>
        <w:bottom w:val="none" w:sz="0" w:space="0" w:color="auto"/>
        <w:right w:val="none" w:sz="0" w:space="0" w:color="auto"/>
      </w:divBdr>
    </w:div>
    <w:div w:id="238949127">
      <w:bodyDiv w:val="1"/>
      <w:marLeft w:val="0"/>
      <w:marRight w:val="0"/>
      <w:marTop w:val="0"/>
      <w:marBottom w:val="0"/>
      <w:divBdr>
        <w:top w:val="none" w:sz="0" w:space="0" w:color="auto"/>
        <w:left w:val="none" w:sz="0" w:space="0" w:color="auto"/>
        <w:bottom w:val="none" w:sz="0" w:space="0" w:color="auto"/>
        <w:right w:val="none" w:sz="0" w:space="0" w:color="auto"/>
      </w:divBdr>
    </w:div>
    <w:div w:id="244996993">
      <w:bodyDiv w:val="1"/>
      <w:marLeft w:val="0"/>
      <w:marRight w:val="0"/>
      <w:marTop w:val="0"/>
      <w:marBottom w:val="0"/>
      <w:divBdr>
        <w:top w:val="none" w:sz="0" w:space="0" w:color="auto"/>
        <w:left w:val="none" w:sz="0" w:space="0" w:color="auto"/>
        <w:bottom w:val="none" w:sz="0" w:space="0" w:color="auto"/>
        <w:right w:val="none" w:sz="0" w:space="0" w:color="auto"/>
      </w:divBdr>
    </w:div>
    <w:div w:id="273095864">
      <w:bodyDiv w:val="1"/>
      <w:marLeft w:val="0"/>
      <w:marRight w:val="0"/>
      <w:marTop w:val="0"/>
      <w:marBottom w:val="0"/>
      <w:divBdr>
        <w:top w:val="none" w:sz="0" w:space="0" w:color="auto"/>
        <w:left w:val="none" w:sz="0" w:space="0" w:color="auto"/>
        <w:bottom w:val="none" w:sz="0" w:space="0" w:color="auto"/>
        <w:right w:val="none" w:sz="0" w:space="0" w:color="auto"/>
      </w:divBdr>
    </w:div>
    <w:div w:id="306328532">
      <w:bodyDiv w:val="1"/>
      <w:marLeft w:val="0"/>
      <w:marRight w:val="0"/>
      <w:marTop w:val="0"/>
      <w:marBottom w:val="0"/>
      <w:divBdr>
        <w:top w:val="none" w:sz="0" w:space="0" w:color="auto"/>
        <w:left w:val="none" w:sz="0" w:space="0" w:color="auto"/>
        <w:bottom w:val="none" w:sz="0" w:space="0" w:color="auto"/>
        <w:right w:val="none" w:sz="0" w:space="0" w:color="auto"/>
      </w:divBdr>
    </w:div>
    <w:div w:id="380982416">
      <w:bodyDiv w:val="1"/>
      <w:marLeft w:val="0"/>
      <w:marRight w:val="0"/>
      <w:marTop w:val="0"/>
      <w:marBottom w:val="0"/>
      <w:divBdr>
        <w:top w:val="none" w:sz="0" w:space="0" w:color="auto"/>
        <w:left w:val="none" w:sz="0" w:space="0" w:color="auto"/>
        <w:bottom w:val="none" w:sz="0" w:space="0" w:color="auto"/>
        <w:right w:val="none" w:sz="0" w:space="0" w:color="auto"/>
      </w:divBdr>
    </w:div>
    <w:div w:id="396125330">
      <w:bodyDiv w:val="1"/>
      <w:marLeft w:val="0"/>
      <w:marRight w:val="0"/>
      <w:marTop w:val="0"/>
      <w:marBottom w:val="0"/>
      <w:divBdr>
        <w:top w:val="none" w:sz="0" w:space="0" w:color="auto"/>
        <w:left w:val="none" w:sz="0" w:space="0" w:color="auto"/>
        <w:bottom w:val="none" w:sz="0" w:space="0" w:color="auto"/>
        <w:right w:val="none" w:sz="0" w:space="0" w:color="auto"/>
      </w:divBdr>
    </w:div>
    <w:div w:id="399443694">
      <w:bodyDiv w:val="1"/>
      <w:marLeft w:val="0"/>
      <w:marRight w:val="0"/>
      <w:marTop w:val="0"/>
      <w:marBottom w:val="0"/>
      <w:divBdr>
        <w:top w:val="none" w:sz="0" w:space="0" w:color="auto"/>
        <w:left w:val="none" w:sz="0" w:space="0" w:color="auto"/>
        <w:bottom w:val="none" w:sz="0" w:space="0" w:color="auto"/>
        <w:right w:val="none" w:sz="0" w:space="0" w:color="auto"/>
      </w:divBdr>
      <w:divsChild>
        <w:div w:id="1394543017">
          <w:marLeft w:val="0"/>
          <w:marRight w:val="0"/>
          <w:marTop w:val="0"/>
          <w:marBottom w:val="0"/>
          <w:divBdr>
            <w:top w:val="none" w:sz="0" w:space="0" w:color="auto"/>
            <w:left w:val="none" w:sz="0" w:space="0" w:color="auto"/>
            <w:bottom w:val="none" w:sz="0" w:space="0" w:color="auto"/>
            <w:right w:val="none" w:sz="0" w:space="0" w:color="auto"/>
          </w:divBdr>
          <w:divsChild>
            <w:div w:id="20995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6896">
      <w:bodyDiv w:val="1"/>
      <w:marLeft w:val="0"/>
      <w:marRight w:val="0"/>
      <w:marTop w:val="0"/>
      <w:marBottom w:val="0"/>
      <w:divBdr>
        <w:top w:val="none" w:sz="0" w:space="0" w:color="auto"/>
        <w:left w:val="none" w:sz="0" w:space="0" w:color="auto"/>
        <w:bottom w:val="none" w:sz="0" w:space="0" w:color="auto"/>
        <w:right w:val="none" w:sz="0" w:space="0" w:color="auto"/>
      </w:divBdr>
    </w:div>
    <w:div w:id="487719685">
      <w:bodyDiv w:val="1"/>
      <w:marLeft w:val="0"/>
      <w:marRight w:val="0"/>
      <w:marTop w:val="0"/>
      <w:marBottom w:val="0"/>
      <w:divBdr>
        <w:top w:val="none" w:sz="0" w:space="0" w:color="auto"/>
        <w:left w:val="none" w:sz="0" w:space="0" w:color="auto"/>
        <w:bottom w:val="none" w:sz="0" w:space="0" w:color="auto"/>
        <w:right w:val="none" w:sz="0" w:space="0" w:color="auto"/>
      </w:divBdr>
    </w:div>
    <w:div w:id="564607073">
      <w:bodyDiv w:val="1"/>
      <w:marLeft w:val="0"/>
      <w:marRight w:val="0"/>
      <w:marTop w:val="0"/>
      <w:marBottom w:val="0"/>
      <w:divBdr>
        <w:top w:val="none" w:sz="0" w:space="0" w:color="auto"/>
        <w:left w:val="none" w:sz="0" w:space="0" w:color="auto"/>
        <w:bottom w:val="none" w:sz="0" w:space="0" w:color="auto"/>
        <w:right w:val="none" w:sz="0" w:space="0" w:color="auto"/>
      </w:divBdr>
    </w:div>
    <w:div w:id="581916472">
      <w:bodyDiv w:val="1"/>
      <w:marLeft w:val="0"/>
      <w:marRight w:val="0"/>
      <w:marTop w:val="0"/>
      <w:marBottom w:val="0"/>
      <w:divBdr>
        <w:top w:val="none" w:sz="0" w:space="0" w:color="auto"/>
        <w:left w:val="none" w:sz="0" w:space="0" w:color="auto"/>
        <w:bottom w:val="none" w:sz="0" w:space="0" w:color="auto"/>
        <w:right w:val="none" w:sz="0" w:space="0" w:color="auto"/>
      </w:divBdr>
    </w:div>
    <w:div w:id="594746685">
      <w:bodyDiv w:val="1"/>
      <w:marLeft w:val="0"/>
      <w:marRight w:val="0"/>
      <w:marTop w:val="0"/>
      <w:marBottom w:val="0"/>
      <w:divBdr>
        <w:top w:val="none" w:sz="0" w:space="0" w:color="auto"/>
        <w:left w:val="none" w:sz="0" w:space="0" w:color="auto"/>
        <w:bottom w:val="none" w:sz="0" w:space="0" w:color="auto"/>
        <w:right w:val="none" w:sz="0" w:space="0" w:color="auto"/>
      </w:divBdr>
    </w:div>
    <w:div w:id="624583999">
      <w:bodyDiv w:val="1"/>
      <w:marLeft w:val="0"/>
      <w:marRight w:val="0"/>
      <w:marTop w:val="0"/>
      <w:marBottom w:val="0"/>
      <w:divBdr>
        <w:top w:val="none" w:sz="0" w:space="0" w:color="auto"/>
        <w:left w:val="none" w:sz="0" w:space="0" w:color="auto"/>
        <w:bottom w:val="none" w:sz="0" w:space="0" w:color="auto"/>
        <w:right w:val="none" w:sz="0" w:space="0" w:color="auto"/>
      </w:divBdr>
    </w:div>
    <w:div w:id="674771052">
      <w:bodyDiv w:val="1"/>
      <w:marLeft w:val="0"/>
      <w:marRight w:val="0"/>
      <w:marTop w:val="0"/>
      <w:marBottom w:val="0"/>
      <w:divBdr>
        <w:top w:val="none" w:sz="0" w:space="0" w:color="auto"/>
        <w:left w:val="none" w:sz="0" w:space="0" w:color="auto"/>
        <w:bottom w:val="none" w:sz="0" w:space="0" w:color="auto"/>
        <w:right w:val="none" w:sz="0" w:space="0" w:color="auto"/>
      </w:divBdr>
      <w:divsChild>
        <w:div w:id="69357011">
          <w:marLeft w:val="0"/>
          <w:marRight w:val="0"/>
          <w:marTop w:val="0"/>
          <w:marBottom w:val="0"/>
          <w:divBdr>
            <w:top w:val="none" w:sz="0" w:space="0" w:color="auto"/>
            <w:left w:val="none" w:sz="0" w:space="0" w:color="auto"/>
            <w:bottom w:val="none" w:sz="0" w:space="0" w:color="auto"/>
            <w:right w:val="none" w:sz="0" w:space="0" w:color="auto"/>
          </w:divBdr>
        </w:div>
      </w:divsChild>
    </w:div>
    <w:div w:id="688682256">
      <w:bodyDiv w:val="1"/>
      <w:marLeft w:val="0"/>
      <w:marRight w:val="0"/>
      <w:marTop w:val="0"/>
      <w:marBottom w:val="0"/>
      <w:divBdr>
        <w:top w:val="none" w:sz="0" w:space="0" w:color="auto"/>
        <w:left w:val="none" w:sz="0" w:space="0" w:color="auto"/>
        <w:bottom w:val="none" w:sz="0" w:space="0" w:color="auto"/>
        <w:right w:val="none" w:sz="0" w:space="0" w:color="auto"/>
      </w:divBdr>
    </w:div>
    <w:div w:id="709115624">
      <w:bodyDiv w:val="1"/>
      <w:marLeft w:val="0"/>
      <w:marRight w:val="0"/>
      <w:marTop w:val="0"/>
      <w:marBottom w:val="0"/>
      <w:divBdr>
        <w:top w:val="none" w:sz="0" w:space="0" w:color="auto"/>
        <w:left w:val="none" w:sz="0" w:space="0" w:color="auto"/>
        <w:bottom w:val="none" w:sz="0" w:space="0" w:color="auto"/>
        <w:right w:val="none" w:sz="0" w:space="0" w:color="auto"/>
      </w:divBdr>
      <w:divsChild>
        <w:div w:id="1908682651">
          <w:marLeft w:val="720"/>
          <w:marRight w:val="0"/>
          <w:marTop w:val="0"/>
          <w:marBottom w:val="0"/>
          <w:divBdr>
            <w:top w:val="none" w:sz="0" w:space="0" w:color="auto"/>
            <w:left w:val="none" w:sz="0" w:space="0" w:color="auto"/>
            <w:bottom w:val="none" w:sz="0" w:space="0" w:color="auto"/>
            <w:right w:val="none" w:sz="0" w:space="0" w:color="auto"/>
          </w:divBdr>
        </w:div>
        <w:div w:id="214389500">
          <w:marLeft w:val="720"/>
          <w:marRight w:val="0"/>
          <w:marTop w:val="0"/>
          <w:marBottom w:val="0"/>
          <w:divBdr>
            <w:top w:val="none" w:sz="0" w:space="0" w:color="auto"/>
            <w:left w:val="none" w:sz="0" w:space="0" w:color="auto"/>
            <w:bottom w:val="none" w:sz="0" w:space="0" w:color="auto"/>
            <w:right w:val="none" w:sz="0" w:space="0" w:color="auto"/>
          </w:divBdr>
        </w:div>
      </w:divsChild>
    </w:div>
    <w:div w:id="710497938">
      <w:bodyDiv w:val="1"/>
      <w:marLeft w:val="0"/>
      <w:marRight w:val="0"/>
      <w:marTop w:val="0"/>
      <w:marBottom w:val="0"/>
      <w:divBdr>
        <w:top w:val="none" w:sz="0" w:space="0" w:color="auto"/>
        <w:left w:val="none" w:sz="0" w:space="0" w:color="auto"/>
        <w:bottom w:val="none" w:sz="0" w:space="0" w:color="auto"/>
        <w:right w:val="none" w:sz="0" w:space="0" w:color="auto"/>
      </w:divBdr>
    </w:div>
    <w:div w:id="721294307">
      <w:bodyDiv w:val="1"/>
      <w:marLeft w:val="0"/>
      <w:marRight w:val="0"/>
      <w:marTop w:val="0"/>
      <w:marBottom w:val="0"/>
      <w:divBdr>
        <w:top w:val="none" w:sz="0" w:space="0" w:color="auto"/>
        <w:left w:val="none" w:sz="0" w:space="0" w:color="auto"/>
        <w:bottom w:val="none" w:sz="0" w:space="0" w:color="auto"/>
        <w:right w:val="none" w:sz="0" w:space="0" w:color="auto"/>
      </w:divBdr>
    </w:div>
    <w:div w:id="735932818">
      <w:bodyDiv w:val="1"/>
      <w:marLeft w:val="0"/>
      <w:marRight w:val="0"/>
      <w:marTop w:val="0"/>
      <w:marBottom w:val="0"/>
      <w:divBdr>
        <w:top w:val="none" w:sz="0" w:space="0" w:color="auto"/>
        <w:left w:val="none" w:sz="0" w:space="0" w:color="auto"/>
        <w:bottom w:val="none" w:sz="0" w:space="0" w:color="auto"/>
        <w:right w:val="none" w:sz="0" w:space="0" w:color="auto"/>
      </w:divBdr>
    </w:div>
    <w:div w:id="802508049">
      <w:bodyDiv w:val="1"/>
      <w:marLeft w:val="0"/>
      <w:marRight w:val="0"/>
      <w:marTop w:val="0"/>
      <w:marBottom w:val="0"/>
      <w:divBdr>
        <w:top w:val="none" w:sz="0" w:space="0" w:color="auto"/>
        <w:left w:val="none" w:sz="0" w:space="0" w:color="auto"/>
        <w:bottom w:val="none" w:sz="0" w:space="0" w:color="auto"/>
        <w:right w:val="none" w:sz="0" w:space="0" w:color="auto"/>
      </w:divBdr>
    </w:div>
    <w:div w:id="838957891">
      <w:bodyDiv w:val="1"/>
      <w:marLeft w:val="0"/>
      <w:marRight w:val="0"/>
      <w:marTop w:val="0"/>
      <w:marBottom w:val="0"/>
      <w:divBdr>
        <w:top w:val="none" w:sz="0" w:space="0" w:color="auto"/>
        <w:left w:val="none" w:sz="0" w:space="0" w:color="auto"/>
        <w:bottom w:val="none" w:sz="0" w:space="0" w:color="auto"/>
        <w:right w:val="none" w:sz="0" w:space="0" w:color="auto"/>
      </w:divBdr>
    </w:div>
    <w:div w:id="858736906">
      <w:bodyDiv w:val="1"/>
      <w:marLeft w:val="0"/>
      <w:marRight w:val="0"/>
      <w:marTop w:val="0"/>
      <w:marBottom w:val="0"/>
      <w:divBdr>
        <w:top w:val="none" w:sz="0" w:space="0" w:color="auto"/>
        <w:left w:val="none" w:sz="0" w:space="0" w:color="auto"/>
        <w:bottom w:val="none" w:sz="0" w:space="0" w:color="auto"/>
        <w:right w:val="none" w:sz="0" w:space="0" w:color="auto"/>
      </w:divBdr>
    </w:div>
    <w:div w:id="918290552">
      <w:bodyDiv w:val="1"/>
      <w:marLeft w:val="0"/>
      <w:marRight w:val="0"/>
      <w:marTop w:val="0"/>
      <w:marBottom w:val="0"/>
      <w:divBdr>
        <w:top w:val="none" w:sz="0" w:space="0" w:color="auto"/>
        <w:left w:val="none" w:sz="0" w:space="0" w:color="auto"/>
        <w:bottom w:val="none" w:sz="0" w:space="0" w:color="auto"/>
        <w:right w:val="none" w:sz="0" w:space="0" w:color="auto"/>
      </w:divBdr>
    </w:div>
    <w:div w:id="981274804">
      <w:bodyDiv w:val="1"/>
      <w:marLeft w:val="0"/>
      <w:marRight w:val="0"/>
      <w:marTop w:val="0"/>
      <w:marBottom w:val="0"/>
      <w:divBdr>
        <w:top w:val="none" w:sz="0" w:space="0" w:color="auto"/>
        <w:left w:val="none" w:sz="0" w:space="0" w:color="auto"/>
        <w:bottom w:val="none" w:sz="0" w:space="0" w:color="auto"/>
        <w:right w:val="none" w:sz="0" w:space="0" w:color="auto"/>
      </w:divBdr>
    </w:div>
    <w:div w:id="1012147670">
      <w:bodyDiv w:val="1"/>
      <w:marLeft w:val="0"/>
      <w:marRight w:val="0"/>
      <w:marTop w:val="0"/>
      <w:marBottom w:val="0"/>
      <w:divBdr>
        <w:top w:val="none" w:sz="0" w:space="0" w:color="auto"/>
        <w:left w:val="none" w:sz="0" w:space="0" w:color="auto"/>
        <w:bottom w:val="none" w:sz="0" w:space="0" w:color="auto"/>
        <w:right w:val="none" w:sz="0" w:space="0" w:color="auto"/>
      </w:divBdr>
    </w:div>
    <w:div w:id="1028145376">
      <w:bodyDiv w:val="1"/>
      <w:marLeft w:val="0"/>
      <w:marRight w:val="0"/>
      <w:marTop w:val="0"/>
      <w:marBottom w:val="0"/>
      <w:divBdr>
        <w:top w:val="none" w:sz="0" w:space="0" w:color="auto"/>
        <w:left w:val="none" w:sz="0" w:space="0" w:color="auto"/>
        <w:bottom w:val="none" w:sz="0" w:space="0" w:color="auto"/>
        <w:right w:val="none" w:sz="0" w:space="0" w:color="auto"/>
      </w:divBdr>
    </w:div>
    <w:div w:id="1080130973">
      <w:bodyDiv w:val="1"/>
      <w:marLeft w:val="0"/>
      <w:marRight w:val="0"/>
      <w:marTop w:val="0"/>
      <w:marBottom w:val="0"/>
      <w:divBdr>
        <w:top w:val="none" w:sz="0" w:space="0" w:color="auto"/>
        <w:left w:val="none" w:sz="0" w:space="0" w:color="auto"/>
        <w:bottom w:val="none" w:sz="0" w:space="0" w:color="auto"/>
        <w:right w:val="none" w:sz="0" w:space="0" w:color="auto"/>
      </w:divBdr>
    </w:div>
    <w:div w:id="1125544688">
      <w:bodyDiv w:val="1"/>
      <w:marLeft w:val="0"/>
      <w:marRight w:val="0"/>
      <w:marTop w:val="0"/>
      <w:marBottom w:val="0"/>
      <w:divBdr>
        <w:top w:val="none" w:sz="0" w:space="0" w:color="auto"/>
        <w:left w:val="none" w:sz="0" w:space="0" w:color="auto"/>
        <w:bottom w:val="none" w:sz="0" w:space="0" w:color="auto"/>
        <w:right w:val="none" w:sz="0" w:space="0" w:color="auto"/>
      </w:divBdr>
    </w:div>
    <w:div w:id="1171412284">
      <w:bodyDiv w:val="1"/>
      <w:marLeft w:val="0"/>
      <w:marRight w:val="0"/>
      <w:marTop w:val="0"/>
      <w:marBottom w:val="0"/>
      <w:divBdr>
        <w:top w:val="none" w:sz="0" w:space="0" w:color="auto"/>
        <w:left w:val="none" w:sz="0" w:space="0" w:color="auto"/>
        <w:bottom w:val="none" w:sz="0" w:space="0" w:color="auto"/>
        <w:right w:val="none" w:sz="0" w:space="0" w:color="auto"/>
      </w:divBdr>
    </w:div>
    <w:div w:id="1224368863">
      <w:bodyDiv w:val="1"/>
      <w:marLeft w:val="0"/>
      <w:marRight w:val="0"/>
      <w:marTop w:val="0"/>
      <w:marBottom w:val="0"/>
      <w:divBdr>
        <w:top w:val="none" w:sz="0" w:space="0" w:color="auto"/>
        <w:left w:val="none" w:sz="0" w:space="0" w:color="auto"/>
        <w:bottom w:val="none" w:sz="0" w:space="0" w:color="auto"/>
        <w:right w:val="none" w:sz="0" w:space="0" w:color="auto"/>
      </w:divBdr>
    </w:div>
    <w:div w:id="1239898484">
      <w:bodyDiv w:val="1"/>
      <w:marLeft w:val="0"/>
      <w:marRight w:val="0"/>
      <w:marTop w:val="0"/>
      <w:marBottom w:val="0"/>
      <w:divBdr>
        <w:top w:val="none" w:sz="0" w:space="0" w:color="auto"/>
        <w:left w:val="none" w:sz="0" w:space="0" w:color="auto"/>
        <w:bottom w:val="none" w:sz="0" w:space="0" w:color="auto"/>
        <w:right w:val="none" w:sz="0" w:space="0" w:color="auto"/>
      </w:divBdr>
    </w:div>
    <w:div w:id="1280068893">
      <w:bodyDiv w:val="1"/>
      <w:marLeft w:val="0"/>
      <w:marRight w:val="0"/>
      <w:marTop w:val="0"/>
      <w:marBottom w:val="0"/>
      <w:divBdr>
        <w:top w:val="none" w:sz="0" w:space="0" w:color="auto"/>
        <w:left w:val="none" w:sz="0" w:space="0" w:color="auto"/>
        <w:bottom w:val="none" w:sz="0" w:space="0" w:color="auto"/>
        <w:right w:val="none" w:sz="0" w:space="0" w:color="auto"/>
      </w:divBdr>
    </w:div>
    <w:div w:id="1325358214">
      <w:bodyDiv w:val="1"/>
      <w:marLeft w:val="0"/>
      <w:marRight w:val="0"/>
      <w:marTop w:val="0"/>
      <w:marBottom w:val="0"/>
      <w:divBdr>
        <w:top w:val="none" w:sz="0" w:space="0" w:color="auto"/>
        <w:left w:val="none" w:sz="0" w:space="0" w:color="auto"/>
        <w:bottom w:val="none" w:sz="0" w:space="0" w:color="auto"/>
        <w:right w:val="none" w:sz="0" w:space="0" w:color="auto"/>
      </w:divBdr>
    </w:div>
    <w:div w:id="1372681028">
      <w:bodyDiv w:val="1"/>
      <w:marLeft w:val="0"/>
      <w:marRight w:val="0"/>
      <w:marTop w:val="0"/>
      <w:marBottom w:val="0"/>
      <w:divBdr>
        <w:top w:val="none" w:sz="0" w:space="0" w:color="auto"/>
        <w:left w:val="none" w:sz="0" w:space="0" w:color="auto"/>
        <w:bottom w:val="none" w:sz="0" w:space="0" w:color="auto"/>
        <w:right w:val="none" w:sz="0" w:space="0" w:color="auto"/>
      </w:divBdr>
    </w:div>
    <w:div w:id="1400209013">
      <w:bodyDiv w:val="1"/>
      <w:marLeft w:val="0"/>
      <w:marRight w:val="0"/>
      <w:marTop w:val="0"/>
      <w:marBottom w:val="0"/>
      <w:divBdr>
        <w:top w:val="none" w:sz="0" w:space="0" w:color="auto"/>
        <w:left w:val="none" w:sz="0" w:space="0" w:color="auto"/>
        <w:bottom w:val="none" w:sz="0" w:space="0" w:color="auto"/>
        <w:right w:val="none" w:sz="0" w:space="0" w:color="auto"/>
      </w:divBdr>
    </w:div>
    <w:div w:id="1405181852">
      <w:bodyDiv w:val="1"/>
      <w:marLeft w:val="0"/>
      <w:marRight w:val="0"/>
      <w:marTop w:val="0"/>
      <w:marBottom w:val="0"/>
      <w:divBdr>
        <w:top w:val="none" w:sz="0" w:space="0" w:color="auto"/>
        <w:left w:val="none" w:sz="0" w:space="0" w:color="auto"/>
        <w:bottom w:val="none" w:sz="0" w:space="0" w:color="auto"/>
        <w:right w:val="none" w:sz="0" w:space="0" w:color="auto"/>
      </w:divBdr>
    </w:div>
    <w:div w:id="1427850170">
      <w:bodyDiv w:val="1"/>
      <w:marLeft w:val="0"/>
      <w:marRight w:val="0"/>
      <w:marTop w:val="0"/>
      <w:marBottom w:val="0"/>
      <w:divBdr>
        <w:top w:val="none" w:sz="0" w:space="0" w:color="auto"/>
        <w:left w:val="none" w:sz="0" w:space="0" w:color="auto"/>
        <w:bottom w:val="none" w:sz="0" w:space="0" w:color="auto"/>
        <w:right w:val="none" w:sz="0" w:space="0" w:color="auto"/>
      </w:divBdr>
    </w:div>
    <w:div w:id="1463696303">
      <w:bodyDiv w:val="1"/>
      <w:marLeft w:val="0"/>
      <w:marRight w:val="0"/>
      <w:marTop w:val="0"/>
      <w:marBottom w:val="0"/>
      <w:divBdr>
        <w:top w:val="none" w:sz="0" w:space="0" w:color="auto"/>
        <w:left w:val="none" w:sz="0" w:space="0" w:color="auto"/>
        <w:bottom w:val="none" w:sz="0" w:space="0" w:color="auto"/>
        <w:right w:val="none" w:sz="0" w:space="0" w:color="auto"/>
      </w:divBdr>
    </w:div>
    <w:div w:id="1476414701">
      <w:bodyDiv w:val="1"/>
      <w:marLeft w:val="0"/>
      <w:marRight w:val="0"/>
      <w:marTop w:val="0"/>
      <w:marBottom w:val="0"/>
      <w:divBdr>
        <w:top w:val="none" w:sz="0" w:space="0" w:color="auto"/>
        <w:left w:val="none" w:sz="0" w:space="0" w:color="auto"/>
        <w:bottom w:val="none" w:sz="0" w:space="0" w:color="auto"/>
        <w:right w:val="none" w:sz="0" w:space="0" w:color="auto"/>
      </w:divBdr>
    </w:div>
    <w:div w:id="1490514062">
      <w:bodyDiv w:val="1"/>
      <w:marLeft w:val="0"/>
      <w:marRight w:val="0"/>
      <w:marTop w:val="0"/>
      <w:marBottom w:val="0"/>
      <w:divBdr>
        <w:top w:val="none" w:sz="0" w:space="0" w:color="auto"/>
        <w:left w:val="none" w:sz="0" w:space="0" w:color="auto"/>
        <w:bottom w:val="none" w:sz="0" w:space="0" w:color="auto"/>
        <w:right w:val="none" w:sz="0" w:space="0" w:color="auto"/>
      </w:divBdr>
    </w:div>
    <w:div w:id="1513494680">
      <w:bodyDiv w:val="1"/>
      <w:marLeft w:val="0"/>
      <w:marRight w:val="0"/>
      <w:marTop w:val="0"/>
      <w:marBottom w:val="0"/>
      <w:divBdr>
        <w:top w:val="none" w:sz="0" w:space="0" w:color="auto"/>
        <w:left w:val="none" w:sz="0" w:space="0" w:color="auto"/>
        <w:bottom w:val="none" w:sz="0" w:space="0" w:color="auto"/>
        <w:right w:val="none" w:sz="0" w:space="0" w:color="auto"/>
      </w:divBdr>
    </w:div>
    <w:div w:id="1539783185">
      <w:bodyDiv w:val="1"/>
      <w:marLeft w:val="0"/>
      <w:marRight w:val="0"/>
      <w:marTop w:val="0"/>
      <w:marBottom w:val="0"/>
      <w:divBdr>
        <w:top w:val="none" w:sz="0" w:space="0" w:color="auto"/>
        <w:left w:val="none" w:sz="0" w:space="0" w:color="auto"/>
        <w:bottom w:val="none" w:sz="0" w:space="0" w:color="auto"/>
        <w:right w:val="none" w:sz="0" w:space="0" w:color="auto"/>
      </w:divBdr>
    </w:div>
    <w:div w:id="1546866194">
      <w:bodyDiv w:val="1"/>
      <w:marLeft w:val="0"/>
      <w:marRight w:val="0"/>
      <w:marTop w:val="0"/>
      <w:marBottom w:val="0"/>
      <w:divBdr>
        <w:top w:val="none" w:sz="0" w:space="0" w:color="auto"/>
        <w:left w:val="none" w:sz="0" w:space="0" w:color="auto"/>
        <w:bottom w:val="none" w:sz="0" w:space="0" w:color="auto"/>
        <w:right w:val="none" w:sz="0" w:space="0" w:color="auto"/>
      </w:divBdr>
    </w:div>
    <w:div w:id="1552380620">
      <w:bodyDiv w:val="1"/>
      <w:marLeft w:val="0"/>
      <w:marRight w:val="0"/>
      <w:marTop w:val="0"/>
      <w:marBottom w:val="0"/>
      <w:divBdr>
        <w:top w:val="none" w:sz="0" w:space="0" w:color="auto"/>
        <w:left w:val="none" w:sz="0" w:space="0" w:color="auto"/>
        <w:bottom w:val="none" w:sz="0" w:space="0" w:color="auto"/>
        <w:right w:val="none" w:sz="0" w:space="0" w:color="auto"/>
      </w:divBdr>
    </w:div>
    <w:div w:id="1577936832">
      <w:bodyDiv w:val="1"/>
      <w:marLeft w:val="0"/>
      <w:marRight w:val="0"/>
      <w:marTop w:val="0"/>
      <w:marBottom w:val="0"/>
      <w:divBdr>
        <w:top w:val="none" w:sz="0" w:space="0" w:color="auto"/>
        <w:left w:val="none" w:sz="0" w:space="0" w:color="auto"/>
        <w:bottom w:val="none" w:sz="0" w:space="0" w:color="auto"/>
        <w:right w:val="none" w:sz="0" w:space="0" w:color="auto"/>
      </w:divBdr>
    </w:div>
    <w:div w:id="1607032250">
      <w:bodyDiv w:val="1"/>
      <w:marLeft w:val="0"/>
      <w:marRight w:val="0"/>
      <w:marTop w:val="0"/>
      <w:marBottom w:val="0"/>
      <w:divBdr>
        <w:top w:val="none" w:sz="0" w:space="0" w:color="auto"/>
        <w:left w:val="none" w:sz="0" w:space="0" w:color="auto"/>
        <w:bottom w:val="none" w:sz="0" w:space="0" w:color="auto"/>
        <w:right w:val="none" w:sz="0" w:space="0" w:color="auto"/>
      </w:divBdr>
    </w:div>
    <w:div w:id="1620528636">
      <w:bodyDiv w:val="1"/>
      <w:marLeft w:val="0"/>
      <w:marRight w:val="0"/>
      <w:marTop w:val="0"/>
      <w:marBottom w:val="0"/>
      <w:divBdr>
        <w:top w:val="none" w:sz="0" w:space="0" w:color="auto"/>
        <w:left w:val="none" w:sz="0" w:space="0" w:color="auto"/>
        <w:bottom w:val="none" w:sz="0" w:space="0" w:color="auto"/>
        <w:right w:val="none" w:sz="0" w:space="0" w:color="auto"/>
      </w:divBdr>
      <w:divsChild>
        <w:div w:id="1632637032">
          <w:marLeft w:val="0"/>
          <w:marRight w:val="0"/>
          <w:marTop w:val="0"/>
          <w:marBottom w:val="0"/>
          <w:divBdr>
            <w:top w:val="none" w:sz="0" w:space="0" w:color="auto"/>
            <w:left w:val="none" w:sz="0" w:space="0" w:color="auto"/>
            <w:bottom w:val="none" w:sz="0" w:space="0" w:color="auto"/>
            <w:right w:val="none" w:sz="0" w:space="0" w:color="auto"/>
          </w:divBdr>
        </w:div>
      </w:divsChild>
    </w:div>
    <w:div w:id="1674987512">
      <w:bodyDiv w:val="1"/>
      <w:marLeft w:val="0"/>
      <w:marRight w:val="0"/>
      <w:marTop w:val="0"/>
      <w:marBottom w:val="0"/>
      <w:divBdr>
        <w:top w:val="none" w:sz="0" w:space="0" w:color="auto"/>
        <w:left w:val="none" w:sz="0" w:space="0" w:color="auto"/>
        <w:bottom w:val="none" w:sz="0" w:space="0" w:color="auto"/>
        <w:right w:val="none" w:sz="0" w:space="0" w:color="auto"/>
      </w:divBdr>
    </w:div>
    <w:div w:id="1727681412">
      <w:bodyDiv w:val="1"/>
      <w:marLeft w:val="0"/>
      <w:marRight w:val="0"/>
      <w:marTop w:val="0"/>
      <w:marBottom w:val="0"/>
      <w:divBdr>
        <w:top w:val="none" w:sz="0" w:space="0" w:color="auto"/>
        <w:left w:val="none" w:sz="0" w:space="0" w:color="auto"/>
        <w:bottom w:val="none" w:sz="0" w:space="0" w:color="auto"/>
        <w:right w:val="none" w:sz="0" w:space="0" w:color="auto"/>
      </w:divBdr>
    </w:div>
    <w:div w:id="1782647744">
      <w:bodyDiv w:val="1"/>
      <w:marLeft w:val="0"/>
      <w:marRight w:val="0"/>
      <w:marTop w:val="0"/>
      <w:marBottom w:val="0"/>
      <w:divBdr>
        <w:top w:val="none" w:sz="0" w:space="0" w:color="auto"/>
        <w:left w:val="none" w:sz="0" w:space="0" w:color="auto"/>
        <w:bottom w:val="none" w:sz="0" w:space="0" w:color="auto"/>
        <w:right w:val="none" w:sz="0" w:space="0" w:color="auto"/>
      </w:divBdr>
    </w:div>
    <w:div w:id="1901481763">
      <w:bodyDiv w:val="1"/>
      <w:marLeft w:val="0"/>
      <w:marRight w:val="0"/>
      <w:marTop w:val="0"/>
      <w:marBottom w:val="0"/>
      <w:divBdr>
        <w:top w:val="none" w:sz="0" w:space="0" w:color="auto"/>
        <w:left w:val="none" w:sz="0" w:space="0" w:color="auto"/>
        <w:bottom w:val="none" w:sz="0" w:space="0" w:color="auto"/>
        <w:right w:val="none" w:sz="0" w:space="0" w:color="auto"/>
      </w:divBdr>
    </w:div>
    <w:div w:id="1947303183">
      <w:bodyDiv w:val="1"/>
      <w:marLeft w:val="0"/>
      <w:marRight w:val="0"/>
      <w:marTop w:val="0"/>
      <w:marBottom w:val="0"/>
      <w:divBdr>
        <w:top w:val="none" w:sz="0" w:space="0" w:color="auto"/>
        <w:left w:val="none" w:sz="0" w:space="0" w:color="auto"/>
        <w:bottom w:val="none" w:sz="0" w:space="0" w:color="auto"/>
        <w:right w:val="none" w:sz="0" w:space="0" w:color="auto"/>
      </w:divBdr>
    </w:div>
    <w:div w:id="2001733581">
      <w:bodyDiv w:val="1"/>
      <w:marLeft w:val="0"/>
      <w:marRight w:val="0"/>
      <w:marTop w:val="0"/>
      <w:marBottom w:val="0"/>
      <w:divBdr>
        <w:top w:val="none" w:sz="0" w:space="0" w:color="auto"/>
        <w:left w:val="none" w:sz="0" w:space="0" w:color="auto"/>
        <w:bottom w:val="none" w:sz="0" w:space="0" w:color="auto"/>
        <w:right w:val="none" w:sz="0" w:space="0" w:color="auto"/>
      </w:divBdr>
    </w:div>
    <w:div w:id="2006787277">
      <w:bodyDiv w:val="1"/>
      <w:marLeft w:val="0"/>
      <w:marRight w:val="0"/>
      <w:marTop w:val="0"/>
      <w:marBottom w:val="0"/>
      <w:divBdr>
        <w:top w:val="none" w:sz="0" w:space="0" w:color="auto"/>
        <w:left w:val="none" w:sz="0" w:space="0" w:color="auto"/>
        <w:bottom w:val="none" w:sz="0" w:space="0" w:color="auto"/>
        <w:right w:val="none" w:sz="0" w:space="0" w:color="auto"/>
      </w:divBdr>
    </w:div>
    <w:div w:id="2043551660">
      <w:bodyDiv w:val="1"/>
      <w:marLeft w:val="0"/>
      <w:marRight w:val="0"/>
      <w:marTop w:val="0"/>
      <w:marBottom w:val="0"/>
      <w:divBdr>
        <w:top w:val="none" w:sz="0" w:space="0" w:color="auto"/>
        <w:left w:val="none" w:sz="0" w:space="0" w:color="auto"/>
        <w:bottom w:val="none" w:sz="0" w:space="0" w:color="auto"/>
        <w:right w:val="none" w:sz="0" w:space="0" w:color="auto"/>
      </w:divBdr>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
    <w:div w:id="2070415609">
      <w:bodyDiv w:val="1"/>
      <w:marLeft w:val="0"/>
      <w:marRight w:val="0"/>
      <w:marTop w:val="0"/>
      <w:marBottom w:val="0"/>
      <w:divBdr>
        <w:top w:val="none" w:sz="0" w:space="0" w:color="auto"/>
        <w:left w:val="none" w:sz="0" w:space="0" w:color="auto"/>
        <w:bottom w:val="none" w:sz="0" w:space="0" w:color="auto"/>
        <w:right w:val="none" w:sz="0" w:space="0" w:color="auto"/>
      </w:divBdr>
    </w:div>
    <w:div w:id="2103799774">
      <w:bodyDiv w:val="1"/>
      <w:marLeft w:val="0"/>
      <w:marRight w:val="0"/>
      <w:marTop w:val="0"/>
      <w:marBottom w:val="0"/>
      <w:divBdr>
        <w:top w:val="none" w:sz="0" w:space="0" w:color="auto"/>
        <w:left w:val="none" w:sz="0" w:space="0" w:color="auto"/>
        <w:bottom w:val="none" w:sz="0" w:space="0" w:color="auto"/>
        <w:right w:val="none" w:sz="0" w:space="0" w:color="auto"/>
      </w:divBdr>
    </w:div>
    <w:div w:id="21206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co-cdo.org" TargetMode="External"/><Relationship Id="rId18" Type="http://schemas.openxmlformats.org/officeDocument/2006/relationships/hyperlink" Target="https://twitter.com/LCO_CDO" TargetMode="External"/><Relationship Id="rId26" Type="http://schemas.openxmlformats.org/officeDocument/2006/relationships/hyperlink" Target="https://www.lco-cdo.org/en/our-current-projects/improving-protection-orders/" TargetMode="External"/><Relationship Id="rId39" Type="http://schemas.openxmlformats.org/officeDocument/2006/relationships/hyperlink" Target="mailto:rfritsch@lco-cdo.org" TargetMode="External"/><Relationship Id="rId21" Type="http://schemas.openxmlformats.org/officeDocument/2006/relationships/hyperlink" Target="https://www.lco-cdo.org/en/our-current-projects/ai-adm-and-the-justice-system/ai-and-adm-in-the-civil-administrative-justice-system/" TargetMode="External"/><Relationship Id="rId34" Type="http://schemas.openxmlformats.org/officeDocument/2006/relationships/hyperlink" Target="mailto:LawCommission@lco-cdo.org"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awCommission@lco-cdo.org" TargetMode="External"/><Relationship Id="rId20" Type="http://schemas.openxmlformats.org/officeDocument/2006/relationships/hyperlink" Target="https://www.lco-cdo.org/crimai" TargetMode="External"/><Relationship Id="rId29" Type="http://schemas.openxmlformats.org/officeDocument/2006/relationships/hyperlink" Target="https://www.lco-cdo.org/digitalmarketplac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co-cdo.org/wp-content/uploads/2020/03/Defamation-Final-Report-Eng-FINAL-1.pdf" TargetMode="External"/><Relationship Id="rId32" Type="http://schemas.openxmlformats.org/officeDocument/2006/relationships/hyperlink" Target="mailto:LawCommission@lco-cdo.org" TargetMode="External"/><Relationship Id="rId37" Type="http://schemas.openxmlformats.org/officeDocument/2006/relationships/hyperlink" Target="https://www.lco-cdo.org/digitalmarketplace" TargetMode="External"/><Relationship Id="rId40" Type="http://schemas.openxmlformats.org/officeDocument/2006/relationships/hyperlink" Target="mailto:LawCommission@lco-cdo.org"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lco-cdo.org/wp-content/uploads/2021/04/LCO-Regulating-AI-Critical-Issues-and-Choices-Toronto-April-2021-1.pdf" TargetMode="External"/><Relationship Id="rId28" Type="http://schemas.openxmlformats.org/officeDocument/2006/relationships/hyperlink" Target="http://www.lco-cdo.org"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youtube.com/@lawcommissionofontario8724" TargetMode="External"/><Relationship Id="rId31" Type="http://schemas.openxmlformats.org/officeDocument/2006/relationships/hyperlink" Target="https://www.lco-cdo.org/digitalmarketplac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co-cdo.org/en/publications-papers" TargetMode="External"/><Relationship Id="rId22" Type="http://schemas.openxmlformats.org/officeDocument/2006/relationships/hyperlink" Target="https://www.lco-cdo.org/wp-content/uploads/2022/06/LCO-Accountable_AI_Final_Report.pdf" TargetMode="External"/><Relationship Id="rId27" Type="http://schemas.openxmlformats.org/officeDocument/2006/relationships/hyperlink" Target="https://www.lco-cdo.org/en/our-current-projects/indigenous-engagement-for-last-stages-of-life/" TargetMode="External"/><Relationship Id="rId30" Type="http://schemas.openxmlformats.org/officeDocument/2006/relationships/hyperlink" Target="https://www.lco-cdo.org/digitalmarketplace" TargetMode="External"/><Relationship Id="rId35" Type="http://schemas.openxmlformats.org/officeDocument/2006/relationships/image" Target="media/image3.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co-cdo.org/digitalmarketplace" TargetMode="External"/><Relationship Id="rId17" Type="http://schemas.openxmlformats.org/officeDocument/2006/relationships/hyperlink" Target="https://www.lco-cdo.org" TargetMode="External"/><Relationship Id="rId25" Type="http://schemas.openxmlformats.org/officeDocument/2006/relationships/hyperlink" Target="https://www.lco-cdo.org/en/our-current-projects/environmental-accountability-rights-responsibilities-and-access-to-justice/" TargetMode="External"/><Relationship Id="rId33" Type="http://schemas.openxmlformats.org/officeDocument/2006/relationships/hyperlink" Target="mailto:rfritsch@lco-cdo.org" TargetMode="External"/><Relationship Id="rId38" Type="http://schemas.openxmlformats.org/officeDocument/2006/relationships/hyperlink" Target="mailto:LawCommission@lco-cdo.org"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www.ontario.ca/page/ontarios-trustworthy-artificial-intelligence-ai-framework-consultations" TargetMode="External"/><Relationship Id="rId299" Type="http://schemas.openxmlformats.org/officeDocument/2006/relationships/hyperlink" Target="https://www.ftc.gov/news-events/news/press-releases/2022/12/fortnite-video-game-maker-epic-games-pay-more-half-billion-dollars-over-ftc-allegations" TargetMode="External"/><Relationship Id="rId21" Type="http://schemas.openxmlformats.org/officeDocument/2006/relationships/hyperlink" Target="https://tosdr.org/" TargetMode="External"/><Relationship Id="rId63" Type="http://schemas.openxmlformats.org/officeDocument/2006/relationships/hyperlink" Target="https://mashable.com/article/apple-data-privacy-collection-lawsuit" TargetMode="External"/><Relationship Id="rId159" Type="http://schemas.openxmlformats.org/officeDocument/2006/relationships/hyperlink" Target="https://www.cbc.ca/news/canada/montreal/fortnite-class-action-1.6678687" TargetMode="External"/><Relationship Id="rId324" Type="http://schemas.openxmlformats.org/officeDocument/2006/relationships/hyperlink" Target="https://startupbros.com/youtube-channel-terminated" TargetMode="External"/><Relationship Id="rId366" Type="http://schemas.openxmlformats.org/officeDocument/2006/relationships/hyperlink" Target="https://thingscon.org/publications/report-a-trustmark-for-iot/" TargetMode="External"/><Relationship Id="rId170" Type="http://schemas.openxmlformats.org/officeDocument/2006/relationships/hyperlink" Target="https://www.law360.ca/articles/37394/facebook-privacy-decision-highlights-need-for-tech-companies-to-get-consent-from-users-lawyers-say" TargetMode="External"/><Relationship Id="rId226" Type="http://schemas.openxmlformats.org/officeDocument/2006/relationships/hyperlink" Target="https://www.priv.gc.ca/en/opc-actions-and-decisions/investigations/investigations-into-businesses/2022/pipeda-2022-001/" TargetMode="External"/><Relationship Id="rId268" Type="http://schemas.openxmlformats.org/officeDocument/2006/relationships/hyperlink" Target="https://www.wired.com/story/denmark-google-schools-data/" TargetMode="External"/><Relationship Id="rId32" Type="http://schemas.openxmlformats.org/officeDocument/2006/relationships/hyperlink" Target="https://www.ftc.gov/system/files/ftc_gov/pdf/P214800%20Dark%20Patterns%20Report%209.14.2022%20-%20FINAL.pdf" TargetMode="External"/><Relationship Id="rId74" Type="http://schemas.openxmlformats.org/officeDocument/2006/relationships/hyperlink" Target="https://www.dentons.com/en/insights/articles/2022/july/21/the-regulatory-landscape-surrounding-the-use-of-bot-technologies" TargetMode="External"/><Relationship Id="rId128" Type="http://schemas.openxmlformats.org/officeDocument/2006/relationships/hyperlink" Target="https://www.ontariocanada.com/registry/view.do?postingId=43452&amp;language=en" TargetMode="External"/><Relationship Id="rId335" Type="http://schemas.openxmlformats.org/officeDocument/2006/relationships/hyperlink" Target="https://www.theguardian.com/commentisfree/2021/mar/17/facebook-content-supreme-court-network" TargetMode="External"/><Relationship Id="rId377" Type="http://schemas.openxmlformats.org/officeDocument/2006/relationships/hyperlink" Target="https://www.fasken.com/en/knowledge/2020/08/5-supreme-court-tightens-rules-for-disgorgement-or-gain-based-remedies" TargetMode="External"/><Relationship Id="rId5" Type="http://schemas.openxmlformats.org/officeDocument/2006/relationships/hyperlink" Target="https://www.the-future-of-commerce.com/2021/05/12/digital-marketplaces/" TargetMode="External"/><Relationship Id="rId181" Type="http://schemas.openxmlformats.org/officeDocument/2006/relationships/hyperlink" Target="https://www.nytimes.com/2022/04/22/technology/european-union-social-media-law.html" TargetMode="External"/><Relationship Id="rId237" Type="http://schemas.openxmlformats.org/officeDocument/2006/relationships/hyperlink" Target="https://www.oecd.org/digital/dark-commercial-patterns-44f5e846-en.htm" TargetMode="External"/><Relationship Id="rId279" Type="http://schemas.openxmlformats.org/officeDocument/2006/relationships/hyperlink" Target="https://themarkup.org/privacy/2021/12/06/the-popular-family-safety-app-life360-is-selling-precise-location-data-on-its-tens-of-millions-of-user" TargetMode="External"/><Relationship Id="rId43" Type="http://schemas.openxmlformats.org/officeDocument/2006/relationships/hyperlink" Target="https://mattstoller.substack.com/p/economists-to-cattle-ranchers-stop" TargetMode="External"/><Relationship Id="rId139" Type="http://schemas.openxmlformats.org/officeDocument/2006/relationships/hyperlink" Target="https://www.businessinsider.com/deloitte-study-91-percent-agree-terms-of-service-without-reading-2017-11" TargetMode="External"/><Relationship Id="rId290" Type="http://schemas.openxmlformats.org/officeDocument/2006/relationships/hyperlink" Target="https://www.cbc.ca/news/canada/toronto/uber-class-action-toronto-employees-david-heller-1.6139825" TargetMode="External"/><Relationship Id="rId304" Type="http://schemas.openxmlformats.org/officeDocument/2006/relationships/hyperlink" Target="https://eur-lex.europa.eu/legal-content/EN/TXT/?uri=celex%3A31993L0013" TargetMode="External"/><Relationship Id="rId346" Type="http://schemas.openxmlformats.org/officeDocument/2006/relationships/hyperlink" Target="https://www.legislation.gov.uk/ukpga/2015/15/notes/division/3/3/2/2/2" TargetMode="External"/><Relationship Id="rId85" Type="http://schemas.openxmlformats.org/officeDocument/2006/relationships/hyperlink" Target="https://www.nytimes.com/2022/09/24/business/linkedin-social-experiments.html" TargetMode="External"/><Relationship Id="rId150" Type="http://schemas.openxmlformats.org/officeDocument/2006/relationships/hyperlink" Target="https://www.oecd.org/digital/dark-commercial-patterns-44f5e846-en.htm" TargetMode="External"/><Relationship Id="rId192" Type="http://schemas.openxmlformats.org/officeDocument/2006/relationships/hyperlink" Target="https://www.bclaws.gov.bc.ca/civix/document/id/rs/rs/96069_01" TargetMode="External"/><Relationship Id="rId206" Type="http://schemas.openxmlformats.org/officeDocument/2006/relationships/hyperlink" Target="https://eur-lex.europa.eu/legal-content/EN/TXT/HTML/?uri=CELEX:52021XC1229(05)" TargetMode="External"/><Relationship Id="rId248" Type="http://schemas.openxmlformats.org/officeDocument/2006/relationships/hyperlink" Target="https://www.oecd.org/digital/challenges-to-consumer-policy-in-the-digital-age.pdf" TargetMode="External"/><Relationship Id="rId12" Type="http://schemas.openxmlformats.org/officeDocument/2006/relationships/hyperlink" Target="https://www.oecd.org/publications/the-role-of-online-marketplaces-in-protecting-and-empowering-consumers-9d8cc586-en.htm" TargetMode="External"/><Relationship Id="rId108" Type="http://schemas.openxmlformats.org/officeDocument/2006/relationships/hyperlink" Target="https://www.ontario.ca/page/filing-consumer-complaint" TargetMode="External"/><Relationship Id="rId315" Type="http://schemas.openxmlformats.org/officeDocument/2006/relationships/hyperlink" Target="https://www.law360.ca/articles/37394/facebook-privacy-decision-highlights-need-for-tech-companies-to-get-consent-from-users-lawyers-say" TargetMode="External"/><Relationship Id="rId357" Type="http://schemas.openxmlformats.org/officeDocument/2006/relationships/hyperlink" Target="https://leginfo.legislature.ca.gov/faces/billTextClient.xhtml?bill_id=202120220AB587" TargetMode="External"/><Relationship Id="rId54" Type="http://schemas.openxmlformats.org/officeDocument/2006/relationships/hyperlink" Target="https://www.priv.gc.ca/en/opc-actions-and-decisions/research/explore-privacy-research/?q%5b0%5d=64&amp;Page=1" TargetMode="External"/><Relationship Id="rId96" Type="http://schemas.openxmlformats.org/officeDocument/2006/relationships/hyperlink" Target="https://www.priv.gc.ca/en/opc-actions-and-decisions/investigations/investigations-into-businesses/2022/pipeda-2022-001/" TargetMode="External"/><Relationship Id="rId161" Type="http://schemas.openxmlformats.org/officeDocument/2006/relationships/hyperlink" Target="https://techcrunch.com/2021/02/17/facebook-fined-again-in-italy-for-misleading-users-over-what-it-does-with-their-data/" TargetMode="External"/><Relationship Id="rId217" Type="http://schemas.openxmlformats.org/officeDocument/2006/relationships/hyperlink" Target="https://www.bccourts.ca/jdb-txt/sc/22/09/2022BCSC0914.htm" TargetMode="External"/><Relationship Id="rId259" Type="http://schemas.openxmlformats.org/officeDocument/2006/relationships/hyperlink" Target="https://www.apple.com/legal/internet-services/itunes/us/terms.html" TargetMode="External"/><Relationship Id="rId23" Type="http://schemas.openxmlformats.org/officeDocument/2006/relationships/hyperlink" Target="https://tosdr.org/" TargetMode="External"/><Relationship Id="rId119" Type="http://schemas.openxmlformats.org/officeDocument/2006/relationships/hyperlink" Target="https://www.ontariocanada.com/registry/view.do?language=en&amp;postingId=35387" TargetMode="External"/><Relationship Id="rId270" Type="http://schemas.openxmlformats.org/officeDocument/2006/relationships/hyperlink" Target="https://www.nytimes.com/2022/09/15/business/newsom-california-children-online-safety.html" TargetMode="External"/><Relationship Id="rId326" Type="http://schemas.openxmlformats.org/officeDocument/2006/relationships/hyperlink" Target="https://www.ontario.ca/page/consumer-complaints-and-enforcement" TargetMode="External"/><Relationship Id="rId65" Type="http://schemas.openxmlformats.org/officeDocument/2006/relationships/hyperlink" Target="https://arstechnica.com/tech-policy/2022/11/major-tax-filing-websites-secretly-share-income-data-with-meta/?comments=1" TargetMode="External"/><Relationship Id="rId130" Type="http://schemas.openxmlformats.org/officeDocument/2006/relationships/hyperlink" Target="https://www.theguardian.com/technology/2017/mar/03/terms-of-service-online-contracts-fine-print" TargetMode="External"/><Relationship Id="rId368" Type="http://schemas.openxmlformats.org/officeDocument/2006/relationships/hyperlink" Target="https://adstandards.ca/preclearance/" TargetMode="External"/><Relationship Id="rId172" Type="http://schemas.openxmlformats.org/officeDocument/2006/relationships/hyperlink" Target="https://commission.europa.eu/strategy-and-policy/policies/consumers/consumer-protection-policy/consumer-strategy_en" TargetMode="External"/><Relationship Id="rId228" Type="http://schemas.openxmlformats.org/officeDocument/2006/relationships/hyperlink" Target="https://www.priv.gc.ca/en/opc-actions-and-decisions/investigations/investigations-into-businesses/2022/pipeda-2022-001/" TargetMode="External"/><Relationship Id="rId281" Type="http://schemas.openxmlformats.org/officeDocument/2006/relationships/hyperlink" Target="https://www.congress.gov/bill/117th-congress/senate-bill/2992/text" TargetMode="External"/><Relationship Id="rId337" Type="http://schemas.openxmlformats.org/officeDocument/2006/relationships/hyperlink" Target="https://en.wikipedia.org/wiki/Star_Chamber" TargetMode="External"/><Relationship Id="rId34" Type="http://schemas.openxmlformats.org/officeDocument/2006/relationships/hyperlink" Target="https://www.ftc.gov/news-events/news/press-releases/2023/03/ftc-finalizes-order-requiring-fortnite-maker-epic-games-pay-245-million-tricking-users-making" TargetMode="External"/><Relationship Id="rId76" Type="http://schemas.openxmlformats.org/officeDocument/2006/relationships/hyperlink" Target="https://counterhate.com/research/the-disinformation-dozen/" TargetMode="External"/><Relationship Id="rId141" Type="http://schemas.openxmlformats.org/officeDocument/2006/relationships/hyperlink" Target="https://www.nytimes.com/interactive/2019/06/12/opinion/facebook-google-privacy-policies.html" TargetMode="External"/><Relationship Id="rId379" Type="http://schemas.openxmlformats.org/officeDocument/2006/relationships/hyperlink" Target="https://www.oecd.org/digital/dark-commercial-patterns-44f5e846-en.htm" TargetMode="External"/><Relationship Id="rId7" Type="http://schemas.openxmlformats.org/officeDocument/2006/relationships/hyperlink" Target="https://www.ontariocanada.com/registry/view.do?postingId=43452&amp;language=en" TargetMode="External"/><Relationship Id="rId183" Type="http://schemas.openxmlformats.org/officeDocument/2006/relationships/hyperlink" Target="https://www.gov.uk/government/publications/online-safety-bill-supporting-documents/online-safety-bill-factsheet" TargetMode="External"/><Relationship Id="rId239" Type="http://schemas.openxmlformats.org/officeDocument/2006/relationships/hyperlink" Target="https://www.oecd.org/digital/dark-commercial-patterns-44f5e846-en.htm" TargetMode="External"/><Relationship Id="rId250" Type="http://schemas.openxmlformats.org/officeDocument/2006/relationships/hyperlink" Target="https://nces.ed.gov/surveys/piaac/national_results.asp" TargetMode="External"/><Relationship Id="rId292" Type="http://schemas.openxmlformats.org/officeDocument/2006/relationships/hyperlink" Target="https://decisions.scc-csc.ca/scc-csc/scc-csc/en/item/18406/index.do" TargetMode="External"/><Relationship Id="rId306" Type="http://schemas.openxmlformats.org/officeDocument/2006/relationships/hyperlink" Target="http://www.cfcj-fcjc.org/sites/default/files/Paths%20to%20Justice%20and%20the%20Resolution%20of%20Consumer%20Problems.pdf" TargetMode="External"/><Relationship Id="rId45" Type="http://schemas.openxmlformats.org/officeDocument/2006/relationships/hyperlink" Target="https://unctad.org/system/files/official-document/ditccplpmisc2016d1_en.pdf" TargetMode="External"/><Relationship Id="rId87" Type="http://schemas.openxmlformats.org/officeDocument/2006/relationships/hyperlink" Target="https://www.priv.gc.ca/en/opc-actions-and-decisions/investigations/investigations-into-businesses/2022/pipeda-2022-001/" TargetMode="External"/><Relationship Id="rId110" Type="http://schemas.openxmlformats.org/officeDocument/2006/relationships/hyperlink" Target="https://vqaontario.ca/vqa-wine-program/wine-certification/" TargetMode="External"/><Relationship Id="rId348" Type="http://schemas.openxmlformats.org/officeDocument/2006/relationships/hyperlink" Target="https://www.theguardian.com/technology/2022/aug/22/sony-could-face-5bn-in-legal-claims-over-playstation-game-charges?CMP=Share_iOSApp_Other" TargetMode="External"/><Relationship Id="rId152" Type="http://schemas.openxmlformats.org/officeDocument/2006/relationships/hyperlink" Target="https://www.oecd.org/digital/dark-commercial-patterns-44f5e846-en.htm" TargetMode="External"/><Relationship Id="rId194" Type="http://schemas.openxmlformats.org/officeDocument/2006/relationships/hyperlink" Target="https://www.ontariocanada.com/registry/view.do?postingId=43452&amp;language=en" TargetMode="External"/><Relationship Id="rId208" Type="http://schemas.openxmlformats.org/officeDocument/2006/relationships/hyperlink" Target="https://eur-lex.europa.eu/legal-content/EN/TXT/HTML/?uri=CELEX:52021XC1229(05)" TargetMode="External"/><Relationship Id="rId261" Type="http://schemas.openxmlformats.org/officeDocument/2006/relationships/hyperlink" Target="https://www.ftc.gov/news-events/news/press-releases/2022/12/fortnite-video-game-maker-epic-games-pay-more-half-billion-dollars-over-ftc-allegations" TargetMode="External"/><Relationship Id="rId14" Type="http://schemas.openxmlformats.org/officeDocument/2006/relationships/hyperlink" Target="https://papers.ssrn.com/sol3/papers.cfm?abstract_id=2757465" TargetMode="External"/><Relationship Id="rId56" Type="http://schemas.openxmlformats.org/officeDocument/2006/relationships/hyperlink" Target="https://www.bbc.com/news/technology-61594815" TargetMode="External"/><Relationship Id="rId317" Type="http://schemas.openxmlformats.org/officeDocument/2006/relationships/hyperlink" Target="https://www.wordstream.com/blog/ws/2014/04/28/user-generated-content" TargetMode="External"/><Relationship Id="rId359" Type="http://schemas.openxmlformats.org/officeDocument/2006/relationships/hyperlink" Target="https://leginfo.legislature.ca.gov/faces/billTextClient.xhtml?bill_id=202120220AB587" TargetMode="External"/><Relationship Id="rId98" Type="http://schemas.openxmlformats.org/officeDocument/2006/relationships/hyperlink" Target="https://www.priv.gc.ca/en/opc-actions-and-decisions/investigations/investigations-into-businesses/2022/pipeda-2022-001/" TargetMode="External"/><Relationship Id="rId121" Type="http://schemas.openxmlformats.org/officeDocument/2006/relationships/hyperlink" Target="https://www.ontariocanada.com/registry/view.do?postingId=43452&amp;language=en" TargetMode="External"/><Relationship Id="rId163" Type="http://schemas.openxmlformats.org/officeDocument/2006/relationships/hyperlink" Target="https://www.agcm.it/dotcmsdoc/allegati-news/PS11150%20provv%20chiusura_estratto.pdf" TargetMode="External"/><Relationship Id="rId219" Type="http://schemas.openxmlformats.org/officeDocument/2006/relationships/hyperlink" Target="https://www.bccourts.ca/jdb-txt/sc/22/09/2022BCSC0914.htm" TargetMode="External"/><Relationship Id="rId370" Type="http://schemas.openxmlformats.org/officeDocument/2006/relationships/hyperlink" Target="https://www.oecd.org/publications/enhancing-online-disclosure-effectiveness-6d7ea79c-en.htm" TargetMode="External"/><Relationship Id="rId230" Type="http://schemas.openxmlformats.org/officeDocument/2006/relationships/hyperlink" Target="https://www.ontario.ca/laws/statute/s22007" TargetMode="External"/><Relationship Id="rId25" Type="http://schemas.openxmlformats.org/officeDocument/2006/relationships/hyperlink" Target="https://www.deceptive.design/reading-list" TargetMode="External"/><Relationship Id="rId67" Type="http://schemas.openxmlformats.org/officeDocument/2006/relationships/hyperlink" Target="https://www.ohrc.on.ca/en/news_centre/letter-facebook-enforcing-safeguards-prevent-discriminatory-housing-employment-and-credit-ad" TargetMode="External"/><Relationship Id="rId272" Type="http://schemas.openxmlformats.org/officeDocument/2006/relationships/hyperlink" Target="http://uscode.house.gov/view.xhtml?req=granuleid%3AUSC-prelim-title15-section6501&amp;edition=prelim" TargetMode="External"/><Relationship Id="rId328" Type="http://schemas.openxmlformats.org/officeDocument/2006/relationships/hyperlink" Target="https://www.oecd.org/publications/the-role-of-online-marketplaces-in-protecting-and-empowering-consumers-9d8cc586-en.htm" TargetMode="External"/><Relationship Id="rId132" Type="http://schemas.openxmlformats.org/officeDocument/2006/relationships/hyperlink" Target="https://www.businessinsider.com/deloitte-study-91-percent-agree-terms-of-service-without-reading-2017-11" TargetMode="External"/><Relationship Id="rId174" Type="http://schemas.openxmlformats.org/officeDocument/2006/relationships/hyperlink" Target="https://www.ontariocanada.com/registry/view.do?postingId=43452&amp;language=en" TargetMode="External"/><Relationship Id="rId381" Type="http://schemas.openxmlformats.org/officeDocument/2006/relationships/hyperlink" Target="https://www.ftc.gov/news-events/news/press-releases/2022/08/ftc-sues-kochava-selling-data-tracks-people-reproductive-health-clinics-places-worship-other" TargetMode="External"/><Relationship Id="rId241" Type="http://schemas.openxmlformats.org/officeDocument/2006/relationships/hyperlink" Target="https://www.oecd.org/digital/dark-commercial-patterns-44f5e846-en.htm" TargetMode="External"/><Relationship Id="rId36" Type="http://schemas.openxmlformats.org/officeDocument/2006/relationships/hyperlink" Target="https://www.ontariocanada.com/registry/view.do?language=en&amp;postingId=35387" TargetMode="External"/><Relationship Id="rId283" Type="http://schemas.openxmlformats.org/officeDocument/2006/relationships/hyperlink" Target="https://www.sciencedirect.com/science/article/pii/S2666389921000143" TargetMode="External"/><Relationship Id="rId339" Type="http://schemas.openxmlformats.org/officeDocument/2006/relationships/hyperlink" Target="https://www.ontario.ca/laws/statute/20l11" TargetMode="External"/><Relationship Id="rId78" Type="http://schemas.openxmlformats.org/officeDocument/2006/relationships/hyperlink" Target="https://www.theguardian.com/technology/2022/jul/07/twitter-says-it-suspends-1m-spam-users-a-day-as-elon-musk-dispute-deepens" TargetMode="External"/><Relationship Id="rId101" Type="http://schemas.openxmlformats.org/officeDocument/2006/relationships/hyperlink" Target="https://www.theverge.com/2022/8/1/23286824/tim-hortons-location-tracking-proposed-class-action-settlement-data-privacy-coffee-donut" TargetMode="External"/><Relationship Id="rId143" Type="http://schemas.openxmlformats.org/officeDocument/2006/relationships/hyperlink" Target="https://www.oecd.org/publications/enhancing-online-disclosure-effectiveness-6d7ea79c-en.htm" TargetMode="External"/><Relationship Id="rId185" Type="http://schemas.openxmlformats.org/officeDocument/2006/relationships/hyperlink" Target="https://eur-lex.europa.eu/legal-content/EN/TXT/HTML/?uri=CELEX:52021XC1229(05)" TargetMode="External"/><Relationship Id="rId350" Type="http://schemas.openxmlformats.org/officeDocument/2006/relationships/hyperlink" Target="https://classactions.openum.ca/files/sites/24/2019/04/JYIL61_Piche%CC%81Saumier_pp231-259.pdf" TargetMode="External"/><Relationship Id="rId9" Type="http://schemas.openxmlformats.org/officeDocument/2006/relationships/hyperlink" Target="https://www.ontario.ca/laws/statute/02c30" TargetMode="External"/><Relationship Id="rId210" Type="http://schemas.openxmlformats.org/officeDocument/2006/relationships/hyperlink" Target="https://www.ftc.gov/business-guidance/blog/2022/05/twitter-pay-150-million-penalty-allegedly-breaking-its-privacy-promises-again" TargetMode="External"/><Relationship Id="rId26" Type="http://schemas.openxmlformats.org/officeDocument/2006/relationships/hyperlink" Target="https://www.oecd.org/digital/dark-commercial-patterns-44f5e846-en.htm" TargetMode="External"/><Relationship Id="rId231" Type="http://schemas.openxmlformats.org/officeDocument/2006/relationships/hyperlink" Target="https://ec.europa.eu/info/strategy/priorities-2019-2024/europe-fit-digital-age/digital-services-act-ensuring-safe-and-accountable-online-environment/europe-fit-digital-age-new-online-rules-users_en" TargetMode="External"/><Relationship Id="rId252" Type="http://schemas.openxmlformats.org/officeDocument/2006/relationships/hyperlink" Target="https://www.nytimes.com/2022/03/24/well/family/child-social-media-use.html" TargetMode="External"/><Relationship Id="rId273" Type="http://schemas.openxmlformats.org/officeDocument/2006/relationships/hyperlink" Target="https://www.eff.org/deeplinks/2023/05/law-should-not-require-parental-consent-all-minors-access-social-media" TargetMode="External"/><Relationship Id="rId294" Type="http://schemas.openxmlformats.org/officeDocument/2006/relationships/hyperlink" Target="https://decisions.scc-csc.ca/scc-csc/scc-csc/en/item/18406/index.do" TargetMode="External"/><Relationship Id="rId308" Type="http://schemas.openxmlformats.org/officeDocument/2006/relationships/hyperlink" Target="https://www.oecd.org/publications/the-role-of-online-marketplaces-in-protecting-and-empowering-consumers-9d8cc586-en.htm" TargetMode="External"/><Relationship Id="rId329" Type="http://schemas.openxmlformats.org/officeDocument/2006/relationships/hyperlink" Target="https://www.oecd.org/publications/the-role-of-online-marketplaces-in-protecting-and-empowering-consumers-9d8cc586-en.htm" TargetMode="External"/><Relationship Id="rId47" Type="http://schemas.openxmlformats.org/officeDocument/2006/relationships/hyperlink" Target="https://www.desmoinesregister.com/story/money/agriculture/2022/03/03/iowa-u-s-farmers-seek-probe-over-right-repair-deere-tractors-combines-farm-equipment-agriculture/9356985002/" TargetMode="External"/><Relationship Id="rId68" Type="http://schemas.openxmlformats.org/officeDocument/2006/relationships/hyperlink" Target="https://www.wired.com/story/facebook-political-ad-system-designed-polarize/" TargetMode="External"/><Relationship Id="rId89" Type="http://schemas.openxmlformats.org/officeDocument/2006/relationships/hyperlink" Target="https://www.priv.gc.ca/en/opc-actions-and-decisions/investigations/investigations-into-businesses/2022/pipeda-2022-001/" TargetMode="External"/><Relationship Id="rId112" Type="http://schemas.openxmlformats.org/officeDocument/2006/relationships/hyperlink" Target="https://stepstojustice.ca/legal-topic/debt-and-consumer-rights/" TargetMode="External"/><Relationship Id="rId133" Type="http://schemas.openxmlformats.org/officeDocument/2006/relationships/hyperlink" Target="https://www.cbc.ca/news/business/clickable-agreements-contract-law-1.4634780" TargetMode="External"/><Relationship Id="rId154" Type="http://schemas.openxmlformats.org/officeDocument/2006/relationships/hyperlink" Target="https://www.oecd.org/digital/dark-commercial-patterns-44f5e846-en.htm" TargetMode="External"/><Relationship Id="rId175" Type="http://schemas.openxmlformats.org/officeDocument/2006/relationships/hyperlink" Target="https://www.ontariocanada.com/registry/view.do?postingId=43452&amp;language=en" TargetMode="External"/><Relationship Id="rId340" Type="http://schemas.openxmlformats.org/officeDocument/2006/relationships/hyperlink" Target="https://www.ontario.ca/laws/statute/20l11" TargetMode="External"/><Relationship Id="rId361" Type="http://schemas.openxmlformats.org/officeDocument/2006/relationships/hyperlink" Target="https://www.oag.ca.gov/privacy/ccpa" TargetMode="External"/><Relationship Id="rId196" Type="http://schemas.openxmlformats.org/officeDocument/2006/relationships/hyperlink" Target="https://www.oag.ca.gov/privacy/ccpa" TargetMode="External"/><Relationship Id="rId200" Type="http://schemas.openxmlformats.org/officeDocument/2006/relationships/hyperlink" Target="https://www.ontariocanada.com/registry/view.do?language=en&amp;postingId=35387" TargetMode="External"/><Relationship Id="rId382" Type="http://schemas.openxmlformats.org/officeDocument/2006/relationships/hyperlink" Target="https://www.ftc.gov/legal-library/browse/federal-register-notices/commercial-surveillance-data-security-rulemaking" TargetMode="External"/><Relationship Id="rId16" Type="http://schemas.openxmlformats.org/officeDocument/2006/relationships/hyperlink" Target="https://www.theguardian.com/technology/2017/mar/03/terms-of-service-online-contracts-fine-print" TargetMode="External"/><Relationship Id="rId221" Type="http://schemas.openxmlformats.org/officeDocument/2006/relationships/hyperlink" Target="https://www.bccourts.ca/jdb-txt/sc/22/09/2022BCSC0914.htm" TargetMode="External"/><Relationship Id="rId242" Type="http://schemas.openxmlformats.org/officeDocument/2006/relationships/hyperlink" Target="https://www.oecd.org/digital/dark-commercial-patterns-44f5e846-en.htm" TargetMode="External"/><Relationship Id="rId263" Type="http://schemas.openxmlformats.org/officeDocument/2006/relationships/hyperlink" Target="https://www.ftc.gov/news-events/news/press-releases/2023/03/ftc-finalizes-order-requiring-fortnite-maker-epic-games-pay-245-million-tricking-users-making" TargetMode="External"/><Relationship Id="rId284" Type="http://schemas.openxmlformats.org/officeDocument/2006/relationships/hyperlink" Target="https://ssrn.com/abstract=1450006" TargetMode="External"/><Relationship Id="rId319" Type="http://schemas.openxmlformats.org/officeDocument/2006/relationships/hyperlink" Target="https://twitchtracker.com/statistics" TargetMode="External"/><Relationship Id="rId37" Type="http://schemas.openxmlformats.org/officeDocument/2006/relationships/hyperlink" Target="https://www.ontariocanada.com/registry/view.do?postingId=43452&amp;language=en" TargetMode="External"/><Relationship Id="rId58" Type="http://schemas.openxmlformats.org/officeDocument/2006/relationships/hyperlink" Target="https://www.priv.gc.ca/en/opc-actions-and-decisions/research/funding-for-privacy-research-and-knowledge-translation/completed-contributions-program-projects/2019-2020/p_2019-20_11/" TargetMode="External"/><Relationship Id="rId79" Type="http://schemas.openxmlformats.org/officeDocument/2006/relationships/hyperlink" Target="https://www.theverge.com/2021/8/4/22609020/facebook-bans-academic-researchers-ad-transparency-misinformation-nyu-ad-observatory-plug-in" TargetMode="External"/><Relationship Id="rId102" Type="http://schemas.openxmlformats.org/officeDocument/2006/relationships/hyperlink" Target="https://www.thestar.com/business/opinion/2022/08/08/the-price-of-privacy-adds-up-to-more-than-a-coffee-and-a-doughnut.html" TargetMode="External"/><Relationship Id="rId123" Type="http://schemas.openxmlformats.org/officeDocument/2006/relationships/hyperlink" Target="https://www.ontariocanada.com/registry/view.do?postingId=43452&amp;language=en" TargetMode="External"/><Relationship Id="rId144" Type="http://schemas.openxmlformats.org/officeDocument/2006/relationships/hyperlink" Target="https://www.piac.ca/wp-content/uploads/2014/11/free_services.pdf" TargetMode="External"/><Relationship Id="rId330" Type="http://schemas.openxmlformats.org/officeDocument/2006/relationships/hyperlink" Target="https://www.bloomberg.com/news/articles/2022-08-25/facebook-meta-is-building-a-customer-service-group-for-content-complaints?sref=dZ65CIng" TargetMode="External"/><Relationship Id="rId90" Type="http://schemas.openxmlformats.org/officeDocument/2006/relationships/hyperlink" Target="https://financialpost.com/technology/tim-hortons-app-tracking-customers-intimate-data" TargetMode="External"/><Relationship Id="rId165" Type="http://schemas.openxmlformats.org/officeDocument/2006/relationships/hyperlink" Target="https://techcrunch.com/2021/02/17/facebook-fined-again-in-italy-for-misleading-users-over-what-it-does-with-their-data/" TargetMode="External"/><Relationship Id="rId186" Type="http://schemas.openxmlformats.org/officeDocument/2006/relationships/hyperlink" Target="https://eur-lex.europa.eu/legal-content/EN/TXT/HTML/?uri=CELEX:52021XC1229(05)" TargetMode="External"/><Relationship Id="rId351" Type="http://schemas.openxmlformats.org/officeDocument/2006/relationships/hyperlink" Target="https://classactions.openum.ca/files/sites/24/2019/04/JYIL61_Piche%CC%81Saumier_pp231-259.pdf" TargetMode="External"/><Relationship Id="rId372" Type="http://schemas.openxmlformats.org/officeDocument/2006/relationships/hyperlink" Target="https://www.canlii.org/en/ca/scc/doc/2022/2022scc43/2022scc43.html" TargetMode="External"/><Relationship Id="rId211" Type="http://schemas.openxmlformats.org/officeDocument/2006/relationships/hyperlink" Target="https://www.ftc.gov/business-guidance/blog/2022/05/twitter-pay-150-million-penalty-allegedly-breaking-its-privacy-promises-again" TargetMode="External"/><Relationship Id="rId232" Type="http://schemas.openxmlformats.org/officeDocument/2006/relationships/hyperlink" Target="https://www.ontariocanada.com/registry/view.do?postingId=43452&amp;language=en" TargetMode="External"/><Relationship Id="rId253" Type="http://schemas.openxmlformats.org/officeDocument/2006/relationships/hyperlink" Target="https://www.theguardian.com/technology/2021/oct/05/facebook-harms-children-damaging-democracy-claims-whistleblower" TargetMode="External"/><Relationship Id="rId274" Type="http://schemas.openxmlformats.org/officeDocument/2006/relationships/hyperlink" Target="https://priv.gc.ca/en/privacy-topics/collecting-personal-information/consent/gl_omc_201805/" TargetMode="External"/><Relationship Id="rId295" Type="http://schemas.openxmlformats.org/officeDocument/2006/relationships/hyperlink" Target="https://decisions.scc-csc.ca/scc-csc/scc-csc/en/item/18406/index.do" TargetMode="External"/><Relationship Id="rId309" Type="http://schemas.openxmlformats.org/officeDocument/2006/relationships/hyperlink" Target="https://www.oecd.org/digital/challenges-to-consumer-policy-in-the-digital-age.pdf" TargetMode="External"/><Relationship Id="rId27" Type="http://schemas.openxmlformats.org/officeDocument/2006/relationships/hyperlink" Target="https://www.oecd.org/digital/dark-commercial-patterns-44f5e846-en.htm" TargetMode="External"/><Relationship Id="rId48" Type="http://schemas.openxmlformats.org/officeDocument/2006/relationships/hyperlink" Target="https://arstechnica.com/tech-policy/2021/04/apple-faces-class-action-lawsuit-over-its-definition-of-the-word-buy/" TargetMode="External"/><Relationship Id="rId69" Type="http://schemas.openxmlformats.org/officeDocument/2006/relationships/hyperlink" Target="https://www.theguardian.com/technology/2021/oct/22/twitter-admits-bias-in-algorithm-for-rightwing-politicians-and-news-outlets" TargetMode="External"/><Relationship Id="rId113" Type="http://schemas.openxmlformats.org/officeDocument/2006/relationships/hyperlink" Target="https://www.parl.ca/DocumentViewer/en/44-1/bill/C-27/first-reading" TargetMode="External"/><Relationship Id="rId134" Type="http://schemas.openxmlformats.org/officeDocument/2006/relationships/hyperlink" Target="https://www.theguardian.com/technology/2017/mar/03/terms-of-service-online-contracts-fine-print" TargetMode="External"/><Relationship Id="rId320" Type="http://schemas.openxmlformats.org/officeDocument/2006/relationships/hyperlink" Target="https://wallaroomedia.com/blog/social-media/tiktok-statistics/" TargetMode="External"/><Relationship Id="rId80" Type="http://schemas.openxmlformats.org/officeDocument/2006/relationships/hyperlink" Target="https://www.wired.com/story/elon-musk-twitter-firehose/" TargetMode="External"/><Relationship Id="rId155" Type="http://schemas.openxmlformats.org/officeDocument/2006/relationships/hyperlink" Target="https://www.ftc.gov/news-events/news/press-releases/2022/09/ftc-report-shows-rise-sophisticated-dark-patterns-designed-trick-trap-consumers" TargetMode="External"/><Relationship Id="rId176" Type="http://schemas.openxmlformats.org/officeDocument/2006/relationships/hyperlink" Target="https://www.ontariocanada.com/registry/view.do?postingId=43452&amp;language=en" TargetMode="External"/><Relationship Id="rId197" Type="http://schemas.openxmlformats.org/officeDocument/2006/relationships/hyperlink" Target="https://www.ontariocanada.com/registry/view.do?postingId=43452&amp;language=en" TargetMode="External"/><Relationship Id="rId341" Type="http://schemas.openxmlformats.org/officeDocument/2006/relationships/hyperlink" Target="https://www.lawfoundationbc.org/wp-content/uploads/Civil-Legal-Needs-Research-FINAL.pdf" TargetMode="External"/><Relationship Id="rId362" Type="http://schemas.openxmlformats.org/officeDocument/2006/relationships/hyperlink" Target="https://www.oecd.org/publications/enhancing-online-disclosure-effectiveness-6d7ea79c-en.htm" TargetMode="External"/><Relationship Id="rId383" Type="http://schemas.openxmlformats.org/officeDocument/2006/relationships/hyperlink" Target="https://iapp.org/media/pdf/resource_center/evolution_canada_data_broker_industry.pdf" TargetMode="External"/><Relationship Id="rId201" Type="http://schemas.openxmlformats.org/officeDocument/2006/relationships/hyperlink" Target="https://ssrn.com/abstract=1567284" TargetMode="External"/><Relationship Id="rId222" Type="http://schemas.openxmlformats.org/officeDocument/2006/relationships/hyperlink" Target="https://www.bccourts.ca/jdb-txt/sc/22/09/2022BCSC0914.htm" TargetMode="External"/><Relationship Id="rId243" Type="http://schemas.openxmlformats.org/officeDocument/2006/relationships/hyperlink" Target="https://www.oecd.org/digital/dark-commercial-patterns-44f5e846-en.htm" TargetMode="External"/><Relationship Id="rId264" Type="http://schemas.openxmlformats.org/officeDocument/2006/relationships/hyperlink" Target="https://www.ftc.gov/news-events/news/press-releases/2023/03/ftc-finalizes-order-requiring-fortnite-maker-epic-games-pay-245-million-tricking-users-making" TargetMode="External"/><Relationship Id="rId285" Type="http://schemas.openxmlformats.org/officeDocument/2006/relationships/hyperlink" Target="https://www.ftc.gov/business-guidance/blog/2022/07/location-health-other-sensitive-information-ftc-committed-fully-enforcing-law-against-illegal-use" TargetMode="External"/><Relationship Id="rId17" Type="http://schemas.openxmlformats.org/officeDocument/2006/relationships/hyperlink" Target="https://papers.ssrn.com/sol3/papers.cfm?abstract_id=2757465" TargetMode="External"/><Relationship Id="rId38" Type="http://schemas.openxmlformats.org/officeDocument/2006/relationships/hyperlink" Target="https://www.ontariocanada.com/registry/view.do?language=en&amp;postingId=35387" TargetMode="External"/><Relationship Id="rId59" Type="http://schemas.openxmlformats.org/officeDocument/2006/relationships/hyperlink" Target="https://adstandards.ca/resources/library/self-regulation-of-childrens-advertising/" TargetMode="External"/><Relationship Id="rId103" Type="http://schemas.openxmlformats.org/officeDocument/2006/relationships/hyperlink" Target="https://www.investors.com/etfs-and-funds/sectors/sp500-heres-how-much-youre-worth-social-media-giants/" TargetMode="External"/><Relationship Id="rId124" Type="http://schemas.openxmlformats.org/officeDocument/2006/relationships/hyperlink" Target="https://www.ontariocanada.com/registry/view.do?postingId=43452&amp;language=en" TargetMode="External"/><Relationship Id="rId310" Type="http://schemas.openxmlformats.org/officeDocument/2006/relationships/hyperlink" Target="https://www.ontario.ca/page/how-we-address-consumer-complaints" TargetMode="External"/><Relationship Id="rId70" Type="http://schemas.openxmlformats.org/officeDocument/2006/relationships/hyperlink" Target="https://counterhate.com/research/the-disinformation-dozen/" TargetMode="External"/><Relationship Id="rId91" Type="http://schemas.openxmlformats.org/officeDocument/2006/relationships/hyperlink" Target="https://www.priv.gc.ca/en/opc-actions-and-decisions/investigations/investigations-into-businesses/2022/pipeda-2022-001/" TargetMode="External"/><Relationship Id="rId145" Type="http://schemas.openxmlformats.org/officeDocument/2006/relationships/hyperlink" Target="https://tosdr.org/" TargetMode="External"/><Relationship Id="rId166" Type="http://schemas.openxmlformats.org/officeDocument/2006/relationships/hyperlink" Target="https://www.canadianlawyermag.com/practice-areas/privacy-and-data/regulators-increasingly-using-privacy-law-to-confront-deceptive-online-design-say-lawyers/374401" TargetMode="External"/><Relationship Id="rId187" Type="http://schemas.openxmlformats.org/officeDocument/2006/relationships/hyperlink" Target="https://www.ontario.ca/laws/statute/s22007" TargetMode="External"/><Relationship Id="rId331" Type="http://schemas.openxmlformats.org/officeDocument/2006/relationships/hyperlink" Target="https://carrcenter.hks.harvard.edu/files/cchr/files/facebook_oversight_board.pdf" TargetMode="External"/><Relationship Id="rId352" Type="http://schemas.openxmlformats.org/officeDocument/2006/relationships/hyperlink" Target="https://www.lco-cdo.org/en/our-current-projects/class-actions/final-report/" TargetMode="External"/><Relationship Id="rId373" Type="http://schemas.openxmlformats.org/officeDocument/2006/relationships/hyperlink" Target="https://www.commerciallitigationupdate.com/2021/04/26/the-supreme-court-rules-that-disgorgement-is-not-an-available-remedy-under-the-ftc-act-what-comes-next/" TargetMode="External"/><Relationship Id="rId1" Type="http://schemas.openxmlformats.org/officeDocument/2006/relationships/hyperlink" Target="https://www.ontario.ca/page/building-digital-ontario" TargetMode="External"/><Relationship Id="rId212" Type="http://schemas.openxmlformats.org/officeDocument/2006/relationships/hyperlink" Target="https://www.theguardian.com/technology/2022/jan/06/france-fines-google-and-facebook-210m-over-user-tracking-cookies" TargetMode="External"/><Relationship Id="rId233" Type="http://schemas.openxmlformats.org/officeDocument/2006/relationships/hyperlink" Target="https://www.ontariocanada.com/registry/view.do?postingId=43452&amp;language=en" TargetMode="External"/><Relationship Id="rId254" Type="http://schemas.openxmlformats.org/officeDocument/2006/relationships/hyperlink" Target="https://techcrunch.com/2022/09/20/uk-online-safety-bill-legal-but-harmful-changes/" TargetMode="External"/><Relationship Id="rId28" Type="http://schemas.openxmlformats.org/officeDocument/2006/relationships/hyperlink" Target="https://www.oecd.org/digital/consumer/infographic-consumers-digital-global-marketplace.pdf" TargetMode="External"/><Relationship Id="rId49" Type="http://schemas.openxmlformats.org/officeDocument/2006/relationships/hyperlink" Target="https://mashable.com/article/garadget-bad-review-bricked" TargetMode="External"/><Relationship Id="rId114" Type="http://schemas.openxmlformats.org/officeDocument/2006/relationships/hyperlink" Target="https://www.fasken.com/en/knowledge/2022/06/20-the-canadian-government-undertakes-a-second-effort-at-comprehensive-reform-to-federal-privacy-law" TargetMode="External"/><Relationship Id="rId275" Type="http://schemas.openxmlformats.org/officeDocument/2006/relationships/hyperlink" Target="https://thecma.ca/resources/maintaining-standards/marketing-to-children-and-teens" TargetMode="External"/><Relationship Id="rId296" Type="http://schemas.openxmlformats.org/officeDocument/2006/relationships/hyperlink" Target="https://www.ftc.gov/news-events/news/press-releases/2023/03/ftc-finalizes-order-requiring-fortnite-maker-epic-games-pay-245-million-tricking-users-making" TargetMode="External"/><Relationship Id="rId300" Type="http://schemas.openxmlformats.org/officeDocument/2006/relationships/hyperlink" Target="https://www.ontariocanada.com/registry/view.do?postingId=43452&amp;language=en" TargetMode="External"/><Relationship Id="rId60" Type="http://schemas.openxmlformats.org/officeDocument/2006/relationships/hyperlink" Target="https://www.ftc.gov/news-events/news/press-releases/2022/05/ftc-charges-twitter-deceptively-using-account-security-data-sell-targeted-ads" TargetMode="External"/><Relationship Id="rId81" Type="http://schemas.openxmlformats.org/officeDocument/2006/relationships/hyperlink" Target="https://leginfo.legislature.ca.gov/faces/billTextClient.xhtml?bill_id=201720180SB1001" TargetMode="External"/><Relationship Id="rId135" Type="http://schemas.openxmlformats.org/officeDocument/2006/relationships/hyperlink" Target="https://www.vice.com/en/article/xwbg7j/online-contract-terms-of-service-are-incomprehensible-to-adults-study-finds" TargetMode="External"/><Relationship Id="rId156" Type="http://schemas.openxmlformats.org/officeDocument/2006/relationships/hyperlink" Target="https://www.ftc.gov/system/files/ftc_gov/pdf/P214800%20Dark%20Patterns%20Report%209.14.2022%20-%20FINAL.pdf" TargetMode="External"/><Relationship Id="rId177" Type="http://schemas.openxmlformats.org/officeDocument/2006/relationships/hyperlink" Target="https://eur-lex.europa.eu/eli/reg/2022/1925/oj" TargetMode="External"/><Relationship Id="rId198" Type="http://schemas.openxmlformats.org/officeDocument/2006/relationships/hyperlink" Target="https://www.ontariocanada.com/registry/view.do?postingId=43452&amp;language=en" TargetMode="External"/><Relationship Id="rId321" Type="http://schemas.openxmlformats.org/officeDocument/2006/relationships/hyperlink" Target="https://www.youtube.com/static?template=terms" TargetMode="External"/><Relationship Id="rId342" Type="http://schemas.openxmlformats.org/officeDocument/2006/relationships/hyperlink" Target="https://www.oecd.org/publications/the-role-of-online-marketplaces-in-protecting-and-empowering-consumers-9d8cc586-en.htm" TargetMode="External"/><Relationship Id="rId363" Type="http://schemas.openxmlformats.org/officeDocument/2006/relationships/hyperlink" Target="https://www.oecd.org/publications/enhancing-online-disclosure-effectiveness-6d7ea79c-en.htm" TargetMode="External"/><Relationship Id="rId384" Type="http://schemas.openxmlformats.org/officeDocument/2006/relationships/hyperlink" Target="https://www.the-future-of-commerce.com/2021/05/12/digital-marketplaces/" TargetMode="External"/><Relationship Id="rId202" Type="http://schemas.openxmlformats.org/officeDocument/2006/relationships/hyperlink" Target="https://www.oecd.org/publications/enhancing-online-disclosure-effectiveness-6d7ea79c-en.htm" TargetMode="External"/><Relationship Id="rId223" Type="http://schemas.openxmlformats.org/officeDocument/2006/relationships/hyperlink" Target="https://www.bccourts.ca/jdb-txt/sc/22/09/2022BCSC0914.htm" TargetMode="External"/><Relationship Id="rId244" Type="http://schemas.openxmlformats.org/officeDocument/2006/relationships/hyperlink" Target="https://www.oecd.org/digital/dark-commercial-patterns-44f5e846-en.htm" TargetMode="External"/><Relationship Id="rId18" Type="http://schemas.openxmlformats.org/officeDocument/2006/relationships/hyperlink" Target="https://www.visualcapitalist.com/terms-of-service-visualizing-the-length-of-internet-agreements/" TargetMode="External"/><Relationship Id="rId39" Type="http://schemas.openxmlformats.org/officeDocument/2006/relationships/hyperlink" Target="https://twitter.com/bainalerts/status/961214714939363328" TargetMode="External"/><Relationship Id="rId265" Type="http://schemas.openxmlformats.org/officeDocument/2006/relationships/hyperlink" Target="https://www.cbc.ca/news/canada/montreal/fortnite-class-action-1.6678687" TargetMode="External"/><Relationship Id="rId286" Type="http://schemas.openxmlformats.org/officeDocument/2006/relationships/hyperlink" Target="https://www.ftc.gov/business-guidance/blog/2022/07/location-health-other-sensitive-information-ftc-committed-fully-enforcing-law-against-illegal-use" TargetMode="External"/><Relationship Id="rId50" Type="http://schemas.openxmlformats.org/officeDocument/2006/relationships/hyperlink" Target="https://www.pcgamer.com/terraria-creator-cancels-stadia-port-after-being-locked-out-of-google-account/" TargetMode="External"/><Relationship Id="rId104" Type="http://schemas.openxmlformats.org/officeDocument/2006/relationships/hyperlink" Target="https://www.ontariocanada.com/registry/view.do?language=en&amp;postingId=35387" TargetMode="External"/><Relationship Id="rId125" Type="http://schemas.openxmlformats.org/officeDocument/2006/relationships/hyperlink" Target="https://www.ontariocanada.com/registry/view.do?postingId=43452&amp;language=en" TargetMode="External"/><Relationship Id="rId146" Type="http://schemas.openxmlformats.org/officeDocument/2006/relationships/hyperlink" Target="https://www.oecd.org/digital/dark-commercial-patterns-44f5e846-en.htm" TargetMode="External"/><Relationship Id="rId167" Type="http://schemas.openxmlformats.org/officeDocument/2006/relationships/hyperlink" Target="https://www.ftc.gov/news-events/news/press-releases/2023/03/ftc-finalizes-order-requiring-fortnite-maker-epic-games-pay-245-million-tricking-users-making" TargetMode="External"/><Relationship Id="rId188" Type="http://schemas.openxmlformats.org/officeDocument/2006/relationships/hyperlink" Target="https://www.piac.ca/wp-content/uploads/2014/11/free_services.pdf" TargetMode="External"/><Relationship Id="rId311" Type="http://schemas.openxmlformats.org/officeDocument/2006/relationships/hyperlink" Target="https://www.ontario.ca/page/consumer-complaints-and-enforcement" TargetMode="External"/><Relationship Id="rId332" Type="http://schemas.openxmlformats.org/officeDocument/2006/relationships/hyperlink" Target="https://www.theguardian.com/commentisfree/2021/mar/17/facebook-content-supreme-court-network" TargetMode="External"/><Relationship Id="rId353" Type="http://schemas.openxmlformats.org/officeDocument/2006/relationships/hyperlink" Target="https://cccshop.consumerscouncil.com/ca/Consumer-Representation/c/3214/Super-Complainers-Greater-Public-Inclusiveness-in-Government-Consumer-Complaint-Handling-%5bEPUB%5d/p/139702" TargetMode="External"/><Relationship Id="rId374" Type="http://schemas.openxmlformats.org/officeDocument/2006/relationships/hyperlink" Target="https://www.commerciallitigationupdate.com/2021/04/26/the-supreme-court-rules-that-disgorgement-is-not-an-available-remedy-under-the-ftc-act-what-comes-next/" TargetMode="External"/><Relationship Id="rId71" Type="http://schemas.openxmlformats.org/officeDocument/2006/relationships/hyperlink" Target="https://www.cbc.ca/news/science/rogers-bell-telus-enstream-location-data-sharing-securus-1.4666739" TargetMode="External"/><Relationship Id="rId92" Type="http://schemas.openxmlformats.org/officeDocument/2006/relationships/hyperlink" Target="https://www.priv.gc.ca/en/opc-actions-and-decisions/investigations/investigations-into-businesses/2022/pipeda-2022-001/" TargetMode="External"/><Relationship Id="rId213" Type="http://schemas.openxmlformats.org/officeDocument/2006/relationships/hyperlink" Target="https://techcrunch.com/2021/11/26/agcm-fines-apple-google/" TargetMode="External"/><Relationship Id="rId234" Type="http://schemas.openxmlformats.org/officeDocument/2006/relationships/hyperlink" Target="https://www.oecd.org/digital/dark-commercial-patterns-44f5e846-en.htm" TargetMode="External"/><Relationship Id="rId2" Type="http://schemas.openxmlformats.org/officeDocument/2006/relationships/hyperlink" Target="https://www.ontario.ca/page/ministry-public-business-service-delivery" TargetMode="External"/><Relationship Id="rId29" Type="http://schemas.openxmlformats.org/officeDocument/2006/relationships/hyperlink" Target="https://www.oecd.org/digital/dark-commercial-patterns-44f5e846-en.htm" TargetMode="External"/><Relationship Id="rId255" Type="http://schemas.openxmlformats.org/officeDocument/2006/relationships/hyperlink" Target="https://www.theguardian.com/technology/2021/oct/05/facebook-harms-children-damaging-democracy-claims-whistleblower" TargetMode="External"/><Relationship Id="rId276" Type="http://schemas.openxmlformats.org/officeDocument/2006/relationships/hyperlink" Target="https://thecma.ca/resources/code-of-ethics-standards" TargetMode="External"/><Relationship Id="rId297" Type="http://schemas.openxmlformats.org/officeDocument/2006/relationships/hyperlink" Target="https://www.ftc.gov/news-events/news/press-releases/2022/12/fortnite-video-game-maker-epic-games-pay-more-half-billion-dollars-over-ftc-allegations" TargetMode="External"/><Relationship Id="rId40" Type="http://schemas.openxmlformats.org/officeDocument/2006/relationships/hyperlink" Target="https://www.thestar.com/opinion/contributors/2020/10/13/this-is-how-canada-should-deal-with-big-tech.html" TargetMode="External"/><Relationship Id="rId115" Type="http://schemas.openxmlformats.org/officeDocument/2006/relationships/hyperlink" Target="https://mcmillan.ca/insights/privacy-reform-is-on-the-table-once-more-canada-introduces-the-digital-charter-implementation-act-2022/" TargetMode="External"/><Relationship Id="rId136" Type="http://schemas.openxmlformats.org/officeDocument/2006/relationships/hyperlink" Target="https://www.businessinsider.com/deloitte-study-91-percent-agree-terms-of-service-without-reading-2017-11" TargetMode="External"/><Relationship Id="rId157" Type="http://schemas.openxmlformats.org/officeDocument/2006/relationships/hyperlink" Target="https://www.ftc.gov/news-events/news/press-releases/2023/03/ftc-finalizes-order-requiring-fortnite-maker-epic-games-pay-245-million-tricking-users-making" TargetMode="External"/><Relationship Id="rId178" Type="http://schemas.openxmlformats.org/officeDocument/2006/relationships/hyperlink" Target="http://data.europa.eu/eli/reg/2022/2065/oj" TargetMode="External"/><Relationship Id="rId301" Type="http://schemas.openxmlformats.org/officeDocument/2006/relationships/hyperlink" Target="https://www.ontariocanada.com/registry/view.do?postingId=43452&amp;language=en" TargetMode="External"/><Relationship Id="rId322" Type="http://schemas.openxmlformats.org/officeDocument/2006/relationships/hyperlink" Target="https://support.google.com/youtube/topic/2803176?hl=en&amp;ref_topic=6151248" TargetMode="External"/><Relationship Id="rId343" Type="http://schemas.openxmlformats.org/officeDocument/2006/relationships/hyperlink" Target="https://www.oecd.org/publications/the-role-of-online-marketplaces-in-protecting-and-empowering-consumers-9d8cc586-en.htm" TargetMode="External"/><Relationship Id="rId364" Type="http://schemas.openxmlformats.org/officeDocument/2006/relationships/hyperlink" Target="https://doi.org/10.1080/15332861.2014.934646" TargetMode="External"/><Relationship Id="rId61" Type="http://schemas.openxmlformats.org/officeDocument/2006/relationships/hyperlink" Target="https://arstechnica.com/information-technology/2022/04/a-year-after-apple-enforces-app-tracking-policy-covert-ios-tracking-remains/" TargetMode="External"/><Relationship Id="rId82" Type="http://schemas.openxmlformats.org/officeDocument/2006/relationships/hyperlink" Target="https://www.theguardian.com/news/2022/jul/10/uber-files-leak-reveals-global-lobbying-campaign" TargetMode="External"/><Relationship Id="rId199" Type="http://schemas.openxmlformats.org/officeDocument/2006/relationships/hyperlink" Target="https://www.ontariocanada.com/registry/view.do?postingId=43452&amp;language=en" TargetMode="External"/><Relationship Id="rId203" Type="http://schemas.openxmlformats.org/officeDocument/2006/relationships/hyperlink" Target="https://www.oecd.org/publications/enhancing-online-disclosure-effectiveness-6d7ea79c-en.htm" TargetMode="External"/><Relationship Id="rId19" Type="http://schemas.openxmlformats.org/officeDocument/2006/relationships/hyperlink" Target="https://www.vice.com/en/article/xwbg7j/online-contract-terms-of-service-are-incomprehensible-to-adults-study-finds" TargetMode="External"/><Relationship Id="rId224" Type="http://schemas.openxmlformats.org/officeDocument/2006/relationships/hyperlink" Target="https://www.law360.ca/articles/37394/facebook-privacy-decision-highlights-need-for-tech-companies-to-get-consent-from-users-lawyers-say" TargetMode="External"/><Relationship Id="rId245" Type="http://schemas.openxmlformats.org/officeDocument/2006/relationships/hyperlink" Target="https://www.oecd.org/digital/dark-commercial-patterns-44f5e846-en.htm" TargetMode="External"/><Relationship Id="rId266" Type="http://schemas.openxmlformats.org/officeDocument/2006/relationships/hyperlink" Target="https://www.nytimes.com/2022/09/05/business/meta-children-data-protection-europe.html" TargetMode="External"/><Relationship Id="rId287" Type="http://schemas.openxmlformats.org/officeDocument/2006/relationships/hyperlink" Target="https://www.pcmag.com/news/ftc-to-crack-down-on-sites-that-claim-your-data-is-anonymized-when-its?utm_source=substack&amp;utm_medium=email" TargetMode="External"/><Relationship Id="rId30" Type="http://schemas.openxmlformats.org/officeDocument/2006/relationships/hyperlink" Target="https://www.oecd.org/digital/dark-commercial-patterns-44f5e846-en.htm" TargetMode="External"/><Relationship Id="rId105" Type="http://schemas.openxmlformats.org/officeDocument/2006/relationships/hyperlink" Target="https://crtc.gc.ca/eng/phone/mobile/codesimpl.htm" TargetMode="External"/><Relationship Id="rId126" Type="http://schemas.openxmlformats.org/officeDocument/2006/relationships/hyperlink" Target="https://www.ontariocanada.com/registry/view.do?postingId=43452&amp;language=en" TargetMode="External"/><Relationship Id="rId147" Type="http://schemas.openxmlformats.org/officeDocument/2006/relationships/hyperlink" Target="https://www.oecd.org/digital/dark-commercial-patterns-44f5e846-en.htm" TargetMode="External"/><Relationship Id="rId168" Type="http://schemas.openxmlformats.org/officeDocument/2006/relationships/hyperlink" Target="https://www.theguardian.com/news/2022/jul/10/uber-files-leak-reveals-global-lobbying-campaign" TargetMode="External"/><Relationship Id="rId312" Type="http://schemas.openxmlformats.org/officeDocument/2006/relationships/hyperlink" Target="https://www.ontariocanada.com/registry/view.do?postingId=43452&amp;language=en" TargetMode="External"/><Relationship Id="rId333" Type="http://schemas.openxmlformats.org/officeDocument/2006/relationships/hyperlink" Target="https://www.theguardian.com/commentisfree/2021/apr/14/facebook-has-beefed-up-its-oversight-board-but-any-new-powers-are-illusory" TargetMode="External"/><Relationship Id="rId354" Type="http://schemas.openxmlformats.org/officeDocument/2006/relationships/hyperlink" Target="https://cccshop.consumerscouncil.com/ca/Consumer-Representation/c/3214/Super-Complainers-Greater-Public-Inclusiveness-in-Government-Consumer-Complaint-Handling-%5bEPUB%5d/p/139702" TargetMode="External"/><Relationship Id="rId51" Type="http://schemas.openxmlformats.org/officeDocument/2006/relationships/hyperlink" Target="https://www.foxbusiness.com/technology/canadian-man-says-tesla-locked-out-until-changes-battery" TargetMode="External"/><Relationship Id="rId72" Type="http://schemas.openxmlformats.org/officeDocument/2006/relationships/hyperlink" Target="https://arstechnica.com/tech-policy/2022/11/sneaky-ways-cops-could-access-data-to-widely-prosecute-abortions-in-the-us/" TargetMode="External"/><Relationship Id="rId93" Type="http://schemas.openxmlformats.org/officeDocument/2006/relationships/hyperlink" Target="https://www.priv.gc.ca/en/opc-actions-and-decisions/investigations/investigations-into-businesses/2022/pipeda-2022-001/" TargetMode="External"/><Relationship Id="rId189" Type="http://schemas.openxmlformats.org/officeDocument/2006/relationships/hyperlink" Target="https://www.ftc.gov/news-events/news/press-releases/2023/03/ftc-finalizes-order-requiring-fortnite-maker-epic-games-pay-245-million-tricking-users-making" TargetMode="External"/><Relationship Id="rId375" Type="http://schemas.openxmlformats.org/officeDocument/2006/relationships/hyperlink" Target="https://www.canlii.org/en/ca/scc/doc/2020/2020scc19/2020scc19.html" TargetMode="External"/><Relationship Id="rId3" Type="http://schemas.openxmlformats.org/officeDocument/2006/relationships/hyperlink" Target="https://www.ontario.ca/laws/statute/02c30" TargetMode="External"/><Relationship Id="rId214" Type="http://schemas.openxmlformats.org/officeDocument/2006/relationships/hyperlink" Target="https://techcrunch.com/2021/02/17/facebook-fined-again-in-italy-for-misleading-users-over-what-it-does-with-their-data/" TargetMode="External"/><Relationship Id="rId235" Type="http://schemas.openxmlformats.org/officeDocument/2006/relationships/hyperlink" Target="https://www.oecd.org/digital/dark-commercial-patterns-44f5e846-en.htm" TargetMode="External"/><Relationship Id="rId256" Type="http://schemas.openxmlformats.org/officeDocument/2006/relationships/hyperlink" Target="https://www.eurogamer.net/18-european-countries-call-for-better-regulation-of-loot-boxes-following-new-report" TargetMode="External"/><Relationship Id="rId277" Type="http://schemas.openxmlformats.org/officeDocument/2006/relationships/hyperlink" Target="https://www.ontariocanada.com/registry/view.do?postingId=43452&amp;language=en" TargetMode="External"/><Relationship Id="rId298" Type="http://schemas.openxmlformats.org/officeDocument/2006/relationships/hyperlink" Target="https://www.ftc.gov/news-events/news/press-releases/2023/03/ftc-finalizes-order-requiring-fortnite-maker-epic-games-pay-245-million-tricking-users-making" TargetMode="External"/><Relationship Id="rId116" Type="http://schemas.openxmlformats.org/officeDocument/2006/relationships/hyperlink" Target="https://teresascassa.ca/index.php?option=com_k2&amp;view=item&amp;id=355:bill-c-27%E2%80%99s-take-on-consent-a-mixed-review&amp;Itemid=80" TargetMode="External"/><Relationship Id="rId137" Type="http://schemas.openxmlformats.org/officeDocument/2006/relationships/hyperlink" Target="https://www.theguardian.com/technology/2017/mar/03/terms-of-service-online-contracts-fine-print" TargetMode="External"/><Relationship Id="rId158" Type="http://schemas.openxmlformats.org/officeDocument/2006/relationships/hyperlink" Target="https://www.ftc.gov/news-events/news/press-releases/2023/03/ftc-finalizes-order-requiring-fortnite-maker-epic-games-pay-245-million-tricking-users-making" TargetMode="External"/><Relationship Id="rId302" Type="http://schemas.openxmlformats.org/officeDocument/2006/relationships/hyperlink" Target="https://ec.europa.eu/info/law/law-topic/consumer-protection-law/unfair-commercial-practices-law/unfair-commercial-practices-directive_en" TargetMode="External"/><Relationship Id="rId323" Type="http://schemas.openxmlformats.org/officeDocument/2006/relationships/hyperlink" Target="https://arstechnica.com/gadgets/2021/02/terraria-developer-cancels-google-stadia-port-after-youtube-account-ban/" TargetMode="External"/><Relationship Id="rId344" Type="http://schemas.openxmlformats.org/officeDocument/2006/relationships/hyperlink" Target="https://www.oecd.org/publications/the-role-of-online-marketplaces-in-protecting-and-empowering-consumers-9d8cc586-en.htm" TargetMode="External"/><Relationship Id="rId20" Type="http://schemas.openxmlformats.org/officeDocument/2006/relationships/hyperlink" Target="https://papers.ssrn.com/sol3/papers.cfm?abstract_id=3313837" TargetMode="External"/><Relationship Id="rId41" Type="http://schemas.openxmlformats.org/officeDocument/2006/relationships/hyperlink" Target="https://www.oecd.org/digital/dark-commercial-patterns-44f5e846-en.htm" TargetMode="External"/><Relationship Id="rId62" Type="http://schemas.openxmlformats.org/officeDocument/2006/relationships/hyperlink" Target="https://mashable.com/article/apple-data-privacy-collection-lawsuit" TargetMode="External"/><Relationship Id="rId83" Type="http://schemas.openxmlformats.org/officeDocument/2006/relationships/hyperlink" Target="https://appleinsider.com/articles/21/04/20/man-sues-apple-for-terminating-apple-id-with-24k-worth-of-content" TargetMode="External"/><Relationship Id="rId179" Type="http://schemas.openxmlformats.org/officeDocument/2006/relationships/hyperlink" Target="https://eur-lex.europa.eu/EN/legal-content/summary/consumer-information-right-of-withdrawal-and-other-consumer-rights.html" TargetMode="External"/><Relationship Id="rId365" Type="http://schemas.openxmlformats.org/officeDocument/2006/relationships/hyperlink" Target="https://link.springer.com/chapter/10.1007/978-3-030-02499-4_2" TargetMode="External"/><Relationship Id="rId190" Type="http://schemas.openxmlformats.org/officeDocument/2006/relationships/hyperlink" Target="https://www.ftc.gov/news-events/news/press-releases/2022/12/fortnite-video-game-maker-epic-games-pay-more-half-billion-dollars-over-ftc-allegations" TargetMode="External"/><Relationship Id="rId204" Type="http://schemas.openxmlformats.org/officeDocument/2006/relationships/hyperlink" Target="https://www.oecd.org/publications/enhancing-online-disclosure-effectiveness-6d7ea79c-en.htm" TargetMode="External"/><Relationship Id="rId225" Type="http://schemas.openxmlformats.org/officeDocument/2006/relationships/hyperlink" Target="https://www.priv.gc.ca/en/opc-actions-and-decisions/investigations/investigations-into-businesses/2022/pipeda-2022-001/" TargetMode="External"/><Relationship Id="rId246" Type="http://schemas.openxmlformats.org/officeDocument/2006/relationships/hyperlink" Target="https://www.oecd.org/digital/dark-commercial-patterns-44f5e846-en.htm" TargetMode="External"/><Relationship Id="rId267" Type="http://schemas.openxmlformats.org/officeDocument/2006/relationships/hyperlink" Target="https://www.theguardian.com/technology/2022/sep/05/instagram-owner-meta-fined-405m-over-handling-of-teens-data" TargetMode="External"/><Relationship Id="rId288" Type="http://schemas.openxmlformats.org/officeDocument/2006/relationships/hyperlink" Target="https://www.parl.ca/DocumentViewer/en/44-1/bill/C-27/first-reading" TargetMode="External"/><Relationship Id="rId106" Type="http://schemas.openxmlformats.org/officeDocument/2006/relationships/hyperlink" Target="https://ised-isde.canada.ca/site/office-consumer-affairs/en/federal-consumer-protection-legislation-canada" TargetMode="External"/><Relationship Id="rId127" Type="http://schemas.openxmlformats.org/officeDocument/2006/relationships/hyperlink" Target="https://www.ontariocanada.com/registry/view.do?postingId=43452&amp;language=en" TargetMode="External"/><Relationship Id="rId313" Type="http://schemas.openxmlformats.org/officeDocument/2006/relationships/hyperlink" Target="https://www.ontariocanada.com/registry/view.do?postingId=43452&amp;language=en" TargetMode="External"/><Relationship Id="rId10" Type="http://schemas.openxmlformats.org/officeDocument/2006/relationships/hyperlink" Target="https://www.ontariocanada.com/registry/view.do?language=en&amp;postingId=35387" TargetMode="External"/><Relationship Id="rId31" Type="http://schemas.openxmlformats.org/officeDocument/2006/relationships/hyperlink" Target="https://www.ftc.gov/news-events/news/press-releases/2022/09/ftc-report-shows-rise-sophisticated-dark-patterns-designed-trick-trap-consumers" TargetMode="External"/><Relationship Id="rId52" Type="http://schemas.openxmlformats.org/officeDocument/2006/relationships/hyperlink" Target="https://www.apple.com/legal/internet-services/itunes/" TargetMode="External"/><Relationship Id="rId73" Type="http://schemas.openxmlformats.org/officeDocument/2006/relationships/hyperlink" Target="https://tosdr.org/" TargetMode="External"/><Relationship Id="rId94" Type="http://schemas.openxmlformats.org/officeDocument/2006/relationships/hyperlink" Target="https://www.priv.gc.ca/en/opc-actions-and-decisions/investigations/investigations-into-businesses/2022/pipeda-2022-001/" TargetMode="External"/><Relationship Id="rId148" Type="http://schemas.openxmlformats.org/officeDocument/2006/relationships/hyperlink" Target="https://www.oecd.org/digital/dark-commercial-patterns-44f5e846-en.htm" TargetMode="External"/><Relationship Id="rId169" Type="http://schemas.openxmlformats.org/officeDocument/2006/relationships/hyperlink" Target="https://www.law360.ca/articles/37394/facebook-privacy-decision-highlights-need-for-tech-companies-to-get-consent-from-users-lawyers-say" TargetMode="External"/><Relationship Id="rId334" Type="http://schemas.openxmlformats.org/officeDocument/2006/relationships/hyperlink" Target="https://carrcenter.hks.harvard.edu/files/cchr/files/facebook_oversight_board.pdf" TargetMode="External"/><Relationship Id="rId355" Type="http://schemas.openxmlformats.org/officeDocument/2006/relationships/hyperlink" Target="https://cccshop.consumerscouncil.com/ca/Consumer-Representation/c/3214/Super-Complainers-Greater-Public-Inclusiveness-in-Government-Consumer-Complaint-Handling-%5bEPUB%5d/p/139702" TargetMode="External"/><Relationship Id="rId376" Type="http://schemas.openxmlformats.org/officeDocument/2006/relationships/hyperlink" Target="https://www.fasken.com/en/knowledge/2020/08/5-supreme-court-tightens-rules-for-disgorgement-or-gain-based-remedies" TargetMode="External"/><Relationship Id="rId4" Type="http://schemas.openxmlformats.org/officeDocument/2006/relationships/hyperlink" Target="https://commission.europa.eu/strategy-and-policy/policies/consumers/consumer-protection-policy/consumer-strategy_en" TargetMode="External"/><Relationship Id="rId180" Type="http://schemas.openxmlformats.org/officeDocument/2006/relationships/hyperlink" Target="https://ec.europa.eu/commission/presscorner/detail/en/ip_22_6423" TargetMode="External"/><Relationship Id="rId215" Type="http://schemas.openxmlformats.org/officeDocument/2006/relationships/hyperlink" Target="https://mattstoller.substack.com/p/amazon-primes-free-shipping-promise" TargetMode="External"/><Relationship Id="rId236" Type="http://schemas.openxmlformats.org/officeDocument/2006/relationships/hyperlink" Target="https://www.oecd.org/digital/dark-commercial-patterns-44f5e846-en.htm" TargetMode="External"/><Relationship Id="rId257" Type="http://schemas.openxmlformats.org/officeDocument/2006/relationships/hyperlink" Target="https://fil.forbrukerradet.no/wp-content/uploads/2022/05/2022-05-31-insert-coin-publish.pdf" TargetMode="External"/><Relationship Id="rId278" Type="http://schemas.openxmlformats.org/officeDocument/2006/relationships/hyperlink" Target="https://www.ontariocanada.com/registry/view.do?postingId=43452&amp;language=en" TargetMode="External"/><Relationship Id="rId303" Type="http://schemas.openxmlformats.org/officeDocument/2006/relationships/hyperlink" Target="https://eur-lex.europa.eu/legal-content/EN/TXT/HTML/?uri=CELEX:52021XC1229(05)" TargetMode="External"/><Relationship Id="rId42" Type="http://schemas.openxmlformats.org/officeDocument/2006/relationships/hyperlink" Target="https://www.yalelawjournal.org/note/amazons-antitrust-paradox" TargetMode="External"/><Relationship Id="rId84" Type="http://schemas.openxmlformats.org/officeDocument/2006/relationships/hyperlink" Target="https://9to5mac.com/2021/10/20/itunes-purchased-content-removal/" TargetMode="External"/><Relationship Id="rId138" Type="http://schemas.openxmlformats.org/officeDocument/2006/relationships/hyperlink" Target="https://www.vice.com/en/article/xwbg7j/online-contract-terms-of-service-are-incomprehensible-to-adults-study-finds" TargetMode="External"/><Relationship Id="rId345" Type="http://schemas.openxmlformats.org/officeDocument/2006/relationships/hyperlink" Target="https://www.legislation.gov.uk/ukpga/2015/15/contents/enacted" TargetMode="External"/><Relationship Id="rId191" Type="http://schemas.openxmlformats.org/officeDocument/2006/relationships/hyperlink" Target="https://www.bankofcanada.ca/rates/related/inflation-calculator/" TargetMode="External"/><Relationship Id="rId205" Type="http://schemas.openxmlformats.org/officeDocument/2006/relationships/hyperlink" Target="https://ec.europa.eu/info/law/law-topic/consumer-protection-law/unfair-commercial-practices-law/unfair-commercial-practices-directive_en" TargetMode="External"/><Relationship Id="rId247" Type="http://schemas.openxmlformats.org/officeDocument/2006/relationships/hyperlink" Target="https://www.ncbi.nlm.nih.gov/pmc/articles/PMC8103294/" TargetMode="External"/><Relationship Id="rId107" Type="http://schemas.openxmlformats.org/officeDocument/2006/relationships/hyperlink" Target="https://www.ontario.ca/page/consumer-protection-laws-ontario" TargetMode="External"/><Relationship Id="rId289" Type="http://schemas.openxmlformats.org/officeDocument/2006/relationships/hyperlink" Target="http://www.teresascassa.ca/index.php?option=com_k2&amp;view=item&amp;id=356:anonymization-and-de-identification-in-bill-c-27&amp;Itemid=80" TargetMode="External"/><Relationship Id="rId11" Type="http://schemas.openxmlformats.org/officeDocument/2006/relationships/hyperlink" Target="https://www.oecd.org/publications/the-role-of-online-marketplaces-in-protecting-and-empowering-consumers-9d8cc586-en.htm" TargetMode="External"/><Relationship Id="rId53" Type="http://schemas.openxmlformats.org/officeDocument/2006/relationships/hyperlink" Target="https://option-consommateurs.org/en/social-media-posts-children-risks/" TargetMode="External"/><Relationship Id="rId149" Type="http://schemas.openxmlformats.org/officeDocument/2006/relationships/hyperlink" Target="https://www.oecd.org/digital/dark-commercial-patterns-44f5e846-en.htm" TargetMode="External"/><Relationship Id="rId314" Type="http://schemas.openxmlformats.org/officeDocument/2006/relationships/hyperlink" Target="https://www.ontariocanada.com/registry/view.do?postingId=43452&amp;language=en" TargetMode="External"/><Relationship Id="rId356" Type="http://schemas.openxmlformats.org/officeDocument/2006/relationships/hyperlink" Target="https://cccshop.consumerscouncil.com/ca/Consumer-Representation/c/3214/Super-Complainers-Greater-Public-Inclusiveness-in-Government-Consumer-Complaint-Handling-%5bEPUB%5d/p/139702" TargetMode="External"/><Relationship Id="rId95" Type="http://schemas.openxmlformats.org/officeDocument/2006/relationships/hyperlink" Target="https://financialpost.com/technology/tim-hortons-app-tracking-customers-intimate-data" TargetMode="External"/><Relationship Id="rId160" Type="http://schemas.openxmlformats.org/officeDocument/2006/relationships/hyperlink" Target="https://www.theguardian.com/technology/2022/jan/06/france-fines-google-and-facebook-210m-over-user-tracking-cookies" TargetMode="External"/><Relationship Id="rId216" Type="http://schemas.openxmlformats.org/officeDocument/2006/relationships/hyperlink" Target="https://arstechnica.com/gadgets/2022/02/google-sued-for-e2-1-billion-by-shopping-rival-for-unfair-search-placement/" TargetMode="External"/><Relationship Id="rId258" Type="http://schemas.openxmlformats.org/officeDocument/2006/relationships/hyperlink" Target="https://priv.gc.ca/en/privacy-topics/collecting-personal-information/consent/gl_omc_201805/" TargetMode="External"/><Relationship Id="rId22" Type="http://schemas.openxmlformats.org/officeDocument/2006/relationships/hyperlink" Target="https://tosdr.org/" TargetMode="External"/><Relationship Id="rId64" Type="http://schemas.openxmlformats.org/officeDocument/2006/relationships/hyperlink" Target="https://www.priv.gc.ca/en/opc-actions-and-decisions/investigations/investigations-into-businesses/2022/pipeda-2022-001/" TargetMode="External"/><Relationship Id="rId118" Type="http://schemas.openxmlformats.org/officeDocument/2006/relationships/hyperlink" Target="https://www.ontariocanada.com/registry/view.do?language=en&amp;postingId=35387" TargetMode="External"/><Relationship Id="rId325" Type="http://schemas.openxmlformats.org/officeDocument/2006/relationships/hyperlink" Target="https://www.ontario.ca/page/how-we-address-consumer-complaints" TargetMode="External"/><Relationship Id="rId367" Type="http://schemas.openxmlformats.org/officeDocument/2006/relationships/hyperlink" Target="https://www.oecd.org/publications/enhancing-online-disclosure-effectiveness-6d7ea79c-en.htm" TargetMode="External"/><Relationship Id="rId171" Type="http://schemas.openxmlformats.org/officeDocument/2006/relationships/hyperlink" Target="https://www.cbc.ca/news/canada/montreal/fortnite-class-action-1.6678687" TargetMode="External"/><Relationship Id="rId227" Type="http://schemas.openxmlformats.org/officeDocument/2006/relationships/hyperlink" Target="https://www.priv.gc.ca/en/opc-actions-and-decisions/investigations/investigations-into-businesses/2022/pipeda-2022-001/" TargetMode="External"/><Relationship Id="rId269" Type="http://schemas.openxmlformats.org/officeDocument/2006/relationships/hyperlink" Target="https://www.gov.uk/government/publications/online-safety-bill-supporting-documents/online-safety-bill-factsheet" TargetMode="External"/><Relationship Id="rId33" Type="http://schemas.openxmlformats.org/officeDocument/2006/relationships/hyperlink" Target="https://www.ftc.gov/news-events/news/press-releases/2023/03/ftc-finalizes-order-requiring-fortnite-maker-epic-games-pay-245-million-tricking-users-making" TargetMode="External"/><Relationship Id="rId129" Type="http://schemas.openxmlformats.org/officeDocument/2006/relationships/hyperlink" Target="https://www.ontariocanada.com/registry/view.do?postingId=43452&amp;language=en" TargetMode="External"/><Relationship Id="rId280" Type="http://schemas.openxmlformats.org/officeDocument/2006/relationships/hyperlink" Target="https://arstechnica.com/tech-policy/2021/08/zoom-to-pay-85m-for-lying-about-encryption-and-sending-data-to-facebook-and-google/" TargetMode="External"/><Relationship Id="rId336" Type="http://schemas.openxmlformats.org/officeDocument/2006/relationships/hyperlink" Target="https://www.theguardian.com/commentisfree/2021/apr/14/facebook-has-beefed-up-its-oversight-board-but-any-new-powers-are-illusory" TargetMode="External"/><Relationship Id="rId75" Type="http://schemas.openxmlformats.org/officeDocument/2006/relationships/hyperlink" Target="https://www.dentons.com/en/insights/articles/2022/july/21/the-regulatory-landscape-surrounding-the-use-of-bot-technologies" TargetMode="External"/><Relationship Id="rId140" Type="http://schemas.openxmlformats.org/officeDocument/2006/relationships/hyperlink" Target="https://papers.ssrn.com/sol3/papers.cfm?abstract_id=2757465" TargetMode="External"/><Relationship Id="rId182" Type="http://schemas.openxmlformats.org/officeDocument/2006/relationships/hyperlink" Target="https://www.gov.uk/government/publications/online-safety-bill-supporting-documents/online-safety-bill-factsheet" TargetMode="External"/><Relationship Id="rId378" Type="http://schemas.openxmlformats.org/officeDocument/2006/relationships/hyperlink" Target="https://www.oecd.org/digital/dark-commercial-patterns-44f5e846-en.htm" TargetMode="External"/><Relationship Id="rId6" Type="http://schemas.openxmlformats.org/officeDocument/2006/relationships/hyperlink" Target="https://www.ontariocanada.com/registry/view.do?language=en&amp;postingId=35387" TargetMode="External"/><Relationship Id="rId238" Type="http://schemas.openxmlformats.org/officeDocument/2006/relationships/hyperlink" Target="https://www.oecd.org/digital/dark-commercial-patterns-44f5e846-en.htm" TargetMode="External"/><Relationship Id="rId291" Type="http://schemas.openxmlformats.org/officeDocument/2006/relationships/hyperlink" Target="https://decisions.scc-csc.ca/scc-csc/scc-csc/en/item/18406/index.do" TargetMode="External"/><Relationship Id="rId305" Type="http://schemas.openxmlformats.org/officeDocument/2006/relationships/hyperlink" Target="https://www.oecd.org/sti/consumer/38960101.pdf" TargetMode="External"/><Relationship Id="rId347" Type="http://schemas.openxmlformats.org/officeDocument/2006/relationships/hyperlink" Target="https://www.legislation.gov.uk/ukpga/2015/15/notes/division/3/3/2/2/3" TargetMode="External"/><Relationship Id="rId44" Type="http://schemas.openxmlformats.org/officeDocument/2006/relationships/hyperlink" Target="https://www.yorku.ca/research/its/wp-content/uploads/sites/728/2023/02/ITS-Policy-Report-01-2023-Rethinking-Competition-d2-2.pdf" TargetMode="External"/><Relationship Id="rId86" Type="http://schemas.openxmlformats.org/officeDocument/2006/relationships/hyperlink" Target="https://www.forbes.com/sites/adamtanner/2014/03/26/different-customers-different-prices-thanks-to-big-data/?sh=4728dbf05730" TargetMode="External"/><Relationship Id="rId151" Type="http://schemas.openxmlformats.org/officeDocument/2006/relationships/hyperlink" Target="https://www.oecd.org/digital/dark-commercial-patterns-44f5e846-en.htm" TargetMode="External"/><Relationship Id="rId193" Type="http://schemas.openxmlformats.org/officeDocument/2006/relationships/hyperlink" Target="https://www.ontariocanada.com/registry/view.do?postingId=43452&amp;language=en" TargetMode="External"/><Relationship Id="rId207" Type="http://schemas.openxmlformats.org/officeDocument/2006/relationships/hyperlink" Target="https://ec.europa.eu/info/law/law-topic/consumer-protection-law/unfair-commercial-practices-law/unfair-commercial-practices-directive_en" TargetMode="External"/><Relationship Id="rId249" Type="http://schemas.openxmlformats.org/officeDocument/2006/relationships/hyperlink" Target="https://www.oecd.org/digital/challenges-to-consumer-policy-in-the-digital-age.pdf" TargetMode="External"/><Relationship Id="rId13" Type="http://schemas.openxmlformats.org/officeDocument/2006/relationships/hyperlink" Target="https://www.businessinsider.com/deloitte-study-91-percent-agree-terms-of-service-without-reading-2017-11" TargetMode="External"/><Relationship Id="rId109" Type="http://schemas.openxmlformats.org/officeDocument/2006/relationships/hyperlink" Target="https://forms.mgcs.gov.on.ca/en/dataset/047-2229" TargetMode="External"/><Relationship Id="rId260" Type="http://schemas.openxmlformats.org/officeDocument/2006/relationships/hyperlink" Target="https://www.ftc.gov/news-events/news/press-releases/2023/03/ftc-finalizes-order-requiring-fortnite-maker-epic-games-pay-245-million-tricking-users-making" TargetMode="External"/><Relationship Id="rId316" Type="http://schemas.openxmlformats.org/officeDocument/2006/relationships/hyperlink" Target="https://ec.europa.eu/info/strategy/priorities-2019-2024/europe-fit-digital-age/digital-services-act-ensuring-safe-and-accountable-online-environment/europe-fit-digital-age-new-online-rules-users_en" TargetMode="External"/><Relationship Id="rId55" Type="http://schemas.openxmlformats.org/officeDocument/2006/relationships/hyperlink" Target="https://www.theguardian.com/technology/2021/sep/29/facebook-hearing-latest-children-impact" TargetMode="External"/><Relationship Id="rId97" Type="http://schemas.openxmlformats.org/officeDocument/2006/relationships/hyperlink" Target="https://www.priv.gc.ca/en/opc-actions-and-decisions/investigations/investigations-into-businesses/2022/pipeda-2022-001/" TargetMode="External"/><Relationship Id="rId120" Type="http://schemas.openxmlformats.org/officeDocument/2006/relationships/hyperlink" Target="https://www.ontariocanada.com/registry/view.do?language=en&amp;postingId=35387" TargetMode="External"/><Relationship Id="rId358" Type="http://schemas.openxmlformats.org/officeDocument/2006/relationships/hyperlink" Target="https://leginfo.legislature.ca.gov/faces/billTextClient.xhtml?bill_id=202120220AB587" TargetMode="External"/><Relationship Id="rId162" Type="http://schemas.openxmlformats.org/officeDocument/2006/relationships/hyperlink" Target="https://techcrunch.com/2021/11/26/agcm-fines-apple-google/" TargetMode="External"/><Relationship Id="rId218" Type="http://schemas.openxmlformats.org/officeDocument/2006/relationships/hyperlink" Target="https://www.bccourts.ca/jdb-txt/sc/22/09/2022BCSC0914.htm" TargetMode="External"/><Relationship Id="rId271" Type="http://schemas.openxmlformats.org/officeDocument/2006/relationships/hyperlink" Target="https://www.nytimes.com/2022/08/30/business/california-children-online-safety.html" TargetMode="External"/><Relationship Id="rId24" Type="http://schemas.openxmlformats.org/officeDocument/2006/relationships/hyperlink" Target="https://www.oecd.org/digital/dark-commercial-patterns-44f5e846-en.htm" TargetMode="External"/><Relationship Id="rId66" Type="http://schemas.openxmlformats.org/officeDocument/2006/relationships/hyperlink" Target="http://www.teresascassa.ca/index.php?option=com_k2&amp;view=item&amp;id=356:anonymization-and-de-identification-in-bill-c-27&amp;Itemid=80" TargetMode="External"/><Relationship Id="rId131" Type="http://schemas.openxmlformats.org/officeDocument/2006/relationships/hyperlink" Target="https://www.vice.com/en/article/xwbg7j/online-contract-terms-of-service-are-incomprehensible-to-adults-study-finds" TargetMode="External"/><Relationship Id="rId327" Type="http://schemas.openxmlformats.org/officeDocument/2006/relationships/hyperlink" Target="https://www.oecd.org/publications/the-role-of-online-marketplaces-in-protecting-and-empowering-consumers-9d8cc586-en.htm" TargetMode="External"/><Relationship Id="rId369" Type="http://schemas.openxmlformats.org/officeDocument/2006/relationships/hyperlink" Target="https://www.oecd.org/publications/enhancing-online-disclosure-effectiveness-6d7ea79c-en.htm" TargetMode="External"/><Relationship Id="rId173" Type="http://schemas.openxmlformats.org/officeDocument/2006/relationships/hyperlink" Target="https://www.ola.org/en/legislative-business/house-documents/parliament-37/session-3/2002-09-26/hansard" TargetMode="External"/><Relationship Id="rId229" Type="http://schemas.openxmlformats.org/officeDocument/2006/relationships/hyperlink" Target="https://www.ontario.ca/laws/statute/s22007" TargetMode="External"/><Relationship Id="rId380" Type="http://schemas.openxmlformats.org/officeDocument/2006/relationships/hyperlink" Target="https://www.ftc.gov/system/files/documents/reports/data-brokers-call-transparency-accountability-report-federal-trade-commission-may-2014/140527databrokerreport.pdf" TargetMode="External"/><Relationship Id="rId240" Type="http://schemas.openxmlformats.org/officeDocument/2006/relationships/hyperlink" Target="https://data.europa.eu/doi/10.2838/859030" TargetMode="External"/><Relationship Id="rId35" Type="http://schemas.openxmlformats.org/officeDocument/2006/relationships/hyperlink" Target="https://www.ftc.gov/news-events/news/press-releases/2023/03/ftc-finalizes-order-requiring-fortnite-maker-epic-games-pay-245-million-tricking-users-making" TargetMode="External"/><Relationship Id="rId77" Type="http://schemas.openxmlformats.org/officeDocument/2006/relationships/hyperlink" Target="https://www.washingtonpost.com/technology/2018/07/06/twitter-is-sweeping-out-fake-accounts-like-never-before-putting-user-growth-risk/" TargetMode="External"/><Relationship Id="rId100" Type="http://schemas.openxmlformats.org/officeDocument/2006/relationships/hyperlink" Target="https://www.theverge.com/2022/8/1/23286824/tim-hortons-location-tracking-proposed-class-action-settlement-data-privacy-coffee-donut" TargetMode="External"/><Relationship Id="rId282" Type="http://schemas.openxmlformats.org/officeDocument/2006/relationships/hyperlink" Target="https://www.teresascassa.ca/index.php?option=com_k2&amp;view=item&amp;id=356:anonymization-and-de-identification-in-bill-c-27&amp;Itemid=80" TargetMode="External"/><Relationship Id="rId338" Type="http://schemas.openxmlformats.org/officeDocument/2006/relationships/hyperlink" Target="https://www.oecd.org/publications/the-role-of-online-marketplaces-in-protecting-and-empowering-consumers-9d8cc586-en.htm" TargetMode="External"/><Relationship Id="rId8" Type="http://schemas.openxmlformats.org/officeDocument/2006/relationships/hyperlink" Target="https://www.ontariocanada.com/registry/view.do?postingId=43452&amp;language=en" TargetMode="External"/><Relationship Id="rId142" Type="http://schemas.openxmlformats.org/officeDocument/2006/relationships/hyperlink" Target="https://www.oecd.org/publications/enhancing-online-disclosure-effectiveness-6d7ea79c-en.htm" TargetMode="External"/><Relationship Id="rId184" Type="http://schemas.openxmlformats.org/officeDocument/2006/relationships/hyperlink" Target="https://ec.europa.eu/info/law/law-topic/consumer-protection-law/unfair-commercial-practices-law/unfair-commercial-practices-directive_en" TargetMode="External"/><Relationship Id="rId251" Type="http://schemas.openxmlformats.org/officeDocument/2006/relationships/hyperlink" Target="https://www.nytimes.com/interactive/2019/06/12/opinion/facebook-google-privacy-policies.html" TargetMode="External"/><Relationship Id="rId46" Type="http://schemas.openxmlformats.org/officeDocument/2006/relationships/hyperlink" Target="https://www.dtnpf.com/agriculture/web/ag/equipment/article/2022/03/02/john-deere-faces-growing-list-right" TargetMode="External"/><Relationship Id="rId293" Type="http://schemas.openxmlformats.org/officeDocument/2006/relationships/hyperlink" Target="https://decisions.scc-csc.ca/scc-csc/scc-csc/en/item/18406/index.do" TargetMode="External"/><Relationship Id="rId307" Type="http://schemas.openxmlformats.org/officeDocument/2006/relationships/hyperlink" Target="http://www.cfcj-fcjc.org/sites/default/files/Paths%20to%20Justice%20and%20the%20Resolution%20of%20Consumer%20Problems.pdf" TargetMode="External"/><Relationship Id="rId349" Type="http://schemas.openxmlformats.org/officeDocument/2006/relationships/hyperlink" Target="https://playstationyouoweus.co.uk/" TargetMode="External"/><Relationship Id="rId88" Type="http://schemas.openxmlformats.org/officeDocument/2006/relationships/hyperlink" Target="https://www.priv.gc.ca/en/opc-actions-and-decisions/investigations/investigations-into-businesses/2022/pipeda-2022-001/" TargetMode="External"/><Relationship Id="rId111" Type="http://schemas.openxmlformats.org/officeDocument/2006/relationships/hyperlink" Target="https://www.csagroup.org/testing-certification/certification/" TargetMode="External"/><Relationship Id="rId153" Type="http://schemas.openxmlformats.org/officeDocument/2006/relationships/hyperlink" Target="https://www.oecd.org/digital/dark-commercial-patterns-44f5e846-en.htm" TargetMode="External"/><Relationship Id="rId195" Type="http://schemas.openxmlformats.org/officeDocument/2006/relationships/hyperlink" Target="https://www.consumerfinance.gov/rules-policy/notice-opportunities-comment/open-notices/registry-of-supervised-nonbanks-that-use-form-contracts-to-impose-terms-and-conditions-that-seek-to-waive-or-limit-consumer-legal-protections/" TargetMode="External"/><Relationship Id="rId209" Type="http://schemas.openxmlformats.org/officeDocument/2006/relationships/hyperlink" Target="https://www.ftc.gov/business-guidance/blog/2022/05/twitter-pay-150-million-penalty-allegedly-breaking-its-privacy-promises-again" TargetMode="External"/><Relationship Id="rId360" Type="http://schemas.openxmlformats.org/officeDocument/2006/relationships/hyperlink" Target="https://www.consumerfinance.gov/rules-policy/notice-opportunities-comment/open-notices/registry-of-supervised-nonbanks-that-use-form-contracts-to-impose-terms-and-conditions-that-seek-to-waive-or-limit-consumer-legal-protections/" TargetMode="External"/><Relationship Id="rId220" Type="http://schemas.openxmlformats.org/officeDocument/2006/relationships/hyperlink" Target="https://www.bccourts.ca/jdb-txt/sc/22/09/2022BCSC0914.htm" TargetMode="External"/><Relationship Id="rId15" Type="http://schemas.openxmlformats.org/officeDocument/2006/relationships/hyperlink" Target="https://www.nytimes.com/2021/01/23/opinion/sunday/online-terms-of-service.html" TargetMode="External"/><Relationship Id="rId57" Type="http://schemas.openxmlformats.org/officeDocument/2006/relationships/hyperlink" Target="https://www.commerce.senate.gov/2021/9/protecting-kids-online-facebook-instagram-and-mental-health-harms" TargetMode="External"/><Relationship Id="rId262" Type="http://schemas.openxmlformats.org/officeDocument/2006/relationships/hyperlink" Target="https://www.nytimes.com/2023/05/23/well/family/social-media-mental-health-surgeon-general.html" TargetMode="External"/><Relationship Id="rId318" Type="http://schemas.openxmlformats.org/officeDocument/2006/relationships/hyperlink" Target="https://www.tubics.com/blog/number-of-youtube-channels" TargetMode="External"/><Relationship Id="rId99" Type="http://schemas.openxmlformats.org/officeDocument/2006/relationships/hyperlink" Target="https://www.thestar.com/business/opinion/2022/08/08/the-price-of-privacy-adds-up-to-more-than-a-coffee-and-a-doughnut.html" TargetMode="External"/><Relationship Id="rId122" Type="http://schemas.openxmlformats.org/officeDocument/2006/relationships/hyperlink" Target="https://www.ontariocanada.com/registry/view.do?postingId=43452&amp;language=en" TargetMode="External"/><Relationship Id="rId164" Type="http://schemas.openxmlformats.org/officeDocument/2006/relationships/hyperlink" Target="https://www.agcm.it/dotcmsdoc/allegati-news/PS11147%20chiusura_estratto.pdf" TargetMode="External"/><Relationship Id="rId371" Type="http://schemas.openxmlformats.org/officeDocument/2006/relationships/hyperlink" Target="https://www.canlii.org/en/ca/scc/doc/2004/2004scc34/2004scc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CEC3364ED4346B160B5F004FCD2B0" ma:contentTypeVersion="0" ma:contentTypeDescription="Create a new document." ma:contentTypeScope="" ma:versionID="51830ee26441dbeaa5dc8c42b408c9e3">
  <xsd:schema xmlns:xsd="http://www.w3.org/2001/XMLSchema" xmlns:xs="http://www.w3.org/2001/XMLSchema" xmlns:p="http://schemas.microsoft.com/office/2006/metadata/properties" targetNamespace="http://schemas.microsoft.com/office/2006/metadata/properties" ma:root="true" ma:fieldsID="5fb3bc800bddd6bc61c925646b33c3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6CD17-EC2B-4206-8704-93802114A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73308-EB68-4088-BFB0-1C476501C275}">
  <ds:schemaRefs>
    <ds:schemaRef ds:uri="http://schemas.openxmlformats.org/officeDocument/2006/bibliography"/>
  </ds:schemaRefs>
</ds:datastoreItem>
</file>

<file path=customXml/itemProps3.xml><?xml version="1.0" encoding="utf-8"?>
<ds:datastoreItem xmlns:ds="http://schemas.openxmlformats.org/officeDocument/2006/customXml" ds:itemID="{0266F973-D781-44D9-B702-3AB763CB8E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4C445-4E97-4ADD-9868-861F2619D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121</Pages>
  <Words>37164</Words>
  <Characters>211835</Characters>
  <Application>Microsoft Office Word</Application>
  <DocSecurity>8</DocSecurity>
  <Lines>1765</Lines>
  <Paragraphs>497</Paragraphs>
  <ScaleCrop>false</ScaleCrop>
  <HeadingPairs>
    <vt:vector size="2" baseType="variant">
      <vt:variant>
        <vt:lpstr>Title</vt:lpstr>
      </vt:variant>
      <vt:variant>
        <vt:i4>1</vt:i4>
      </vt:variant>
    </vt:vector>
  </HeadingPairs>
  <TitlesOfParts>
    <vt:vector size="1" baseType="lpstr">
      <vt:lpstr>LCO Consumer Protection Consultation Paper</vt:lpstr>
    </vt:vector>
  </TitlesOfParts>
  <Company/>
  <LinksUpToDate>false</LinksUpToDate>
  <CharactersWithSpaces>248502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LCO Consumer Protection Consultation Paper</dc:title>
  <dc:subject/>
  <dc:creator>Ryan Fritsch</dc:creator>
  <cp:keywords/>
  <dc:description/>
  <cp:lastModifiedBy>Ryan Fritsch</cp:lastModifiedBy>
  <cp:revision>9</cp:revision>
  <cp:lastPrinted>2023-04-21T17:17:00Z</cp:lastPrinted>
  <dcterms:created xsi:type="dcterms:W3CDTF">2023-06-20T15:15:00Z</dcterms:created>
  <dcterms:modified xsi:type="dcterms:W3CDTF">2023-06-21T17:49:00Z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0x0101005B4CEC3364ED4346B160B5F004FCD2B0</vt:lpwstr>
  </property>
</Properties>
</file>